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34" w:rsidRPr="008E1711" w:rsidRDefault="006E0534" w:rsidP="006E0534">
      <w:pPr>
        <w:spacing w:line="360" w:lineRule="auto"/>
        <w:rPr>
          <w:b/>
        </w:rPr>
      </w:pPr>
      <w:r w:rsidRPr="008E1711">
        <w:rPr>
          <w:b/>
        </w:rPr>
        <w:t>IN THE LABOUR COURT OF ZIMBABWE      JUDGMENT NO. LC/H/</w:t>
      </w:r>
      <w:r w:rsidR="00506BE3">
        <w:rPr>
          <w:b/>
        </w:rPr>
        <w:t>289</w:t>
      </w:r>
      <w:r>
        <w:rPr>
          <w:b/>
        </w:rPr>
        <w:t>/2016</w:t>
      </w:r>
    </w:p>
    <w:p w:rsidR="006E0534" w:rsidRDefault="006E0534" w:rsidP="006E0534">
      <w:pPr>
        <w:spacing w:line="360" w:lineRule="auto"/>
        <w:jc w:val="both"/>
        <w:rPr>
          <w:b/>
        </w:rPr>
      </w:pPr>
      <w:r>
        <w:rPr>
          <w:b/>
        </w:rPr>
        <w:t>HARARE, 25 DECEMBER 2015</w:t>
      </w:r>
      <w:r>
        <w:rPr>
          <w:b/>
        </w:rPr>
        <w:tab/>
      </w:r>
      <w:r>
        <w:rPr>
          <w:b/>
        </w:rPr>
        <w:tab/>
      </w:r>
      <w:r>
        <w:rPr>
          <w:b/>
        </w:rPr>
        <w:tab/>
        <w:t xml:space="preserve">    </w:t>
      </w:r>
      <w:r w:rsidRPr="00047C13">
        <w:rPr>
          <w:b/>
        </w:rPr>
        <w:t>CASE NO. LC/</w:t>
      </w:r>
      <w:r>
        <w:rPr>
          <w:b/>
        </w:rPr>
        <w:t>H/APP/910/14</w:t>
      </w:r>
    </w:p>
    <w:p w:rsidR="006E0534" w:rsidRDefault="006E0534" w:rsidP="006E0534">
      <w:pPr>
        <w:spacing w:line="360" w:lineRule="auto"/>
        <w:jc w:val="both"/>
        <w:rPr>
          <w:b/>
        </w:rPr>
      </w:pPr>
      <w:r>
        <w:rPr>
          <w:b/>
        </w:rPr>
        <w:t xml:space="preserve">AND </w:t>
      </w:r>
      <w:r w:rsidR="00506BE3">
        <w:rPr>
          <w:b/>
        </w:rPr>
        <w:t>13 MAY</w:t>
      </w:r>
      <w:r>
        <w:rPr>
          <w:b/>
        </w:rPr>
        <w:t xml:space="preserve"> 2016</w:t>
      </w:r>
    </w:p>
    <w:p w:rsidR="006E0534" w:rsidRDefault="006E0534" w:rsidP="006E0534">
      <w:pPr>
        <w:jc w:val="both"/>
      </w:pPr>
      <w:r w:rsidRPr="00047C13">
        <w:t>In the matter between</w:t>
      </w:r>
      <w:r>
        <w:t>:-</w:t>
      </w:r>
    </w:p>
    <w:p w:rsidR="006E0534" w:rsidRPr="00047C13" w:rsidRDefault="006E0534" w:rsidP="006E0534">
      <w:pPr>
        <w:jc w:val="both"/>
      </w:pPr>
    </w:p>
    <w:p w:rsidR="006E0534" w:rsidRPr="00047C13" w:rsidRDefault="006E0534" w:rsidP="006E0534">
      <w:pPr>
        <w:jc w:val="both"/>
      </w:pPr>
    </w:p>
    <w:p w:rsidR="006E0534" w:rsidRPr="00047C13" w:rsidRDefault="005E65BB" w:rsidP="006E0534">
      <w:pPr>
        <w:spacing w:line="360" w:lineRule="auto"/>
        <w:jc w:val="both"/>
        <w:rPr>
          <w:b/>
        </w:rPr>
      </w:pPr>
      <w:r>
        <w:rPr>
          <w:b/>
        </w:rPr>
        <w:t>MAXWELL T. CHIZUNGUZU</w:t>
      </w:r>
      <w:r w:rsidR="006E0534">
        <w:rPr>
          <w:b/>
        </w:rPr>
        <w:tab/>
      </w:r>
      <w:r w:rsidR="006E0534">
        <w:rPr>
          <w:b/>
        </w:rPr>
        <w:tab/>
      </w:r>
      <w:r w:rsidR="006E0534">
        <w:rPr>
          <w:b/>
        </w:rPr>
        <w:tab/>
      </w:r>
      <w:r w:rsidR="006E0534">
        <w:rPr>
          <w:b/>
        </w:rPr>
        <w:tab/>
      </w:r>
      <w:r w:rsidR="006E0534">
        <w:rPr>
          <w:b/>
        </w:rPr>
        <w:tab/>
        <w:t>Applicant</w:t>
      </w:r>
    </w:p>
    <w:p w:rsidR="006E0534" w:rsidRDefault="006E0534" w:rsidP="006E0534">
      <w:pPr>
        <w:tabs>
          <w:tab w:val="left" w:pos="1995"/>
        </w:tabs>
        <w:spacing w:line="360" w:lineRule="auto"/>
        <w:jc w:val="both"/>
      </w:pPr>
      <w:r w:rsidRPr="00047C13">
        <w:t>And</w:t>
      </w:r>
      <w:r w:rsidRPr="00047C13">
        <w:tab/>
      </w:r>
    </w:p>
    <w:p w:rsidR="006E0534" w:rsidRDefault="005E65BB" w:rsidP="006E0534">
      <w:pPr>
        <w:tabs>
          <w:tab w:val="left" w:pos="1995"/>
        </w:tabs>
        <w:spacing w:line="360" w:lineRule="auto"/>
        <w:jc w:val="both"/>
        <w:rPr>
          <w:b/>
        </w:rPr>
      </w:pPr>
      <w:r>
        <w:rPr>
          <w:b/>
        </w:rPr>
        <w:t>NATIONAL RAILWAYS OF ZIMBABWE</w:t>
      </w:r>
      <w:r>
        <w:rPr>
          <w:b/>
        </w:rPr>
        <w:tab/>
      </w:r>
      <w:r>
        <w:rPr>
          <w:b/>
        </w:rPr>
        <w:tab/>
      </w:r>
      <w:r>
        <w:rPr>
          <w:b/>
        </w:rPr>
        <w:tab/>
      </w:r>
      <w:r w:rsidR="006E0534">
        <w:rPr>
          <w:b/>
        </w:rPr>
        <w:t>Respondent</w:t>
      </w:r>
    </w:p>
    <w:p w:rsidR="006E0534" w:rsidRDefault="006E0534" w:rsidP="006E0534">
      <w:pPr>
        <w:jc w:val="both"/>
        <w:rPr>
          <w:b/>
        </w:rPr>
      </w:pPr>
    </w:p>
    <w:p w:rsidR="006E0534" w:rsidRDefault="006E0534" w:rsidP="006E0534">
      <w:pPr>
        <w:spacing w:line="360" w:lineRule="auto"/>
        <w:jc w:val="both"/>
      </w:pPr>
      <w:r>
        <w:t xml:space="preserve">Before Honourable L. Hove, Judge                             </w:t>
      </w:r>
    </w:p>
    <w:p w:rsidR="006E0534" w:rsidRPr="00047C13" w:rsidRDefault="006E0534" w:rsidP="006E0534">
      <w:pPr>
        <w:jc w:val="both"/>
      </w:pPr>
      <w:r w:rsidRPr="00047C13">
        <w:tab/>
      </w:r>
      <w:r w:rsidRPr="00047C13">
        <w:tab/>
      </w:r>
      <w:r w:rsidRPr="00047C13">
        <w:tab/>
      </w:r>
    </w:p>
    <w:p w:rsidR="006E0534" w:rsidRPr="00047C13" w:rsidRDefault="006E0534" w:rsidP="006E0534">
      <w:pPr>
        <w:spacing w:line="360" w:lineRule="auto"/>
        <w:ind w:left="2880" w:hanging="2880"/>
        <w:jc w:val="both"/>
        <w:rPr>
          <w:b/>
        </w:rPr>
      </w:pPr>
      <w:r>
        <w:rPr>
          <w:b/>
        </w:rPr>
        <w:t>For Applicant</w:t>
      </w:r>
      <w:r>
        <w:rPr>
          <w:b/>
        </w:rPr>
        <w:tab/>
      </w:r>
      <w:r w:rsidR="002C107E">
        <w:rPr>
          <w:b/>
        </w:rPr>
        <w:t>Mr S. Kachere</w:t>
      </w:r>
      <w:r>
        <w:rPr>
          <w:b/>
        </w:rPr>
        <w:t xml:space="preserve"> (Legal Practitioner)</w:t>
      </w:r>
    </w:p>
    <w:p w:rsidR="006E0534" w:rsidRDefault="005E65BB" w:rsidP="006E0534">
      <w:pPr>
        <w:spacing w:line="360" w:lineRule="auto"/>
        <w:ind w:left="2880" w:hanging="2880"/>
        <w:jc w:val="both"/>
        <w:rPr>
          <w:b/>
        </w:rPr>
      </w:pPr>
      <w:r>
        <w:rPr>
          <w:b/>
        </w:rPr>
        <w:t xml:space="preserve">For </w:t>
      </w:r>
      <w:r w:rsidR="006E0534">
        <w:rPr>
          <w:b/>
        </w:rPr>
        <w:t>Respondent</w:t>
      </w:r>
      <w:r w:rsidR="006E0534">
        <w:rPr>
          <w:b/>
        </w:rPr>
        <w:tab/>
      </w:r>
      <w:r w:rsidR="002C107E">
        <w:rPr>
          <w:b/>
        </w:rPr>
        <w:t xml:space="preserve">Mr C. </w:t>
      </w:r>
      <w:r w:rsidR="009217F4">
        <w:rPr>
          <w:b/>
        </w:rPr>
        <w:t>Kwaramba</w:t>
      </w:r>
      <w:r w:rsidR="006E0534">
        <w:rPr>
          <w:b/>
        </w:rPr>
        <w:t xml:space="preserve"> (Legal Practitioner) </w:t>
      </w:r>
    </w:p>
    <w:p w:rsidR="006E0534" w:rsidRDefault="006E0534" w:rsidP="006E0534">
      <w:pPr>
        <w:jc w:val="both"/>
        <w:rPr>
          <w:b/>
        </w:rPr>
      </w:pPr>
    </w:p>
    <w:p w:rsidR="006E0534" w:rsidRPr="00047C13" w:rsidRDefault="006E0534" w:rsidP="006E0534">
      <w:pPr>
        <w:jc w:val="both"/>
        <w:rPr>
          <w:b/>
        </w:rPr>
      </w:pPr>
    </w:p>
    <w:p w:rsidR="006E0534" w:rsidRDefault="006E0534" w:rsidP="006E0534">
      <w:pPr>
        <w:spacing w:line="360" w:lineRule="auto"/>
        <w:jc w:val="both"/>
        <w:rPr>
          <w:b/>
        </w:rPr>
      </w:pPr>
      <w:r>
        <w:rPr>
          <w:b/>
        </w:rPr>
        <w:t>HOVE, J:</w:t>
      </w:r>
    </w:p>
    <w:p w:rsidR="002F04B0" w:rsidRDefault="002F04B0" w:rsidP="0022590C">
      <w:pPr>
        <w:spacing w:line="360" w:lineRule="auto"/>
        <w:jc w:val="both"/>
      </w:pPr>
    </w:p>
    <w:p w:rsidR="0022590C" w:rsidRDefault="0022590C" w:rsidP="0022590C">
      <w:pPr>
        <w:spacing w:line="360" w:lineRule="auto"/>
        <w:jc w:val="both"/>
      </w:pPr>
      <w:r>
        <w:tab/>
        <w:t xml:space="preserve">On 9 December 2015 I made an order dismissing an application for condonation.  On the basis that I did not find that the </w:t>
      </w:r>
      <w:r w:rsidR="00203D0E">
        <w:t>explanation</w:t>
      </w:r>
      <w:r>
        <w:t xml:space="preserve"> given </w:t>
      </w:r>
      <w:r w:rsidR="00203D0E">
        <w:t>for the delay was</w:t>
      </w:r>
      <w:r>
        <w:t xml:space="preserve"> reasonable and </w:t>
      </w:r>
      <w:r w:rsidR="00CA2B57">
        <w:t>further that the applicant’s prospec</w:t>
      </w:r>
      <w:r w:rsidR="00E10CFF">
        <w:t>ts of success on appeal were</w:t>
      </w:r>
      <w:r w:rsidR="00566323">
        <w:t xml:space="preserve"> NOT</w:t>
      </w:r>
      <w:r w:rsidR="00CA2B57">
        <w:t xml:space="preserve"> good ones.</w:t>
      </w:r>
    </w:p>
    <w:p w:rsidR="00C6655A" w:rsidRDefault="00C6655A" w:rsidP="00E71943">
      <w:pPr>
        <w:spacing w:line="276" w:lineRule="auto"/>
        <w:jc w:val="both"/>
      </w:pPr>
    </w:p>
    <w:p w:rsidR="00C6655A" w:rsidRDefault="00C6655A" w:rsidP="0022590C">
      <w:pPr>
        <w:spacing w:line="360" w:lineRule="auto"/>
        <w:jc w:val="both"/>
      </w:pPr>
      <w:r>
        <w:tab/>
        <w:t>I also denied the application to amend the grounds of appeal which were themselves improperly before the court.</w:t>
      </w:r>
    </w:p>
    <w:p w:rsidR="00C6655A" w:rsidRDefault="00C6655A" w:rsidP="00E71943">
      <w:pPr>
        <w:jc w:val="both"/>
      </w:pPr>
    </w:p>
    <w:p w:rsidR="00C6655A" w:rsidRDefault="00C6655A" w:rsidP="0022590C">
      <w:pPr>
        <w:spacing w:line="360" w:lineRule="auto"/>
        <w:jc w:val="both"/>
      </w:pPr>
      <w:r>
        <w:tab/>
        <w:t xml:space="preserve">The applicant was aggrieved and advised the registrar that their client sought to appeal against my order and as such </w:t>
      </w:r>
      <w:r w:rsidR="00E71943">
        <w:t>they required me to prepare my reasons for judgment</w:t>
      </w:r>
      <w:r w:rsidR="00620733">
        <w:t>.  These are they:</w:t>
      </w:r>
    </w:p>
    <w:p w:rsidR="00620733" w:rsidRDefault="00620733" w:rsidP="00052120">
      <w:pPr>
        <w:jc w:val="both"/>
      </w:pPr>
    </w:p>
    <w:p w:rsidR="00620733" w:rsidRDefault="00620733" w:rsidP="0022590C">
      <w:pPr>
        <w:spacing w:line="360" w:lineRule="auto"/>
        <w:jc w:val="both"/>
      </w:pPr>
      <w:r>
        <w:tab/>
      </w:r>
      <w:r w:rsidR="00566323">
        <w:t xml:space="preserve">In considering an application </w:t>
      </w:r>
      <w:proofErr w:type="spellStart"/>
      <w:r w:rsidR="00566323">
        <w:t>oF</w:t>
      </w:r>
      <w:proofErr w:type="spellEnd"/>
      <w:r>
        <w:t xml:space="preserve"> this nature, </w:t>
      </w:r>
      <w:r w:rsidR="004C01C0">
        <w:t>the court must consider the reasonableness of the explanation given for the delay and also the applicant’s prospects of success on the merits of the matter.</w:t>
      </w:r>
      <w:r w:rsidR="00924442">
        <w:t xml:space="preserve">  See in this regard the case of </w:t>
      </w:r>
      <w:r w:rsidR="00924442" w:rsidRPr="002718BC">
        <w:rPr>
          <w:i/>
        </w:rPr>
        <w:t>United Plant Hire (Pvt) Ltd</w:t>
      </w:r>
      <w:r w:rsidR="00924442">
        <w:t xml:space="preserve"> vs </w:t>
      </w:r>
      <w:r w:rsidR="00924442" w:rsidRPr="002718BC">
        <w:rPr>
          <w:i/>
        </w:rPr>
        <w:t>Hills and Others</w:t>
      </w:r>
      <w:r w:rsidR="00924442">
        <w:t xml:space="preserve"> 1976 (1) SA 717 where it was stated that;</w:t>
      </w:r>
    </w:p>
    <w:p w:rsidR="00924442" w:rsidRDefault="00924442" w:rsidP="00052120">
      <w:pPr>
        <w:jc w:val="both"/>
      </w:pPr>
    </w:p>
    <w:p w:rsidR="002718BC" w:rsidRPr="00565ADF" w:rsidRDefault="00924442" w:rsidP="00565ADF">
      <w:pPr>
        <w:spacing w:line="276" w:lineRule="auto"/>
        <w:ind w:left="720"/>
        <w:jc w:val="both"/>
        <w:rPr>
          <w:sz w:val="22"/>
          <w:szCs w:val="22"/>
        </w:rPr>
      </w:pPr>
      <w:r w:rsidRPr="00565ADF">
        <w:rPr>
          <w:sz w:val="22"/>
          <w:szCs w:val="22"/>
        </w:rPr>
        <w:t xml:space="preserve">“It is well settled that, in considering </w:t>
      </w:r>
      <w:proofErr w:type="gramStart"/>
      <w:r w:rsidRPr="00565ADF">
        <w:rPr>
          <w:sz w:val="22"/>
          <w:szCs w:val="22"/>
        </w:rPr>
        <w:t>applications for condonation the court has</w:t>
      </w:r>
      <w:proofErr w:type="gramEnd"/>
      <w:r w:rsidRPr="00565ADF">
        <w:rPr>
          <w:sz w:val="22"/>
          <w:szCs w:val="22"/>
        </w:rPr>
        <w:t xml:space="preserve"> discretion to be exercised judiciously upon a consideration of all the facts; and that in essence it is a question of fairness to both sides.  In this</w:t>
      </w:r>
      <w:r w:rsidR="006F0AD5" w:rsidRPr="00565ADF">
        <w:rPr>
          <w:sz w:val="22"/>
          <w:szCs w:val="22"/>
        </w:rPr>
        <w:t xml:space="preserve"> enquiry relevant considerations may include the degree of non compliance with the rules, the explanation thereof, </w:t>
      </w:r>
      <w:proofErr w:type="gramStart"/>
      <w:r w:rsidR="006F0AD5" w:rsidRPr="00565ADF">
        <w:rPr>
          <w:sz w:val="22"/>
          <w:szCs w:val="22"/>
        </w:rPr>
        <w:t>the</w:t>
      </w:r>
      <w:proofErr w:type="gramEnd"/>
      <w:r w:rsidR="006F0AD5" w:rsidRPr="00565ADF">
        <w:rPr>
          <w:sz w:val="22"/>
          <w:szCs w:val="22"/>
        </w:rPr>
        <w:t xml:space="preserve"> prospects of success ….</w:t>
      </w:r>
      <w:r w:rsidR="00565ADF" w:rsidRPr="00565ADF">
        <w:rPr>
          <w:sz w:val="22"/>
          <w:szCs w:val="22"/>
        </w:rPr>
        <w:t>”</w:t>
      </w:r>
    </w:p>
    <w:p w:rsidR="002718BC" w:rsidRDefault="002718BC" w:rsidP="00052120">
      <w:pPr>
        <w:jc w:val="both"/>
      </w:pPr>
    </w:p>
    <w:p w:rsidR="002718BC" w:rsidRDefault="002718BC" w:rsidP="0022590C">
      <w:pPr>
        <w:spacing w:line="360" w:lineRule="auto"/>
        <w:jc w:val="both"/>
      </w:pPr>
      <w:r>
        <w:tab/>
        <w:t xml:space="preserve">This position has been accepted by our courts see </w:t>
      </w:r>
      <w:r w:rsidRPr="00132C2A">
        <w:rPr>
          <w:i/>
        </w:rPr>
        <w:t>Bishi</w:t>
      </w:r>
      <w:r>
        <w:t xml:space="preserve"> v </w:t>
      </w:r>
      <w:r w:rsidRPr="00132C2A">
        <w:rPr>
          <w:i/>
        </w:rPr>
        <w:t>Secretary for Education</w:t>
      </w:r>
      <w:r>
        <w:t xml:space="preserve"> 1989 (2) ZLR 240 (HC) </w:t>
      </w:r>
      <w:r w:rsidRPr="00132C2A">
        <w:rPr>
          <w:i/>
        </w:rPr>
        <w:t>Forestry Commission</w:t>
      </w:r>
      <w:r>
        <w:t xml:space="preserve"> v </w:t>
      </w:r>
      <w:r w:rsidRPr="00132C2A">
        <w:rPr>
          <w:i/>
        </w:rPr>
        <w:t>Moyo</w:t>
      </w:r>
      <w:r>
        <w:t xml:space="preserve"> 1997 (1) ZLR 254 (S)</w:t>
      </w:r>
      <w:r w:rsidR="00CD6BE6">
        <w:t>.</w:t>
      </w:r>
    </w:p>
    <w:p w:rsidR="00CD6BE6" w:rsidRDefault="00CD6BE6" w:rsidP="00052120">
      <w:pPr>
        <w:jc w:val="both"/>
      </w:pPr>
    </w:p>
    <w:p w:rsidR="00CD6BE6" w:rsidRDefault="00CD6BE6" w:rsidP="0022590C">
      <w:pPr>
        <w:spacing w:line="360" w:lineRule="auto"/>
        <w:jc w:val="both"/>
      </w:pPr>
      <w:r>
        <w:tab/>
        <w:t>The reason given for the inordinate delay is that the applicant was a self actor and he was not aware of the need to act timeously.  This reason the court finds unreasonable.  When one decides to act in person, he</w:t>
      </w:r>
      <w:r w:rsidR="00377342">
        <w:t xml:space="preserve"> make</w:t>
      </w:r>
      <w:r w:rsidR="00D90565">
        <w:t>s</w:t>
      </w:r>
      <w:r w:rsidR="00377342">
        <w:t xml:space="preserve"> himself </w:t>
      </w:r>
      <w:r w:rsidR="00D90565">
        <w:t xml:space="preserve">or </w:t>
      </w:r>
      <w:proofErr w:type="gramStart"/>
      <w:r w:rsidR="00377342">
        <w:t>herself</w:t>
      </w:r>
      <w:proofErr w:type="gramEnd"/>
      <w:r w:rsidR="00377342">
        <w:t xml:space="preserve"> aware of the basic rules of the </w:t>
      </w:r>
      <w:r w:rsidR="007D5729">
        <w:t>procedure he intends to pursue</w:t>
      </w:r>
      <w:r w:rsidR="00D90565">
        <w:t>. F</w:t>
      </w:r>
      <w:r w:rsidR="00B63E95">
        <w:t>ailing to know the basics and still proceeding to act in a personal capacity is fool hardy.  The applicant could have sought the services of a legal practitioner</w:t>
      </w:r>
      <w:r w:rsidR="00F139C1">
        <w:t xml:space="preserve"> or</w:t>
      </w:r>
      <w:r w:rsidR="00053AB3">
        <w:t xml:space="preserve"> the services of </w:t>
      </w:r>
      <w:proofErr w:type="gramStart"/>
      <w:r w:rsidR="00053AB3">
        <w:t>an</w:t>
      </w:r>
      <w:proofErr w:type="gramEnd"/>
      <w:r w:rsidR="00053AB3">
        <w:t xml:space="preserve"> trade union member to assist him if money to engage a legal practitioner was </w:t>
      </w:r>
      <w:r w:rsidR="00C466F4">
        <w:t>unavailable</w:t>
      </w:r>
      <w:r w:rsidR="00F139C1">
        <w:t>. I</w:t>
      </w:r>
      <w:r w:rsidR="00C466F4">
        <w:t>gnorance of the law is not a defence and can therefore not in itself constitute a reasonable explanation for failing to act within the</w:t>
      </w:r>
      <w:r w:rsidR="0040701F">
        <w:t xml:space="preserve"> prescribed </w:t>
      </w:r>
      <w:r w:rsidR="00D90565">
        <w:t>times</w:t>
      </w:r>
      <w:r w:rsidR="0040701F">
        <w:t>.</w:t>
      </w:r>
    </w:p>
    <w:p w:rsidR="0040768C" w:rsidRDefault="0040768C" w:rsidP="00052120">
      <w:pPr>
        <w:jc w:val="both"/>
      </w:pPr>
    </w:p>
    <w:p w:rsidR="00DA3E19" w:rsidRDefault="0040768C" w:rsidP="0022590C">
      <w:pPr>
        <w:spacing w:line="360" w:lineRule="auto"/>
        <w:jc w:val="both"/>
      </w:pPr>
      <w:r>
        <w:tab/>
        <w:t>Further, even if the court were to accept that his ignorance of the law constituted a good reason for the delay, that reason would not suffice the moment he became represented, first by a trade union member and later by a firm of legal practitioners.</w:t>
      </w:r>
      <w:r w:rsidR="00B65B57">
        <w:t xml:space="preserve"> No application for condonation was made forthwith.  The delay from the moment he became represented is not explained</w:t>
      </w:r>
      <w:r w:rsidR="000B7C24">
        <w:t>.  W</w:t>
      </w:r>
      <w:r w:rsidR="00B65B57">
        <w:t>orth noting is the fact that the applicant seems not to accept that he is late in filing his</w:t>
      </w:r>
      <w:r w:rsidR="00FB12E5">
        <w:t xml:space="preserve"> appeal.  This</w:t>
      </w:r>
      <w:r w:rsidR="000B7C24">
        <w:t>,</w:t>
      </w:r>
      <w:r w:rsidR="00FB12E5">
        <w:t xml:space="preserve"> in my opinion</w:t>
      </w:r>
      <w:r w:rsidR="000B7C24">
        <w:t>,</w:t>
      </w:r>
      <w:r w:rsidR="00FB12E5">
        <w:t xml:space="preserve"> is the real reason why he is not able to given an explanation for the delay.  He believes that he is not in breach of the rules.  The application placed before the court is therefore not bona fide.</w:t>
      </w:r>
    </w:p>
    <w:p w:rsidR="000B7C24" w:rsidRDefault="000B7C24" w:rsidP="000B7C24">
      <w:pPr>
        <w:jc w:val="both"/>
      </w:pPr>
    </w:p>
    <w:p w:rsidR="00DA3E19" w:rsidRDefault="004275C5" w:rsidP="0022590C">
      <w:pPr>
        <w:spacing w:line="360" w:lineRule="auto"/>
        <w:jc w:val="both"/>
      </w:pPr>
      <w:r>
        <w:tab/>
        <w:t>The length of the delay is in</w:t>
      </w:r>
      <w:r w:rsidR="00DA3E19">
        <w:t xml:space="preserve">ordinate.  The decision being sought to be appealed against was availed to him on 6 November 2008.  He sought to be condoned in November 2014 when he ought to have filed his appeal within 14 days.  This clearly is an inordinate </w:t>
      </w:r>
      <w:r w:rsidR="00BF1ACF">
        <w:t>delay</w:t>
      </w:r>
      <w:r w:rsidR="006D5B58">
        <w:t xml:space="preserve"> which</w:t>
      </w:r>
      <w:r w:rsidR="00BF1ACF">
        <w:t xml:space="preserve"> has not been fully explained.  The initial </w:t>
      </w:r>
      <w:r w:rsidR="00BF1ACF">
        <w:lastRenderedPageBreak/>
        <w:t xml:space="preserve">stage of the delay is sought to be explained by the fact that he was </w:t>
      </w:r>
      <w:r w:rsidR="004D2D0A">
        <w:t>u</w:t>
      </w:r>
      <w:r w:rsidR="00BF1ACF">
        <w:t>nrepresented</w:t>
      </w:r>
      <w:r w:rsidR="004D2D0A">
        <w:t xml:space="preserve"> but no explanation as to why </w:t>
      </w:r>
      <w:r w:rsidR="00705643">
        <w:t>he failed to seek condonation as soon as</w:t>
      </w:r>
      <w:r w:rsidR="00FA7E60">
        <w:t xml:space="preserve"> he</w:t>
      </w:r>
      <w:r w:rsidR="00705643">
        <w:t xml:space="preserve"> availed himself</w:t>
      </w:r>
      <w:r w:rsidR="00E46CF6">
        <w:t xml:space="preserve"> the services of a representative</w:t>
      </w:r>
      <w:r w:rsidR="00FA7E60">
        <w:t>.</w:t>
      </w:r>
      <w:r w:rsidR="00E46CF6">
        <w:t xml:space="preserve"> </w:t>
      </w:r>
      <w:r w:rsidR="00FA7E60">
        <w:t>From</w:t>
      </w:r>
      <w:r w:rsidR="00E46CF6">
        <w:t xml:space="preserve"> about January 2010 the respondent advised the appellant that </w:t>
      </w:r>
      <w:r w:rsidR="00DF08C7">
        <w:t>the</w:t>
      </w:r>
      <w:r w:rsidR="00E46CF6">
        <w:t xml:space="preserve"> appeal was out of time but the appella</w:t>
      </w:r>
      <w:r w:rsidR="0053082F">
        <w:t xml:space="preserve">nt failed to take steps to regularize this failure to comply until November 2014.  No </w:t>
      </w:r>
      <w:r w:rsidR="00E110CE">
        <w:t>explanation</w:t>
      </w:r>
      <w:r w:rsidR="0053082F">
        <w:t xml:space="preserve"> is given</w:t>
      </w:r>
      <w:r w:rsidR="00C05E73">
        <w:t xml:space="preserve"> for failing to apply for </w:t>
      </w:r>
      <w:r w:rsidR="004369CF">
        <w:t>condonation after 29 March 2014 when the notice of response pointed out the fact that the appeal was late.  The application was filed</w:t>
      </w:r>
      <w:r w:rsidR="00BC32B3">
        <w:t xml:space="preserve"> several months later in November 2014.  In </w:t>
      </w:r>
      <w:r w:rsidR="00BC32B3" w:rsidRPr="007C1DCC">
        <w:rPr>
          <w:i/>
        </w:rPr>
        <w:t>casu</w:t>
      </w:r>
      <w:r w:rsidR="00BC32B3">
        <w:t>, not only was the application for condonation late, there was also a delay in seeking con</w:t>
      </w:r>
      <w:r w:rsidR="004E653B">
        <w:t>donation.</w:t>
      </w:r>
    </w:p>
    <w:p w:rsidR="0012614E" w:rsidRDefault="0012614E" w:rsidP="00052120">
      <w:pPr>
        <w:jc w:val="both"/>
      </w:pPr>
    </w:p>
    <w:p w:rsidR="0012614E" w:rsidRDefault="0012614E" w:rsidP="0022590C">
      <w:pPr>
        <w:spacing w:line="360" w:lineRule="auto"/>
        <w:jc w:val="both"/>
      </w:pPr>
      <w:r>
        <w:tab/>
        <w:t xml:space="preserve">In the case of </w:t>
      </w:r>
      <w:r w:rsidRPr="00A40CCC">
        <w:rPr>
          <w:i/>
        </w:rPr>
        <w:t>Viking Woodwork (Pvt) Ltd</w:t>
      </w:r>
      <w:r w:rsidR="00A40CCC">
        <w:t xml:space="preserve"> v </w:t>
      </w:r>
      <w:r w:rsidR="00A40CCC" w:rsidRPr="00FF10AD">
        <w:rPr>
          <w:i/>
        </w:rPr>
        <w:t>Blue Bells E</w:t>
      </w:r>
      <w:r w:rsidRPr="00FF10AD">
        <w:rPr>
          <w:i/>
        </w:rPr>
        <w:t>nterprises</w:t>
      </w:r>
      <w:r w:rsidR="00075832" w:rsidRPr="00FF10AD">
        <w:rPr>
          <w:i/>
        </w:rPr>
        <w:t xml:space="preserve"> (Pvt) Ltd</w:t>
      </w:r>
      <w:r w:rsidR="00075832">
        <w:t xml:space="preserve"> 1998 (2) ZLR 249 the court stated that:</w:t>
      </w:r>
    </w:p>
    <w:p w:rsidR="00075832" w:rsidRDefault="00075832" w:rsidP="00052120">
      <w:pPr>
        <w:jc w:val="both"/>
      </w:pPr>
    </w:p>
    <w:p w:rsidR="00075832" w:rsidRPr="008D342C" w:rsidRDefault="00EE58EE" w:rsidP="008D342C">
      <w:pPr>
        <w:spacing w:line="276" w:lineRule="auto"/>
        <w:ind w:left="720"/>
        <w:jc w:val="both"/>
        <w:rPr>
          <w:sz w:val="22"/>
          <w:szCs w:val="22"/>
        </w:rPr>
      </w:pPr>
      <w:r w:rsidRPr="008D342C">
        <w:rPr>
          <w:sz w:val="22"/>
          <w:szCs w:val="22"/>
        </w:rPr>
        <w:t>“I</w:t>
      </w:r>
      <w:r w:rsidR="00075832" w:rsidRPr="008D342C">
        <w:rPr>
          <w:sz w:val="22"/>
          <w:szCs w:val="22"/>
        </w:rPr>
        <w:t>f he does not seek condonation as soon as possible he should give an acceptable explanation not only for</w:t>
      </w:r>
      <w:r w:rsidR="00164F8F" w:rsidRPr="008D342C">
        <w:rPr>
          <w:sz w:val="22"/>
          <w:szCs w:val="22"/>
        </w:rPr>
        <w:t xml:space="preserve"> the delay in making the application for rescission of the default judgment, but also for the delay in seeking condonation</w:t>
      </w:r>
      <w:r w:rsidR="00A613D3" w:rsidRPr="008D342C">
        <w:rPr>
          <w:sz w:val="22"/>
          <w:szCs w:val="22"/>
        </w:rPr>
        <w:t xml:space="preserve">.  As Steyn CJ said in </w:t>
      </w:r>
      <w:r w:rsidR="00A613D3" w:rsidRPr="008D342C">
        <w:rPr>
          <w:i/>
          <w:sz w:val="22"/>
          <w:szCs w:val="22"/>
        </w:rPr>
        <w:t>Saloojee and Another NNO</w:t>
      </w:r>
      <w:r w:rsidR="00A613D3" w:rsidRPr="008D342C">
        <w:rPr>
          <w:sz w:val="22"/>
          <w:szCs w:val="22"/>
        </w:rPr>
        <w:t xml:space="preserve"> v </w:t>
      </w:r>
      <w:r w:rsidR="00A613D3" w:rsidRPr="008D342C">
        <w:rPr>
          <w:i/>
          <w:sz w:val="22"/>
          <w:szCs w:val="22"/>
        </w:rPr>
        <w:t>Minister of Community Development</w:t>
      </w:r>
      <w:r w:rsidR="00A613D3" w:rsidRPr="008D342C">
        <w:rPr>
          <w:sz w:val="22"/>
          <w:szCs w:val="22"/>
        </w:rPr>
        <w:t xml:space="preserve"> 1965 (2) SA </w:t>
      </w:r>
      <w:r w:rsidRPr="008D342C">
        <w:rPr>
          <w:sz w:val="22"/>
          <w:szCs w:val="22"/>
        </w:rPr>
        <w:t>135 (A) at 138H:</w:t>
      </w:r>
    </w:p>
    <w:p w:rsidR="00C06E85" w:rsidRPr="008D342C" w:rsidRDefault="00C06E85" w:rsidP="008D342C">
      <w:pPr>
        <w:spacing w:line="276" w:lineRule="auto"/>
        <w:jc w:val="both"/>
        <w:rPr>
          <w:sz w:val="22"/>
          <w:szCs w:val="22"/>
        </w:rPr>
      </w:pPr>
    </w:p>
    <w:p w:rsidR="00C06E85" w:rsidRPr="008D342C" w:rsidRDefault="00C06E85" w:rsidP="008D342C">
      <w:pPr>
        <w:spacing w:line="276" w:lineRule="auto"/>
        <w:ind w:left="720"/>
        <w:jc w:val="both"/>
        <w:rPr>
          <w:sz w:val="22"/>
          <w:szCs w:val="22"/>
        </w:rPr>
      </w:pPr>
      <w:r w:rsidRPr="008D342C">
        <w:rPr>
          <w:sz w:val="22"/>
          <w:szCs w:val="22"/>
        </w:rPr>
        <w:t>‘</w:t>
      </w:r>
      <w:proofErr w:type="gramStart"/>
      <w:r w:rsidRPr="008D342C">
        <w:rPr>
          <w:sz w:val="22"/>
          <w:szCs w:val="22"/>
        </w:rPr>
        <w:t>what</w:t>
      </w:r>
      <w:proofErr w:type="gramEnd"/>
      <w:r w:rsidRPr="008D342C">
        <w:rPr>
          <w:sz w:val="22"/>
          <w:szCs w:val="22"/>
        </w:rPr>
        <w:t xml:space="preserve"> calls for some acceptable explanation is not only the delay in noting an appeal and in </w:t>
      </w:r>
      <w:r w:rsidR="002F04B0" w:rsidRPr="008D342C">
        <w:rPr>
          <w:sz w:val="22"/>
          <w:szCs w:val="22"/>
        </w:rPr>
        <w:t>lodging</w:t>
      </w:r>
      <w:r w:rsidRPr="008D342C">
        <w:rPr>
          <w:sz w:val="22"/>
          <w:szCs w:val="22"/>
        </w:rPr>
        <w:t xml:space="preserve"> the record timeously</w:t>
      </w:r>
      <w:r w:rsidR="002F04B0" w:rsidRPr="008D342C">
        <w:rPr>
          <w:sz w:val="22"/>
          <w:szCs w:val="22"/>
        </w:rPr>
        <w:t>, but also the delay in seeking condonation.’</w:t>
      </w:r>
    </w:p>
    <w:p w:rsidR="002F04B0" w:rsidRPr="008D342C" w:rsidRDefault="002F04B0" w:rsidP="008D342C">
      <w:pPr>
        <w:spacing w:line="276" w:lineRule="auto"/>
        <w:jc w:val="both"/>
        <w:rPr>
          <w:sz w:val="22"/>
          <w:szCs w:val="22"/>
        </w:rPr>
      </w:pPr>
    </w:p>
    <w:p w:rsidR="002F04B0" w:rsidRPr="008D342C" w:rsidRDefault="002F04B0" w:rsidP="008D342C">
      <w:pPr>
        <w:spacing w:line="276" w:lineRule="auto"/>
        <w:jc w:val="both"/>
        <w:rPr>
          <w:sz w:val="22"/>
          <w:szCs w:val="22"/>
        </w:rPr>
      </w:pPr>
      <w:r w:rsidRPr="008D342C">
        <w:rPr>
          <w:sz w:val="22"/>
          <w:szCs w:val="22"/>
        </w:rPr>
        <w:tab/>
        <w:t>There are therefore two huddles</w:t>
      </w:r>
      <w:r w:rsidR="00E617A5">
        <w:rPr>
          <w:sz w:val="22"/>
          <w:szCs w:val="22"/>
        </w:rPr>
        <w:t xml:space="preserve"> to</w:t>
      </w:r>
      <w:r w:rsidRPr="008D342C">
        <w:rPr>
          <w:sz w:val="22"/>
          <w:szCs w:val="22"/>
        </w:rPr>
        <w:t xml:space="preserve"> overcom</w:t>
      </w:r>
      <w:r w:rsidR="00E80D03" w:rsidRPr="008D342C">
        <w:rPr>
          <w:sz w:val="22"/>
          <w:szCs w:val="22"/>
        </w:rPr>
        <w:t>e.”</w:t>
      </w:r>
    </w:p>
    <w:p w:rsidR="00E8732A" w:rsidRDefault="00E8732A" w:rsidP="00210730">
      <w:pPr>
        <w:jc w:val="both"/>
      </w:pPr>
    </w:p>
    <w:p w:rsidR="00823151" w:rsidRDefault="00E8732A" w:rsidP="0022590C">
      <w:pPr>
        <w:spacing w:line="360" w:lineRule="auto"/>
        <w:jc w:val="both"/>
      </w:pPr>
      <w:r>
        <w:tab/>
        <w:t xml:space="preserve">In casu the applicant goes nowhere near meeting the above outlined requirements.  He contends himself to </w:t>
      </w:r>
      <w:r w:rsidR="005B06A9">
        <w:t xml:space="preserve">give a bold </w:t>
      </w:r>
      <w:r w:rsidR="00A50FD9">
        <w:t>‘I was not legal</w:t>
      </w:r>
      <w:r w:rsidR="00E617A5">
        <w:t>ly</w:t>
      </w:r>
      <w:r w:rsidR="00A50FD9">
        <w:t xml:space="preserve"> represented’ </w:t>
      </w:r>
      <w:r w:rsidR="005B06A9">
        <w:t xml:space="preserve">explanation without explaining why when he became represented </w:t>
      </w:r>
      <w:r w:rsidR="00B75F15">
        <w:t>and when he was made aware by the other side that the appeal was out of time, he did not act</w:t>
      </w:r>
      <w:r w:rsidR="00823151">
        <w:t xml:space="preserve"> timeously to regularize the situation.</w:t>
      </w:r>
    </w:p>
    <w:p w:rsidR="00823151" w:rsidRDefault="00823151" w:rsidP="00210730">
      <w:pPr>
        <w:jc w:val="both"/>
      </w:pPr>
    </w:p>
    <w:p w:rsidR="006E5FB2" w:rsidRDefault="00823151" w:rsidP="0022590C">
      <w:pPr>
        <w:spacing w:line="360" w:lineRule="auto"/>
        <w:jc w:val="both"/>
      </w:pPr>
      <w:r>
        <w:tab/>
        <w:t>As regards the prospects of success, the law says where there is no reasonable explanation or where there is no explanation for s</w:t>
      </w:r>
      <w:r w:rsidR="00A47660">
        <w:t xml:space="preserve">ome periods, the court can dismiss that application and not indulge the applicant </w:t>
      </w:r>
      <w:r w:rsidR="00FF10AD">
        <w:t>whatever</w:t>
      </w:r>
      <w:r w:rsidR="00A47660">
        <w:t xml:space="preserve"> his prospects of success.</w:t>
      </w:r>
    </w:p>
    <w:p w:rsidR="006E5FB2" w:rsidRDefault="006E5FB2" w:rsidP="0022590C">
      <w:pPr>
        <w:spacing w:line="360" w:lineRule="auto"/>
        <w:jc w:val="both"/>
      </w:pPr>
    </w:p>
    <w:p w:rsidR="006E5FB2" w:rsidRDefault="006E5FB2" w:rsidP="00210730">
      <w:pPr>
        <w:jc w:val="both"/>
      </w:pPr>
    </w:p>
    <w:p w:rsidR="0063074C" w:rsidRDefault="006E5FB2" w:rsidP="0022590C">
      <w:pPr>
        <w:spacing w:line="360" w:lineRule="auto"/>
        <w:jc w:val="both"/>
      </w:pPr>
      <w:r>
        <w:lastRenderedPageBreak/>
        <w:tab/>
        <w:t xml:space="preserve">Further it is an accepted principle of our law that the law will help the vigilant and not the </w:t>
      </w:r>
      <w:r w:rsidR="0063074C">
        <w:t>sluggard</w:t>
      </w:r>
      <w:r>
        <w:t>.  There must be finality to litigation</w:t>
      </w:r>
      <w:r w:rsidR="0063074C">
        <w:t>.</w:t>
      </w:r>
    </w:p>
    <w:p w:rsidR="0063074C" w:rsidRDefault="0063074C" w:rsidP="0022590C">
      <w:pPr>
        <w:spacing w:line="360" w:lineRule="auto"/>
        <w:jc w:val="both"/>
      </w:pPr>
      <w:r w:rsidRPr="00210730">
        <w:rPr>
          <w:i/>
        </w:rPr>
        <w:t xml:space="preserve">Ndebele </w:t>
      </w:r>
      <w:r>
        <w:t xml:space="preserve">v </w:t>
      </w:r>
      <w:r w:rsidRPr="00210730">
        <w:rPr>
          <w:i/>
        </w:rPr>
        <w:t>Ncube</w:t>
      </w:r>
      <w:r>
        <w:t xml:space="preserve"> 1992 (1) ZLR</w:t>
      </w:r>
      <w:r w:rsidR="00F8085D">
        <w:t xml:space="preserve"> 288</w:t>
      </w:r>
      <w:r>
        <w:t xml:space="preserve"> forward </w:t>
      </w:r>
      <w:r w:rsidRPr="00210730">
        <w:rPr>
          <w:i/>
        </w:rPr>
        <w:t xml:space="preserve">Kodzwa </w:t>
      </w:r>
      <w:r>
        <w:t xml:space="preserve">v </w:t>
      </w:r>
      <w:r w:rsidRPr="00210730">
        <w:rPr>
          <w:i/>
        </w:rPr>
        <w:t>Secreta</w:t>
      </w:r>
      <w:r w:rsidR="00E05219" w:rsidRPr="00210730">
        <w:rPr>
          <w:i/>
        </w:rPr>
        <w:t>r</w:t>
      </w:r>
      <w:r w:rsidRPr="00210730">
        <w:rPr>
          <w:i/>
        </w:rPr>
        <w:t>y for Health</w:t>
      </w:r>
      <w:r>
        <w:t xml:space="preserve"> </w:t>
      </w:r>
      <w:r w:rsidR="005F5E10">
        <w:t>SC 50/99.</w:t>
      </w:r>
    </w:p>
    <w:p w:rsidR="005F5E10" w:rsidRDefault="005F5E10" w:rsidP="00210730">
      <w:pPr>
        <w:jc w:val="both"/>
      </w:pPr>
    </w:p>
    <w:p w:rsidR="005F5E10" w:rsidRDefault="005F5E10" w:rsidP="00210730">
      <w:pPr>
        <w:spacing w:line="360" w:lineRule="auto"/>
        <w:jc w:val="both"/>
      </w:pPr>
      <w:r>
        <w:tab/>
      </w:r>
      <w:r w:rsidRPr="006F7847">
        <w:rPr>
          <w:i/>
        </w:rPr>
        <w:t>In casu</w:t>
      </w:r>
      <w:r>
        <w:t xml:space="preserve"> however, the </w:t>
      </w:r>
      <w:r w:rsidR="006F7847">
        <w:t>cour</w:t>
      </w:r>
      <w:bookmarkStart w:id="0" w:name="_GoBack"/>
      <w:bookmarkEnd w:id="0"/>
      <w:r w:rsidR="007D45D0">
        <w:t>t</w:t>
      </w:r>
      <w:r>
        <w:t xml:space="preserve"> considered the</w:t>
      </w:r>
      <w:r w:rsidR="002A771E">
        <w:t xml:space="preserve"> merits of the defence.  The respondent submitted that the case involved the theft of a </w:t>
      </w:r>
      <w:r w:rsidR="002A139F">
        <w:t>t</w:t>
      </w:r>
      <w:r w:rsidR="002A771E">
        <w:t xml:space="preserve">rench court that went missing and was </w:t>
      </w:r>
      <w:r w:rsidR="002B6112">
        <w:t>found in applicant’s house after a search.  He also had pleaded for forgiveness from his workmate.</w:t>
      </w:r>
    </w:p>
    <w:p w:rsidR="002B6112" w:rsidRDefault="002B6112" w:rsidP="00210730">
      <w:pPr>
        <w:jc w:val="both"/>
      </w:pPr>
    </w:p>
    <w:p w:rsidR="002B6112" w:rsidRDefault="002B6112" w:rsidP="0022590C">
      <w:pPr>
        <w:spacing w:line="360" w:lineRule="auto"/>
        <w:jc w:val="both"/>
      </w:pPr>
      <w:r>
        <w:tab/>
      </w:r>
      <w:r w:rsidR="007A0220">
        <w:t>In response the applicant’s legal practitioner stated that;</w:t>
      </w:r>
    </w:p>
    <w:p w:rsidR="007A0220" w:rsidRDefault="007A0220" w:rsidP="00210730">
      <w:pPr>
        <w:jc w:val="both"/>
      </w:pPr>
    </w:p>
    <w:p w:rsidR="007A0220" w:rsidRPr="00757035" w:rsidRDefault="002A139F" w:rsidP="00210730">
      <w:pPr>
        <w:spacing w:line="276" w:lineRule="auto"/>
        <w:ind w:left="720"/>
        <w:jc w:val="both"/>
        <w:rPr>
          <w:sz w:val="22"/>
          <w:szCs w:val="22"/>
        </w:rPr>
      </w:pPr>
      <w:r w:rsidRPr="00757035">
        <w:rPr>
          <w:sz w:val="22"/>
          <w:szCs w:val="22"/>
        </w:rPr>
        <w:t>“If</w:t>
      </w:r>
      <w:r w:rsidR="007A0220" w:rsidRPr="00757035">
        <w:rPr>
          <w:sz w:val="22"/>
          <w:szCs w:val="22"/>
        </w:rPr>
        <w:t xml:space="preserve"> my client’s case is such a hopeless case, why are they afraid to have the applicant have his day in court</w:t>
      </w:r>
      <w:r w:rsidRPr="00757035">
        <w:rPr>
          <w:sz w:val="22"/>
          <w:szCs w:val="22"/>
        </w:rPr>
        <w:t>.”</w:t>
      </w:r>
    </w:p>
    <w:p w:rsidR="002A139F" w:rsidRDefault="002A139F" w:rsidP="00757035">
      <w:pPr>
        <w:jc w:val="both"/>
      </w:pPr>
    </w:p>
    <w:p w:rsidR="002A139F" w:rsidRDefault="002A139F" w:rsidP="0022590C">
      <w:pPr>
        <w:spacing w:line="360" w:lineRule="auto"/>
        <w:jc w:val="both"/>
      </w:pPr>
      <w:r>
        <w:tab/>
        <w:t>This does not show in any way that the</w:t>
      </w:r>
      <w:r w:rsidR="00502625">
        <w:t xml:space="preserve"> prospects of success are reasonable or good.  The</w:t>
      </w:r>
      <w:r>
        <w:t xml:space="preserve"> stolen trench </w:t>
      </w:r>
      <w:r w:rsidR="007D45D0">
        <w:t>coat</w:t>
      </w:r>
      <w:r>
        <w:t xml:space="preserve"> was found </w:t>
      </w:r>
      <w:r w:rsidR="00721372">
        <w:t>after a search on the applicant and that the applicant apologized.</w:t>
      </w:r>
    </w:p>
    <w:p w:rsidR="00721372" w:rsidRDefault="00721372" w:rsidP="00757035">
      <w:pPr>
        <w:jc w:val="both"/>
      </w:pPr>
    </w:p>
    <w:p w:rsidR="00721372" w:rsidRDefault="00721372" w:rsidP="0022590C">
      <w:pPr>
        <w:spacing w:line="360" w:lineRule="auto"/>
        <w:jc w:val="both"/>
      </w:pPr>
      <w:r>
        <w:tab/>
        <w:t>The use of an unregistered code is an irregularity that</w:t>
      </w:r>
      <w:r w:rsidR="002C0AA5">
        <w:t xml:space="preserve"> must be shown to have caused </w:t>
      </w:r>
      <w:r w:rsidR="007D45D0">
        <w:t>prejudice</w:t>
      </w:r>
      <w:r w:rsidR="002C0AA5">
        <w:t xml:space="preserve"> </w:t>
      </w:r>
      <w:r w:rsidR="00FC33BC">
        <w:t>in order</w:t>
      </w:r>
      <w:r w:rsidR="002C0AA5">
        <w:t xml:space="preserve"> for the proceedings to be vitiated.  It does not entitle the applicant to succeed </w:t>
      </w:r>
      <w:r w:rsidR="00644BC1">
        <w:t>but that the irregularity must be put right by the court hearing the merits of the matter itself or by remitting.</w:t>
      </w:r>
    </w:p>
    <w:p w:rsidR="00EB0001" w:rsidRDefault="00606FA3" w:rsidP="0022590C">
      <w:pPr>
        <w:spacing w:line="360" w:lineRule="auto"/>
        <w:jc w:val="both"/>
      </w:pPr>
      <w:r>
        <w:t xml:space="preserve">See the case </w:t>
      </w:r>
      <w:r w:rsidR="003B454A">
        <w:t xml:space="preserve">of </w:t>
      </w:r>
      <w:r w:rsidR="003B454A" w:rsidRPr="009A1371">
        <w:rPr>
          <w:i/>
        </w:rPr>
        <w:t>Dalyn Mine</w:t>
      </w:r>
      <w:r w:rsidR="003B454A">
        <w:t xml:space="preserve"> v </w:t>
      </w:r>
      <w:r w:rsidR="003B454A" w:rsidRPr="009A1371">
        <w:rPr>
          <w:i/>
        </w:rPr>
        <w:t>Musa Banda</w:t>
      </w:r>
      <w:r w:rsidR="003B454A">
        <w:t xml:space="preserve"> SC 39/99.</w:t>
      </w:r>
    </w:p>
    <w:p w:rsidR="003B454A" w:rsidRDefault="003B454A" w:rsidP="00171108">
      <w:pPr>
        <w:jc w:val="both"/>
      </w:pPr>
    </w:p>
    <w:p w:rsidR="003B454A" w:rsidRDefault="003B454A" w:rsidP="009A1371">
      <w:pPr>
        <w:jc w:val="both"/>
      </w:pPr>
      <w:r>
        <w:tab/>
        <w:t>I was of the considered view that the applicant</w:t>
      </w:r>
      <w:r w:rsidR="00D95C0E">
        <w:t xml:space="preserve">’s explanation was unreasonable and further that </w:t>
      </w:r>
      <w:r w:rsidR="00E14BF6">
        <w:t>his</w:t>
      </w:r>
      <w:r w:rsidR="00D95C0E">
        <w:t xml:space="preserve"> case on the merits was a hopeless one.</w:t>
      </w:r>
    </w:p>
    <w:p w:rsidR="00551A01" w:rsidRDefault="00551A01" w:rsidP="009A1371">
      <w:pPr>
        <w:jc w:val="both"/>
      </w:pPr>
    </w:p>
    <w:p w:rsidR="00551A01" w:rsidRDefault="00551A01" w:rsidP="0022590C">
      <w:pPr>
        <w:spacing w:line="360" w:lineRule="auto"/>
        <w:jc w:val="both"/>
      </w:pPr>
      <w:r>
        <w:tab/>
        <w:t>Further I was of the view that filling an appeal out of time before one s</w:t>
      </w:r>
      <w:r w:rsidR="00A51B70">
        <w:t xml:space="preserve">ought and obtained condonation </w:t>
      </w:r>
      <w:r>
        <w:t>is a legal nullity.  The appeal would</w:t>
      </w:r>
      <w:r w:rsidR="009D139B">
        <w:t xml:space="preserve"> be improperly before the court, a</w:t>
      </w:r>
      <w:r>
        <w:t xml:space="preserve"> legal nullity</w:t>
      </w:r>
      <w:r w:rsidR="009D139B">
        <w:t>.  O</w:t>
      </w:r>
      <w:r>
        <w:t xml:space="preserve">ne had to </w:t>
      </w:r>
      <w:r w:rsidR="00AC37FB">
        <w:t>first seek and obtain condonation</w:t>
      </w:r>
      <w:r w:rsidR="004410AE">
        <w:t xml:space="preserve">, </w:t>
      </w:r>
      <w:r w:rsidR="00AC37FB">
        <w:t xml:space="preserve">if condonation </w:t>
      </w:r>
      <w:r w:rsidR="00102D80">
        <w:t>had</w:t>
      </w:r>
      <w:r w:rsidR="00AC37FB">
        <w:t xml:space="preserve"> been granted, </w:t>
      </w:r>
      <w:r w:rsidR="00102D80">
        <w:t>them</w:t>
      </w:r>
      <w:r w:rsidR="00AC37FB">
        <w:t xml:space="preserve"> the appl</w:t>
      </w:r>
      <w:r w:rsidR="00102D80">
        <w:t>icant could have properly filed his appeal.  What was filed before the court prior to this application is a legal nullity</w:t>
      </w:r>
      <w:r w:rsidR="000855AB">
        <w:t xml:space="preserve"> which cannot be amended.</w:t>
      </w:r>
    </w:p>
    <w:p w:rsidR="000855AB" w:rsidRDefault="000855AB" w:rsidP="009A1371">
      <w:pPr>
        <w:jc w:val="both"/>
      </w:pPr>
    </w:p>
    <w:p w:rsidR="000855AB" w:rsidRDefault="000855AB" w:rsidP="009A1371">
      <w:pPr>
        <w:spacing w:line="360" w:lineRule="auto"/>
        <w:ind w:firstLine="720"/>
        <w:jc w:val="both"/>
      </w:pPr>
      <w:r>
        <w:t xml:space="preserve">It was </w:t>
      </w:r>
      <w:r w:rsidR="004410AE">
        <w:t xml:space="preserve">for </w:t>
      </w:r>
      <w:r>
        <w:t xml:space="preserve">the above reasons that I refused to exercise my </w:t>
      </w:r>
      <w:r w:rsidR="009A1371">
        <w:t>discretion</w:t>
      </w:r>
      <w:r>
        <w:t xml:space="preserve"> in favour of the applica</w:t>
      </w:r>
      <w:r w:rsidR="00651B46">
        <w:t>nt and I dismissed his application.</w:t>
      </w:r>
    </w:p>
    <w:p w:rsidR="005F3635" w:rsidRDefault="005F3635" w:rsidP="005F3635">
      <w:pPr>
        <w:spacing w:line="360" w:lineRule="auto"/>
        <w:jc w:val="both"/>
      </w:pPr>
    </w:p>
    <w:p w:rsidR="005F3635" w:rsidRDefault="005F3635" w:rsidP="005F3635">
      <w:pPr>
        <w:spacing w:line="360" w:lineRule="auto"/>
        <w:jc w:val="both"/>
      </w:pPr>
    </w:p>
    <w:p w:rsidR="005F3635" w:rsidRDefault="005F3635" w:rsidP="005F3635">
      <w:pPr>
        <w:spacing w:line="360" w:lineRule="auto"/>
        <w:jc w:val="both"/>
      </w:pPr>
      <w:proofErr w:type="spellStart"/>
      <w:r w:rsidRPr="005F3635">
        <w:rPr>
          <w:i/>
        </w:rPr>
        <w:t>Messrs</w:t>
      </w:r>
      <w:proofErr w:type="spellEnd"/>
      <w:r w:rsidRPr="005F3635">
        <w:rPr>
          <w:i/>
        </w:rPr>
        <w:t xml:space="preserve"> </w:t>
      </w:r>
      <w:proofErr w:type="spellStart"/>
      <w:r w:rsidRPr="005F3635">
        <w:rPr>
          <w:i/>
        </w:rPr>
        <w:t>Kachere</w:t>
      </w:r>
      <w:proofErr w:type="spellEnd"/>
      <w:r w:rsidRPr="005F3635">
        <w:rPr>
          <w:i/>
        </w:rPr>
        <w:t xml:space="preserve"> &amp; </w:t>
      </w:r>
      <w:proofErr w:type="spellStart"/>
      <w:r w:rsidRPr="005F3635">
        <w:rPr>
          <w:i/>
        </w:rPr>
        <w:t>Guwuriro</w:t>
      </w:r>
      <w:proofErr w:type="spellEnd"/>
      <w:r>
        <w:t>, applicant’s legal practitioners</w:t>
      </w:r>
    </w:p>
    <w:p w:rsidR="005F3635" w:rsidRDefault="00626EC4" w:rsidP="005F3635">
      <w:pPr>
        <w:spacing w:line="360" w:lineRule="auto"/>
        <w:jc w:val="both"/>
      </w:pPr>
      <w:proofErr w:type="spellStart"/>
      <w:r w:rsidRPr="00626EC4">
        <w:rPr>
          <w:i/>
        </w:rPr>
        <w:t>Mbidzo</w:t>
      </w:r>
      <w:proofErr w:type="spellEnd"/>
      <w:r w:rsidRPr="00626EC4">
        <w:rPr>
          <w:i/>
        </w:rPr>
        <w:t xml:space="preserve">, </w:t>
      </w:r>
      <w:proofErr w:type="spellStart"/>
      <w:r w:rsidRPr="00626EC4">
        <w:rPr>
          <w:i/>
        </w:rPr>
        <w:t>Muchadehama</w:t>
      </w:r>
      <w:proofErr w:type="spellEnd"/>
      <w:r w:rsidRPr="00626EC4">
        <w:rPr>
          <w:i/>
        </w:rPr>
        <w:t xml:space="preserve"> &amp; </w:t>
      </w:r>
      <w:proofErr w:type="spellStart"/>
      <w:r w:rsidRPr="00626EC4">
        <w:rPr>
          <w:i/>
        </w:rPr>
        <w:t>Makoni</w:t>
      </w:r>
      <w:proofErr w:type="spellEnd"/>
      <w:r>
        <w:t>, respondent’s legal practitioners</w:t>
      </w:r>
    </w:p>
    <w:p w:rsidR="00644BC1" w:rsidRDefault="00644BC1" w:rsidP="0022590C">
      <w:pPr>
        <w:spacing w:line="360" w:lineRule="auto"/>
        <w:jc w:val="both"/>
      </w:pPr>
    </w:p>
    <w:p w:rsidR="002A139F" w:rsidRDefault="002A139F" w:rsidP="0022590C">
      <w:pPr>
        <w:spacing w:line="360" w:lineRule="auto"/>
        <w:jc w:val="both"/>
      </w:pPr>
    </w:p>
    <w:p w:rsidR="002A139F" w:rsidRDefault="002A139F" w:rsidP="0022590C">
      <w:pPr>
        <w:spacing w:line="360" w:lineRule="auto"/>
        <w:jc w:val="both"/>
      </w:pPr>
    </w:p>
    <w:p w:rsidR="0063074C" w:rsidRDefault="0063074C" w:rsidP="0022590C">
      <w:pPr>
        <w:spacing w:line="360" w:lineRule="auto"/>
        <w:jc w:val="both"/>
      </w:pPr>
    </w:p>
    <w:p w:rsidR="00E8732A" w:rsidRDefault="00B75F15" w:rsidP="0022590C">
      <w:pPr>
        <w:spacing w:line="360" w:lineRule="auto"/>
        <w:jc w:val="both"/>
      </w:pPr>
      <w:r>
        <w:t xml:space="preserve"> </w:t>
      </w:r>
    </w:p>
    <w:p w:rsidR="00EE58EE" w:rsidRDefault="00EE58EE" w:rsidP="0022590C">
      <w:pPr>
        <w:spacing w:line="360" w:lineRule="auto"/>
        <w:jc w:val="both"/>
      </w:pPr>
    </w:p>
    <w:p w:rsidR="00EE58EE" w:rsidRDefault="00EE58EE" w:rsidP="0022590C">
      <w:pPr>
        <w:spacing w:line="360" w:lineRule="auto"/>
        <w:jc w:val="both"/>
      </w:pPr>
    </w:p>
    <w:sectPr w:rsidR="00EE58EE" w:rsidSect="00007CE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DA6" w:rsidRDefault="000C4DA6" w:rsidP="00007CE9">
      <w:r>
        <w:separator/>
      </w:r>
    </w:p>
  </w:endnote>
  <w:endnote w:type="continuationSeparator" w:id="0">
    <w:p w:rsidR="000C4DA6" w:rsidRDefault="000C4DA6" w:rsidP="0000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997197"/>
      <w:docPartObj>
        <w:docPartGallery w:val="Page Numbers (Bottom of Page)"/>
        <w:docPartUnique/>
      </w:docPartObj>
    </w:sdtPr>
    <w:sdtEndPr>
      <w:rPr>
        <w:noProof/>
      </w:rPr>
    </w:sdtEndPr>
    <w:sdtContent>
      <w:p w:rsidR="00551A01" w:rsidRDefault="00551A01">
        <w:pPr>
          <w:pStyle w:val="Footer"/>
          <w:jc w:val="center"/>
        </w:pPr>
        <w:r>
          <w:fldChar w:fldCharType="begin"/>
        </w:r>
        <w:r>
          <w:instrText xml:space="preserve"> PAGE   \* MERGEFORMAT </w:instrText>
        </w:r>
        <w:r>
          <w:fldChar w:fldCharType="separate"/>
        </w:r>
        <w:r w:rsidR="006F7847">
          <w:rPr>
            <w:noProof/>
          </w:rPr>
          <w:t>4</w:t>
        </w:r>
        <w:r>
          <w:rPr>
            <w:noProof/>
          </w:rPr>
          <w:fldChar w:fldCharType="end"/>
        </w:r>
      </w:p>
    </w:sdtContent>
  </w:sdt>
  <w:p w:rsidR="00551A01" w:rsidRDefault="00551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DA6" w:rsidRDefault="000C4DA6" w:rsidP="00007CE9">
      <w:r>
        <w:separator/>
      </w:r>
    </w:p>
  </w:footnote>
  <w:footnote w:type="continuationSeparator" w:id="0">
    <w:p w:rsidR="000C4DA6" w:rsidRDefault="000C4DA6" w:rsidP="00007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01" w:rsidRPr="00007CE9" w:rsidRDefault="00551A01">
    <w:pPr>
      <w:pStyle w:val="Header"/>
      <w:rPr>
        <w:lang w:val="en-ZW"/>
      </w:rPr>
    </w:pPr>
    <w:r>
      <w:rPr>
        <w:lang w:val="en-ZW"/>
      </w:rPr>
      <w:tab/>
    </w:r>
    <w:r>
      <w:rPr>
        <w:lang w:val="en-ZW"/>
      </w:rPr>
      <w:tab/>
      <w:t>JUDGMENT NO. LC/H/</w:t>
    </w:r>
    <w:r w:rsidR="00566323">
      <w:rPr>
        <w:lang w:val="en-ZW"/>
      </w:rPr>
      <w:t>289</w:t>
    </w:r>
    <w:r>
      <w:rPr>
        <w:lang w:val="en-ZW"/>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34"/>
    <w:rsid w:val="00007CE9"/>
    <w:rsid w:val="00052120"/>
    <w:rsid w:val="00053AB3"/>
    <w:rsid w:val="00075832"/>
    <w:rsid w:val="000855AB"/>
    <w:rsid w:val="000B7C24"/>
    <w:rsid w:val="000C4DA6"/>
    <w:rsid w:val="00102D80"/>
    <w:rsid w:val="0012614E"/>
    <w:rsid w:val="00132C2A"/>
    <w:rsid w:val="00164F8F"/>
    <w:rsid w:val="00171108"/>
    <w:rsid w:val="00203D0E"/>
    <w:rsid w:val="00210730"/>
    <w:rsid w:val="0022590C"/>
    <w:rsid w:val="002718BC"/>
    <w:rsid w:val="002A139F"/>
    <w:rsid w:val="002A771E"/>
    <w:rsid w:val="002B6112"/>
    <w:rsid w:val="002C0AA5"/>
    <w:rsid w:val="002C107E"/>
    <w:rsid w:val="002F04B0"/>
    <w:rsid w:val="00331589"/>
    <w:rsid w:val="00377342"/>
    <w:rsid w:val="003B454A"/>
    <w:rsid w:val="0040701F"/>
    <w:rsid w:val="0040768C"/>
    <w:rsid w:val="004275C5"/>
    <w:rsid w:val="004369CF"/>
    <w:rsid w:val="004410AE"/>
    <w:rsid w:val="004C01C0"/>
    <w:rsid w:val="004D2D0A"/>
    <w:rsid w:val="004E653B"/>
    <w:rsid w:val="00502625"/>
    <w:rsid w:val="00506BE3"/>
    <w:rsid w:val="0053082F"/>
    <w:rsid w:val="00534DC1"/>
    <w:rsid w:val="00551A01"/>
    <w:rsid w:val="00565ADF"/>
    <w:rsid w:val="00566323"/>
    <w:rsid w:val="005B06A9"/>
    <w:rsid w:val="005E65BB"/>
    <w:rsid w:val="005F3635"/>
    <w:rsid w:val="005F5E10"/>
    <w:rsid w:val="00606FA3"/>
    <w:rsid w:val="00620733"/>
    <w:rsid w:val="00626EC4"/>
    <w:rsid w:val="0063074C"/>
    <w:rsid w:val="00644BC1"/>
    <w:rsid w:val="00651B46"/>
    <w:rsid w:val="0066209F"/>
    <w:rsid w:val="00666635"/>
    <w:rsid w:val="006D5B58"/>
    <w:rsid w:val="006E0534"/>
    <w:rsid w:val="006E5FB2"/>
    <w:rsid w:val="006F0AD5"/>
    <w:rsid w:val="006F7847"/>
    <w:rsid w:val="00705643"/>
    <w:rsid w:val="00721372"/>
    <w:rsid w:val="00757035"/>
    <w:rsid w:val="007A0220"/>
    <w:rsid w:val="007C1DCC"/>
    <w:rsid w:val="007D45D0"/>
    <w:rsid w:val="007D5729"/>
    <w:rsid w:val="007E799C"/>
    <w:rsid w:val="00823151"/>
    <w:rsid w:val="00874764"/>
    <w:rsid w:val="008A14CC"/>
    <w:rsid w:val="008D342C"/>
    <w:rsid w:val="00902F28"/>
    <w:rsid w:val="00904378"/>
    <w:rsid w:val="009217F4"/>
    <w:rsid w:val="00924442"/>
    <w:rsid w:val="009A1371"/>
    <w:rsid w:val="009D139B"/>
    <w:rsid w:val="00A40CCC"/>
    <w:rsid w:val="00A47660"/>
    <w:rsid w:val="00A50FD9"/>
    <w:rsid w:val="00A51B70"/>
    <w:rsid w:val="00A613D3"/>
    <w:rsid w:val="00AC37FB"/>
    <w:rsid w:val="00B50787"/>
    <w:rsid w:val="00B63E95"/>
    <w:rsid w:val="00B65B57"/>
    <w:rsid w:val="00B75F15"/>
    <w:rsid w:val="00BC32B3"/>
    <w:rsid w:val="00BD4AAA"/>
    <w:rsid w:val="00BE311D"/>
    <w:rsid w:val="00BF1ACF"/>
    <w:rsid w:val="00C05E73"/>
    <w:rsid w:val="00C06E85"/>
    <w:rsid w:val="00C466F4"/>
    <w:rsid w:val="00C66136"/>
    <w:rsid w:val="00C6655A"/>
    <w:rsid w:val="00CA2B57"/>
    <w:rsid w:val="00CD6BE6"/>
    <w:rsid w:val="00D90565"/>
    <w:rsid w:val="00D95C0E"/>
    <w:rsid w:val="00DA3E19"/>
    <w:rsid w:val="00DF08C7"/>
    <w:rsid w:val="00E05219"/>
    <w:rsid w:val="00E10CFF"/>
    <w:rsid w:val="00E110CE"/>
    <w:rsid w:val="00E14BF6"/>
    <w:rsid w:val="00E46CF6"/>
    <w:rsid w:val="00E617A5"/>
    <w:rsid w:val="00E71943"/>
    <w:rsid w:val="00E734AB"/>
    <w:rsid w:val="00E80D03"/>
    <w:rsid w:val="00E8732A"/>
    <w:rsid w:val="00EB0001"/>
    <w:rsid w:val="00EE58EE"/>
    <w:rsid w:val="00F139C1"/>
    <w:rsid w:val="00F8085D"/>
    <w:rsid w:val="00FA7E60"/>
    <w:rsid w:val="00FB12E5"/>
    <w:rsid w:val="00FC33BC"/>
    <w:rsid w:val="00FF10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3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CE9"/>
    <w:pPr>
      <w:tabs>
        <w:tab w:val="center" w:pos="4513"/>
        <w:tab w:val="right" w:pos="9026"/>
      </w:tabs>
    </w:pPr>
  </w:style>
  <w:style w:type="character" w:customStyle="1" w:styleId="HeaderChar">
    <w:name w:val="Header Char"/>
    <w:basedOn w:val="DefaultParagraphFont"/>
    <w:link w:val="Header"/>
    <w:uiPriority w:val="99"/>
    <w:rsid w:val="00007CE9"/>
    <w:rPr>
      <w:rFonts w:ascii="Tahoma" w:eastAsia="Times New Roman" w:hAnsi="Tahoma" w:cs="Times New Roman"/>
      <w:sz w:val="24"/>
      <w:szCs w:val="24"/>
      <w:lang w:val="en-US"/>
    </w:rPr>
  </w:style>
  <w:style w:type="paragraph" w:styleId="Footer">
    <w:name w:val="footer"/>
    <w:basedOn w:val="Normal"/>
    <w:link w:val="FooterChar"/>
    <w:uiPriority w:val="99"/>
    <w:unhideWhenUsed/>
    <w:rsid w:val="00007CE9"/>
    <w:pPr>
      <w:tabs>
        <w:tab w:val="center" w:pos="4513"/>
        <w:tab w:val="right" w:pos="9026"/>
      </w:tabs>
    </w:pPr>
  </w:style>
  <w:style w:type="character" w:customStyle="1" w:styleId="FooterChar">
    <w:name w:val="Footer Char"/>
    <w:basedOn w:val="DefaultParagraphFont"/>
    <w:link w:val="Footer"/>
    <w:uiPriority w:val="99"/>
    <w:rsid w:val="00007CE9"/>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5F3635"/>
    <w:rPr>
      <w:rFonts w:cs="Tahoma"/>
      <w:sz w:val="16"/>
      <w:szCs w:val="16"/>
    </w:rPr>
  </w:style>
  <w:style w:type="character" w:customStyle="1" w:styleId="BalloonTextChar">
    <w:name w:val="Balloon Text Char"/>
    <w:basedOn w:val="DefaultParagraphFont"/>
    <w:link w:val="BalloonText"/>
    <w:uiPriority w:val="99"/>
    <w:semiHidden/>
    <w:rsid w:val="005F363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3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CE9"/>
    <w:pPr>
      <w:tabs>
        <w:tab w:val="center" w:pos="4513"/>
        <w:tab w:val="right" w:pos="9026"/>
      </w:tabs>
    </w:pPr>
  </w:style>
  <w:style w:type="character" w:customStyle="1" w:styleId="HeaderChar">
    <w:name w:val="Header Char"/>
    <w:basedOn w:val="DefaultParagraphFont"/>
    <w:link w:val="Header"/>
    <w:uiPriority w:val="99"/>
    <w:rsid w:val="00007CE9"/>
    <w:rPr>
      <w:rFonts w:ascii="Tahoma" w:eastAsia="Times New Roman" w:hAnsi="Tahoma" w:cs="Times New Roman"/>
      <w:sz w:val="24"/>
      <w:szCs w:val="24"/>
      <w:lang w:val="en-US"/>
    </w:rPr>
  </w:style>
  <w:style w:type="paragraph" w:styleId="Footer">
    <w:name w:val="footer"/>
    <w:basedOn w:val="Normal"/>
    <w:link w:val="FooterChar"/>
    <w:uiPriority w:val="99"/>
    <w:unhideWhenUsed/>
    <w:rsid w:val="00007CE9"/>
    <w:pPr>
      <w:tabs>
        <w:tab w:val="center" w:pos="4513"/>
        <w:tab w:val="right" w:pos="9026"/>
      </w:tabs>
    </w:pPr>
  </w:style>
  <w:style w:type="character" w:customStyle="1" w:styleId="FooterChar">
    <w:name w:val="Footer Char"/>
    <w:basedOn w:val="DefaultParagraphFont"/>
    <w:link w:val="Footer"/>
    <w:uiPriority w:val="99"/>
    <w:rsid w:val="00007CE9"/>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5F3635"/>
    <w:rPr>
      <w:rFonts w:cs="Tahoma"/>
      <w:sz w:val="16"/>
      <w:szCs w:val="16"/>
    </w:rPr>
  </w:style>
  <w:style w:type="character" w:customStyle="1" w:styleId="BalloonTextChar">
    <w:name w:val="Balloon Text Char"/>
    <w:basedOn w:val="DefaultParagraphFont"/>
    <w:link w:val="BalloonText"/>
    <w:uiPriority w:val="99"/>
    <w:semiHidden/>
    <w:rsid w:val="005F363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7F77A-14FE-4043-AEE1-FB075F66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49</cp:revision>
  <cp:lastPrinted>2016-04-15T06:34:00Z</cp:lastPrinted>
  <dcterms:created xsi:type="dcterms:W3CDTF">2016-04-05T10:05:00Z</dcterms:created>
  <dcterms:modified xsi:type="dcterms:W3CDTF">2016-05-05T06:59:00Z</dcterms:modified>
</cp:coreProperties>
</file>