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BB" w:rsidRPr="003E7EE7" w:rsidRDefault="00A610BB" w:rsidP="00A610BB">
      <w:pPr>
        <w:spacing w:line="360" w:lineRule="auto"/>
        <w:jc w:val="both"/>
        <w:rPr>
          <w:rFonts w:cs="Tahoma"/>
          <w:b/>
        </w:rPr>
      </w:pPr>
      <w:r w:rsidRPr="003E7EE7">
        <w:rPr>
          <w:rFonts w:cs="Tahoma"/>
          <w:b/>
        </w:rPr>
        <w:t>IN THE LABOUR COURT O</w:t>
      </w:r>
      <w:r>
        <w:rPr>
          <w:rFonts w:cs="Tahoma"/>
          <w:b/>
        </w:rPr>
        <w:t>F ZIMBABWE</w:t>
      </w:r>
      <w:r>
        <w:rPr>
          <w:rFonts w:cs="Tahoma"/>
          <w:b/>
        </w:rPr>
        <w:tab/>
        <w:t xml:space="preserve">    </w:t>
      </w:r>
      <w:r w:rsidRPr="003E7EE7">
        <w:rPr>
          <w:rFonts w:cs="Tahoma"/>
          <w:b/>
        </w:rPr>
        <w:t>JUDGMENT NO. LC/H/</w:t>
      </w:r>
      <w:r w:rsidR="007D5F4C">
        <w:rPr>
          <w:rFonts w:cs="Tahoma"/>
          <w:b/>
        </w:rPr>
        <w:t>581</w:t>
      </w:r>
      <w:bookmarkStart w:id="0" w:name="_GoBack"/>
      <w:bookmarkEnd w:id="0"/>
      <w:r w:rsidRPr="003E7EE7">
        <w:rPr>
          <w:rFonts w:cs="Tahoma"/>
          <w:b/>
        </w:rPr>
        <w:t>/16</w:t>
      </w:r>
    </w:p>
    <w:p w:rsidR="00A610BB" w:rsidRPr="003E7EE7" w:rsidRDefault="00A610BB" w:rsidP="00A610BB">
      <w:pPr>
        <w:spacing w:line="360" w:lineRule="auto"/>
        <w:jc w:val="both"/>
        <w:rPr>
          <w:rFonts w:cs="Tahoma"/>
          <w:b/>
        </w:rPr>
      </w:pPr>
      <w:r w:rsidRPr="003E7EE7">
        <w:rPr>
          <w:rFonts w:cs="Tahoma"/>
          <w:b/>
        </w:rPr>
        <w:t xml:space="preserve">HARARE, </w:t>
      </w:r>
      <w:r w:rsidR="00707FD1">
        <w:rPr>
          <w:rFonts w:cs="Tahoma"/>
          <w:b/>
        </w:rPr>
        <w:t xml:space="preserve">27 JUNE </w:t>
      </w:r>
      <w:r>
        <w:rPr>
          <w:rFonts w:cs="Tahoma"/>
          <w:b/>
        </w:rPr>
        <w:t>2016</w:t>
      </w:r>
      <w:r>
        <w:rPr>
          <w:rFonts w:cs="Tahoma"/>
          <w:b/>
        </w:rPr>
        <w:tab/>
      </w:r>
      <w:r>
        <w:rPr>
          <w:rFonts w:cs="Tahoma"/>
          <w:b/>
        </w:rPr>
        <w:tab/>
      </w:r>
      <w:r>
        <w:rPr>
          <w:rFonts w:cs="Tahoma"/>
          <w:b/>
        </w:rPr>
        <w:tab/>
      </w:r>
      <w:r>
        <w:rPr>
          <w:rFonts w:cs="Tahoma"/>
          <w:b/>
        </w:rPr>
        <w:tab/>
        <w:t xml:space="preserve">     </w:t>
      </w:r>
      <w:r w:rsidRPr="003E7EE7">
        <w:rPr>
          <w:rFonts w:cs="Tahoma"/>
          <w:b/>
        </w:rPr>
        <w:t>CASE NO. LC/H/</w:t>
      </w:r>
      <w:r w:rsidR="00707FD1">
        <w:rPr>
          <w:rFonts w:cs="Tahoma"/>
          <w:b/>
        </w:rPr>
        <w:t>LRA</w:t>
      </w:r>
      <w:r w:rsidR="00290798">
        <w:rPr>
          <w:rFonts w:cs="Tahoma"/>
          <w:b/>
        </w:rPr>
        <w:t>/31</w:t>
      </w:r>
      <w:r w:rsidR="00707FD1">
        <w:rPr>
          <w:rFonts w:cs="Tahoma"/>
          <w:b/>
        </w:rPr>
        <w:t>/16</w:t>
      </w:r>
    </w:p>
    <w:p w:rsidR="00A610BB" w:rsidRPr="003E7EE7" w:rsidRDefault="00A610BB" w:rsidP="00A610BB">
      <w:pPr>
        <w:spacing w:line="360" w:lineRule="auto"/>
        <w:jc w:val="both"/>
        <w:rPr>
          <w:rFonts w:cs="Tahoma"/>
          <w:b/>
        </w:rPr>
      </w:pPr>
      <w:r>
        <w:rPr>
          <w:rFonts w:cs="Tahoma"/>
          <w:b/>
        </w:rPr>
        <w:t xml:space="preserve"> AND </w:t>
      </w:r>
      <w:r w:rsidR="006E5B25">
        <w:rPr>
          <w:rFonts w:cs="Tahoma"/>
          <w:b/>
        </w:rPr>
        <w:t xml:space="preserve">23 </w:t>
      </w:r>
      <w:r w:rsidR="007D5F4C">
        <w:rPr>
          <w:rFonts w:cs="Tahoma"/>
          <w:b/>
        </w:rPr>
        <w:t>SEPTEMBER</w:t>
      </w:r>
      <w:r w:rsidRPr="003E7EE7">
        <w:rPr>
          <w:rFonts w:cs="Tahoma"/>
          <w:b/>
        </w:rPr>
        <w:t xml:space="preserve"> 2016</w:t>
      </w:r>
      <w:r w:rsidRPr="003E7EE7">
        <w:rPr>
          <w:rFonts w:cs="Tahoma"/>
          <w:b/>
        </w:rPr>
        <w:tab/>
      </w:r>
      <w:r w:rsidRPr="003E7EE7">
        <w:rPr>
          <w:rFonts w:cs="Tahoma"/>
          <w:b/>
        </w:rPr>
        <w:tab/>
      </w:r>
      <w:r w:rsidRPr="003E7EE7">
        <w:rPr>
          <w:rFonts w:cs="Tahoma"/>
          <w:b/>
        </w:rPr>
        <w:tab/>
      </w:r>
      <w:r w:rsidRPr="003E7EE7">
        <w:rPr>
          <w:rFonts w:cs="Tahoma"/>
          <w:b/>
        </w:rPr>
        <w:tab/>
      </w:r>
      <w:r w:rsidRPr="003E7EE7">
        <w:rPr>
          <w:rFonts w:cs="Tahoma"/>
          <w:b/>
        </w:rPr>
        <w:tab/>
      </w:r>
      <w:r w:rsidRPr="003E7EE7">
        <w:rPr>
          <w:rFonts w:cs="Tahoma"/>
          <w:b/>
        </w:rPr>
        <w:tab/>
        <w:t xml:space="preserve"> </w:t>
      </w:r>
    </w:p>
    <w:p w:rsidR="00A610BB" w:rsidRPr="003E7EE7" w:rsidRDefault="00A610BB" w:rsidP="00A610BB">
      <w:pPr>
        <w:spacing w:line="360" w:lineRule="auto"/>
        <w:jc w:val="both"/>
        <w:rPr>
          <w:rFonts w:cs="Tahoma"/>
        </w:rPr>
      </w:pPr>
      <w:r w:rsidRPr="003E7EE7">
        <w:rPr>
          <w:rFonts w:cs="Tahoma"/>
        </w:rPr>
        <w:t>In the matter between:-</w:t>
      </w:r>
    </w:p>
    <w:p w:rsidR="00A610BB" w:rsidRPr="003E7EE7" w:rsidRDefault="00A610BB" w:rsidP="00A610BB">
      <w:pPr>
        <w:spacing w:line="360" w:lineRule="auto"/>
        <w:jc w:val="both"/>
        <w:rPr>
          <w:rFonts w:cs="Tahoma"/>
        </w:rPr>
      </w:pPr>
    </w:p>
    <w:p w:rsidR="00A610BB" w:rsidRPr="003E7EE7" w:rsidRDefault="0057426D" w:rsidP="00A610BB">
      <w:pPr>
        <w:spacing w:line="360" w:lineRule="auto"/>
        <w:jc w:val="both"/>
        <w:rPr>
          <w:rFonts w:cs="Tahoma"/>
          <w:b/>
        </w:rPr>
      </w:pPr>
      <w:r>
        <w:rPr>
          <w:rFonts w:cs="Tahoma"/>
          <w:b/>
        </w:rPr>
        <w:t>MAXWELL SABILIKA</w:t>
      </w:r>
      <w:r>
        <w:rPr>
          <w:rFonts w:cs="Tahoma"/>
          <w:b/>
        </w:rPr>
        <w:tab/>
      </w:r>
      <w:r>
        <w:rPr>
          <w:rFonts w:cs="Tahoma"/>
          <w:b/>
        </w:rPr>
        <w:tab/>
      </w:r>
      <w:r w:rsidR="00A610BB" w:rsidRPr="003E7EE7">
        <w:rPr>
          <w:rFonts w:cs="Tahoma"/>
          <w:b/>
        </w:rPr>
        <w:tab/>
      </w:r>
      <w:r w:rsidR="00A610BB" w:rsidRPr="003E7EE7">
        <w:rPr>
          <w:rFonts w:cs="Tahoma"/>
          <w:b/>
        </w:rPr>
        <w:tab/>
      </w:r>
      <w:r w:rsidR="00A610BB" w:rsidRPr="003E7EE7">
        <w:rPr>
          <w:rFonts w:cs="Tahoma"/>
          <w:b/>
        </w:rPr>
        <w:tab/>
      </w:r>
      <w:r w:rsidR="00A610BB" w:rsidRPr="003E7EE7">
        <w:rPr>
          <w:rFonts w:cs="Tahoma"/>
          <w:b/>
        </w:rPr>
        <w:tab/>
        <w:t>Applicant</w:t>
      </w:r>
    </w:p>
    <w:p w:rsidR="00A610BB" w:rsidRPr="003E7EE7" w:rsidRDefault="00A610BB" w:rsidP="00A610BB">
      <w:pPr>
        <w:spacing w:line="360" w:lineRule="auto"/>
        <w:jc w:val="both"/>
        <w:rPr>
          <w:rFonts w:cs="Tahoma"/>
        </w:rPr>
      </w:pPr>
      <w:r w:rsidRPr="003E7EE7">
        <w:rPr>
          <w:rFonts w:cs="Tahoma"/>
        </w:rPr>
        <w:t>And</w:t>
      </w:r>
    </w:p>
    <w:p w:rsidR="00A610BB" w:rsidRDefault="0057426D" w:rsidP="00A610BB">
      <w:pPr>
        <w:spacing w:line="360" w:lineRule="auto"/>
        <w:jc w:val="both"/>
        <w:rPr>
          <w:rFonts w:cs="Tahoma"/>
          <w:b/>
        </w:rPr>
      </w:pPr>
      <w:r>
        <w:rPr>
          <w:rFonts w:cs="Tahoma"/>
          <w:b/>
        </w:rPr>
        <w:t>CLOVER LEAF MOTORS GROUP</w:t>
      </w:r>
      <w:r w:rsidR="00A610BB" w:rsidRPr="003E7EE7">
        <w:rPr>
          <w:rFonts w:cs="Tahoma"/>
          <w:b/>
        </w:rPr>
        <w:tab/>
      </w:r>
      <w:r w:rsidR="00A610BB" w:rsidRPr="003E7EE7">
        <w:rPr>
          <w:rFonts w:cs="Tahoma"/>
          <w:b/>
        </w:rPr>
        <w:tab/>
      </w:r>
      <w:r w:rsidR="00A610BB" w:rsidRPr="003E7EE7">
        <w:rPr>
          <w:rFonts w:cs="Tahoma"/>
          <w:b/>
        </w:rPr>
        <w:tab/>
      </w:r>
      <w:r w:rsidR="00A610BB" w:rsidRPr="003E7EE7">
        <w:rPr>
          <w:rFonts w:cs="Tahoma"/>
          <w:b/>
        </w:rPr>
        <w:tab/>
      </w:r>
      <w:r>
        <w:rPr>
          <w:rFonts w:cs="Tahoma"/>
          <w:b/>
        </w:rPr>
        <w:t>1</w:t>
      </w:r>
      <w:r w:rsidRPr="0057426D">
        <w:rPr>
          <w:rFonts w:cs="Tahoma"/>
          <w:b/>
          <w:vertAlign w:val="superscript"/>
        </w:rPr>
        <w:t>st</w:t>
      </w:r>
      <w:r>
        <w:rPr>
          <w:rFonts w:cs="Tahoma"/>
          <w:b/>
        </w:rPr>
        <w:t xml:space="preserve"> </w:t>
      </w:r>
      <w:r w:rsidR="00A610BB" w:rsidRPr="003E7EE7">
        <w:rPr>
          <w:rFonts w:cs="Tahoma"/>
          <w:b/>
        </w:rPr>
        <w:t>Respondent</w:t>
      </w:r>
    </w:p>
    <w:p w:rsidR="009E2230" w:rsidRDefault="009E2230" w:rsidP="00A610BB">
      <w:pPr>
        <w:spacing w:line="360" w:lineRule="auto"/>
        <w:jc w:val="both"/>
        <w:rPr>
          <w:rFonts w:cs="Tahoma"/>
        </w:rPr>
      </w:pPr>
      <w:r>
        <w:rPr>
          <w:rFonts w:cs="Tahoma"/>
        </w:rPr>
        <w:t>And</w:t>
      </w:r>
    </w:p>
    <w:p w:rsidR="009E2230" w:rsidRPr="009E2230" w:rsidRDefault="009E2230" w:rsidP="00A610BB">
      <w:pPr>
        <w:spacing w:line="360" w:lineRule="auto"/>
        <w:jc w:val="both"/>
        <w:rPr>
          <w:rFonts w:cs="Tahoma"/>
          <w:b/>
        </w:rPr>
      </w:pPr>
      <w:r>
        <w:rPr>
          <w:rFonts w:cs="Tahoma"/>
          <w:b/>
        </w:rPr>
        <w:t>RICHARD MWANZA &amp; 22 ORS</w:t>
      </w:r>
      <w:r>
        <w:rPr>
          <w:rFonts w:cs="Tahoma"/>
          <w:b/>
        </w:rPr>
        <w:tab/>
      </w:r>
      <w:r>
        <w:rPr>
          <w:rFonts w:cs="Tahoma"/>
          <w:b/>
        </w:rPr>
        <w:tab/>
      </w:r>
      <w:r>
        <w:rPr>
          <w:rFonts w:cs="Tahoma"/>
          <w:b/>
        </w:rPr>
        <w:tab/>
      </w:r>
      <w:r>
        <w:rPr>
          <w:rFonts w:cs="Tahoma"/>
          <w:b/>
        </w:rPr>
        <w:tab/>
      </w:r>
      <w:r>
        <w:rPr>
          <w:rFonts w:cs="Tahoma"/>
          <w:b/>
        </w:rPr>
        <w:tab/>
        <w:t>2</w:t>
      </w:r>
      <w:r w:rsidRPr="009E2230">
        <w:rPr>
          <w:rFonts w:cs="Tahoma"/>
          <w:b/>
          <w:vertAlign w:val="superscript"/>
        </w:rPr>
        <w:t>nd</w:t>
      </w:r>
      <w:r w:rsidR="00D70515">
        <w:rPr>
          <w:rFonts w:cs="Tahoma"/>
          <w:b/>
        </w:rPr>
        <w:t xml:space="preserve"> Respondent</w:t>
      </w:r>
    </w:p>
    <w:p w:rsidR="00A610BB" w:rsidRPr="003E7EE7" w:rsidRDefault="00A610BB" w:rsidP="00A610BB">
      <w:pPr>
        <w:spacing w:line="360" w:lineRule="auto"/>
        <w:jc w:val="both"/>
        <w:rPr>
          <w:rFonts w:cs="Tahoma"/>
          <w:b/>
        </w:rPr>
      </w:pPr>
    </w:p>
    <w:p w:rsidR="00A610BB" w:rsidRDefault="00A610BB" w:rsidP="00A610BB">
      <w:pPr>
        <w:spacing w:line="360" w:lineRule="auto"/>
        <w:jc w:val="both"/>
        <w:rPr>
          <w:rFonts w:cs="Tahoma"/>
        </w:rPr>
      </w:pPr>
      <w:r w:rsidRPr="003E7EE7">
        <w:rPr>
          <w:rFonts w:cs="Tahoma"/>
        </w:rPr>
        <w:t xml:space="preserve">Before </w:t>
      </w:r>
      <w:r w:rsidR="0029529F">
        <w:rPr>
          <w:rFonts w:cs="Tahoma"/>
        </w:rPr>
        <w:t xml:space="preserve">The </w:t>
      </w:r>
      <w:proofErr w:type="spellStart"/>
      <w:r w:rsidR="0029529F">
        <w:rPr>
          <w:rFonts w:cs="Tahoma"/>
        </w:rPr>
        <w:t>Honourables</w:t>
      </w:r>
      <w:proofErr w:type="spellEnd"/>
      <w:r w:rsidR="0029529F">
        <w:rPr>
          <w:rFonts w:cs="Tahoma"/>
        </w:rPr>
        <w:t xml:space="preserve"> E. </w:t>
      </w:r>
      <w:proofErr w:type="spellStart"/>
      <w:r w:rsidR="0029529F">
        <w:rPr>
          <w:rFonts w:cs="Tahoma"/>
        </w:rPr>
        <w:t>Muchawa</w:t>
      </w:r>
      <w:proofErr w:type="spellEnd"/>
      <w:r w:rsidR="0029529F">
        <w:rPr>
          <w:rFonts w:cs="Tahoma"/>
        </w:rPr>
        <w:t>, J</w:t>
      </w:r>
    </w:p>
    <w:p w:rsidR="0029529F" w:rsidRPr="003E7EE7" w:rsidRDefault="0029529F" w:rsidP="00A610BB">
      <w:pPr>
        <w:spacing w:line="360" w:lineRule="auto"/>
        <w:jc w:val="both"/>
        <w:rPr>
          <w:rFonts w:cs="Tahoma"/>
        </w:rPr>
      </w:pPr>
      <w:r>
        <w:rPr>
          <w:rFonts w:cs="Tahoma"/>
        </w:rPr>
        <w:tab/>
      </w:r>
      <w:r>
        <w:rPr>
          <w:rFonts w:cs="Tahoma"/>
        </w:rPr>
        <w:tab/>
      </w:r>
      <w:r>
        <w:rPr>
          <w:rFonts w:cs="Tahoma"/>
        </w:rPr>
        <w:tab/>
        <w:t xml:space="preserve">      P. </w:t>
      </w:r>
      <w:proofErr w:type="spellStart"/>
      <w:r>
        <w:rPr>
          <w:rFonts w:cs="Tahoma"/>
        </w:rPr>
        <w:t>Muzofa</w:t>
      </w:r>
      <w:proofErr w:type="spellEnd"/>
      <w:r>
        <w:rPr>
          <w:rFonts w:cs="Tahoma"/>
        </w:rPr>
        <w:t>, J</w:t>
      </w:r>
    </w:p>
    <w:p w:rsidR="00A610BB" w:rsidRPr="003E7EE7" w:rsidRDefault="00A610BB" w:rsidP="00A610BB">
      <w:pPr>
        <w:spacing w:line="360" w:lineRule="auto"/>
        <w:jc w:val="both"/>
        <w:rPr>
          <w:rFonts w:cs="Tahoma"/>
        </w:rPr>
      </w:pPr>
    </w:p>
    <w:p w:rsidR="00A610BB" w:rsidRPr="003E7EE7" w:rsidRDefault="00A610BB" w:rsidP="00A610BB">
      <w:pPr>
        <w:spacing w:line="360" w:lineRule="auto"/>
        <w:ind w:left="2880" w:hanging="2880"/>
        <w:jc w:val="both"/>
        <w:rPr>
          <w:rFonts w:cs="Tahoma"/>
          <w:b/>
        </w:rPr>
      </w:pPr>
      <w:r w:rsidRPr="003E7EE7">
        <w:rPr>
          <w:rFonts w:cs="Tahoma"/>
          <w:b/>
        </w:rPr>
        <w:t>Applicant</w:t>
      </w:r>
      <w:r w:rsidR="0029529F">
        <w:rPr>
          <w:rFonts w:cs="Tahoma"/>
          <w:b/>
        </w:rPr>
        <w:tab/>
        <w:t>In person (Labour</w:t>
      </w:r>
      <w:r w:rsidR="007F3D54">
        <w:rPr>
          <w:rFonts w:cs="Tahoma"/>
          <w:b/>
        </w:rPr>
        <w:t xml:space="preserve"> Officer)</w:t>
      </w:r>
      <w:r>
        <w:rPr>
          <w:rFonts w:cs="Tahoma"/>
          <w:b/>
        </w:rPr>
        <w:tab/>
      </w:r>
    </w:p>
    <w:p w:rsidR="00F67C61" w:rsidRDefault="00A610BB" w:rsidP="00A610BB">
      <w:pPr>
        <w:spacing w:line="360" w:lineRule="auto"/>
        <w:ind w:left="2880" w:hanging="2880"/>
        <w:jc w:val="both"/>
        <w:rPr>
          <w:rFonts w:cs="Tahoma"/>
          <w:b/>
        </w:rPr>
      </w:pPr>
      <w:r w:rsidRPr="003E7EE7">
        <w:rPr>
          <w:rFonts w:cs="Tahoma"/>
          <w:b/>
        </w:rPr>
        <w:t xml:space="preserve">For </w:t>
      </w:r>
      <w:r w:rsidR="007F3D54">
        <w:rPr>
          <w:rFonts w:cs="Tahoma"/>
          <w:b/>
        </w:rPr>
        <w:t>1</w:t>
      </w:r>
      <w:r w:rsidR="007F3D54" w:rsidRPr="007F3D54">
        <w:rPr>
          <w:rFonts w:cs="Tahoma"/>
          <w:b/>
          <w:vertAlign w:val="superscript"/>
        </w:rPr>
        <w:t>st</w:t>
      </w:r>
      <w:r w:rsidR="007F3D54">
        <w:rPr>
          <w:rFonts w:cs="Tahoma"/>
          <w:b/>
        </w:rPr>
        <w:t xml:space="preserve"> </w:t>
      </w:r>
      <w:r w:rsidRPr="003E7EE7">
        <w:rPr>
          <w:rFonts w:cs="Tahoma"/>
          <w:b/>
        </w:rPr>
        <w:t>Respondent</w:t>
      </w:r>
      <w:r w:rsidR="007F3D54">
        <w:rPr>
          <w:rFonts w:cs="Tahoma"/>
          <w:b/>
        </w:rPr>
        <w:tab/>
        <w:t>J.R. Tsi</w:t>
      </w:r>
      <w:r w:rsidR="000832F4">
        <w:rPr>
          <w:rFonts w:cs="Tahoma"/>
          <w:b/>
        </w:rPr>
        <w:t>vama (Legal Practitioner)</w:t>
      </w:r>
    </w:p>
    <w:p w:rsidR="00A610BB" w:rsidRDefault="00F67C61" w:rsidP="00A610BB">
      <w:pPr>
        <w:spacing w:line="360" w:lineRule="auto"/>
        <w:ind w:left="2880" w:hanging="2880"/>
        <w:jc w:val="both"/>
        <w:rPr>
          <w:rFonts w:cs="Tahoma"/>
          <w:b/>
        </w:rPr>
      </w:pPr>
      <w:r>
        <w:rPr>
          <w:rFonts w:cs="Tahoma"/>
          <w:b/>
        </w:rPr>
        <w:t>For 2</w:t>
      </w:r>
      <w:r w:rsidRPr="00F67C61">
        <w:rPr>
          <w:rFonts w:cs="Tahoma"/>
          <w:b/>
          <w:vertAlign w:val="superscript"/>
        </w:rPr>
        <w:t>nd</w:t>
      </w:r>
      <w:r>
        <w:rPr>
          <w:rFonts w:cs="Tahoma"/>
          <w:b/>
        </w:rPr>
        <w:t xml:space="preserve"> Respondent</w:t>
      </w:r>
      <w:r>
        <w:rPr>
          <w:rFonts w:cs="Tahoma"/>
          <w:b/>
        </w:rPr>
        <w:tab/>
        <w:t>M Mandikumba (Legal Practitioner)</w:t>
      </w:r>
      <w:r w:rsidR="007F3D54">
        <w:rPr>
          <w:rFonts w:cs="Tahoma"/>
          <w:b/>
        </w:rPr>
        <w:tab/>
      </w:r>
      <w:r w:rsidR="00A610BB">
        <w:rPr>
          <w:rFonts w:cs="Tahoma"/>
          <w:b/>
        </w:rPr>
        <w:tab/>
      </w:r>
    </w:p>
    <w:p w:rsidR="00A610BB" w:rsidRDefault="00A610BB" w:rsidP="00A610BB">
      <w:pPr>
        <w:spacing w:line="360" w:lineRule="auto"/>
        <w:ind w:left="2880" w:hanging="2880"/>
        <w:jc w:val="both"/>
        <w:rPr>
          <w:rFonts w:cs="Tahoma"/>
          <w:b/>
        </w:rPr>
      </w:pPr>
    </w:p>
    <w:p w:rsidR="00A610BB" w:rsidRPr="003E7EE7" w:rsidRDefault="00A610BB" w:rsidP="00A610BB">
      <w:pPr>
        <w:spacing w:line="360" w:lineRule="auto"/>
        <w:ind w:left="2880" w:hanging="2880"/>
        <w:jc w:val="both"/>
        <w:rPr>
          <w:rFonts w:cs="Tahoma"/>
          <w:b/>
        </w:rPr>
      </w:pPr>
    </w:p>
    <w:p w:rsidR="00A610BB" w:rsidRPr="003E7EE7" w:rsidRDefault="00A610BB" w:rsidP="00A610BB">
      <w:pPr>
        <w:spacing w:line="360" w:lineRule="auto"/>
        <w:jc w:val="both"/>
        <w:rPr>
          <w:rFonts w:cs="Tahoma"/>
          <w:b/>
        </w:rPr>
      </w:pPr>
      <w:r w:rsidRPr="003E7EE7">
        <w:rPr>
          <w:rFonts w:cs="Tahoma"/>
          <w:b/>
        </w:rPr>
        <w:t>MUCHAWA, J:</w:t>
      </w:r>
    </w:p>
    <w:p w:rsidR="003355BA" w:rsidRDefault="003355BA" w:rsidP="009B0714">
      <w:pPr>
        <w:spacing w:line="360" w:lineRule="auto"/>
        <w:jc w:val="both"/>
      </w:pPr>
    </w:p>
    <w:p w:rsidR="009B0714" w:rsidRDefault="008C5362" w:rsidP="009B0714">
      <w:pPr>
        <w:spacing w:line="360" w:lineRule="auto"/>
        <w:jc w:val="both"/>
      </w:pPr>
      <w:r>
        <w:tab/>
        <w:t xml:space="preserve">This matter came before us as an application for confirmation of the ruling of the applicant </w:t>
      </w:r>
      <w:r w:rsidR="00B32C92">
        <w:t xml:space="preserve">in a matter concerning the first respondent and the second respondents being </w:t>
      </w:r>
      <w:r w:rsidR="00B32C92" w:rsidRPr="00AE6E19">
        <w:rPr>
          <w:i/>
        </w:rPr>
        <w:t xml:space="preserve">Richard Mwanza and 22 </w:t>
      </w:r>
      <w:r w:rsidR="00AE6E19" w:rsidRPr="00AE6E19">
        <w:rPr>
          <w:i/>
        </w:rPr>
        <w:t>others</w:t>
      </w:r>
      <w:r w:rsidR="00B32C92">
        <w:t>.</w:t>
      </w:r>
    </w:p>
    <w:p w:rsidR="00B32C92" w:rsidRDefault="00B32C92" w:rsidP="00AE6E19">
      <w:pPr>
        <w:jc w:val="both"/>
      </w:pPr>
    </w:p>
    <w:p w:rsidR="00B32C92" w:rsidRDefault="00B32C92" w:rsidP="009B0714">
      <w:pPr>
        <w:spacing w:line="360" w:lineRule="auto"/>
        <w:jc w:val="both"/>
      </w:pPr>
      <w:r>
        <w:tab/>
        <w:t xml:space="preserve">On the </w:t>
      </w:r>
      <w:r w:rsidR="00877354">
        <w:t>24</w:t>
      </w:r>
      <w:r w:rsidR="00877354" w:rsidRPr="00877354">
        <w:rPr>
          <w:vertAlign w:val="superscript"/>
        </w:rPr>
        <w:t>th</w:t>
      </w:r>
      <w:r w:rsidR="00877354">
        <w:t xml:space="preserve"> of July 2015, the first respondent gave Richard Mwanza and 22 </w:t>
      </w:r>
      <w:r w:rsidR="00B76319">
        <w:t xml:space="preserve">others, three months’ notice of intention to terminate contracts of employment between them.  In the letters of notice to terminate, the first respondent indicated </w:t>
      </w:r>
      <w:r w:rsidR="00C85EE5">
        <w:t xml:space="preserve">that the decision had been reached due to the declining company </w:t>
      </w:r>
      <w:r w:rsidR="00086390">
        <w:t>performance</w:t>
      </w:r>
      <w:r w:rsidR="00C85EE5">
        <w:t>.</w:t>
      </w:r>
    </w:p>
    <w:p w:rsidR="00086390" w:rsidRDefault="00086390" w:rsidP="00AE6E19">
      <w:pPr>
        <w:spacing w:line="276" w:lineRule="auto"/>
        <w:jc w:val="both"/>
      </w:pPr>
    </w:p>
    <w:p w:rsidR="00086390" w:rsidRDefault="00086390" w:rsidP="009B0714">
      <w:pPr>
        <w:spacing w:line="360" w:lineRule="auto"/>
        <w:jc w:val="both"/>
      </w:pPr>
      <w:r>
        <w:tab/>
        <w:t>The second respondent and 22 others lodged a complaint of an unf</w:t>
      </w:r>
      <w:r w:rsidR="00945119">
        <w:t xml:space="preserve">air </w:t>
      </w:r>
      <w:r w:rsidR="00297A41">
        <w:t>labour practice alleging that the reasons given for termination qualified as a retrenchment and the giving of notice was therefore wrongful and unlawful.</w:t>
      </w:r>
    </w:p>
    <w:p w:rsidR="00297A41" w:rsidRDefault="00297A41" w:rsidP="009B0714">
      <w:pPr>
        <w:spacing w:line="360" w:lineRule="auto"/>
        <w:jc w:val="both"/>
      </w:pPr>
    </w:p>
    <w:p w:rsidR="00297A41" w:rsidRDefault="00297A41" w:rsidP="009B0714">
      <w:pPr>
        <w:spacing w:line="360" w:lineRule="auto"/>
        <w:jc w:val="both"/>
      </w:pPr>
      <w:r>
        <w:tab/>
        <w:t>On the other hand, the first respondent argued that it had correctly utilised its common law right to terminate</w:t>
      </w:r>
      <w:r w:rsidR="00AE684E">
        <w:t xml:space="preserve"> on</w:t>
      </w:r>
      <w:r w:rsidR="00692299">
        <w:t xml:space="preserve"> notice</w:t>
      </w:r>
      <w:r w:rsidR="00AE684E">
        <w:t xml:space="preserve"> as provided in the Labour Act [Chapter</w:t>
      </w:r>
      <w:r w:rsidR="00E91740">
        <w:t xml:space="preserve"> 28:01].</w:t>
      </w:r>
    </w:p>
    <w:p w:rsidR="00E91740" w:rsidRDefault="00E91740" w:rsidP="00AE6E19">
      <w:pPr>
        <w:jc w:val="both"/>
      </w:pPr>
    </w:p>
    <w:p w:rsidR="00E91740" w:rsidRDefault="00E91740" w:rsidP="009B0714">
      <w:pPr>
        <w:spacing w:line="360" w:lineRule="auto"/>
        <w:jc w:val="both"/>
      </w:pPr>
      <w:r>
        <w:tab/>
        <w:t>The applicant found that the first respondent should have proceeded to retrench the second</w:t>
      </w:r>
      <w:r w:rsidR="00C72E1D">
        <w:t xml:space="preserve"> respondent</w:t>
      </w:r>
      <w:r w:rsidR="007C4D56">
        <w:t xml:space="preserve"> and 22 </w:t>
      </w:r>
      <w:r w:rsidR="002032EC">
        <w:t>others</w:t>
      </w:r>
      <w:r w:rsidR="007C4D56">
        <w:t xml:space="preserve"> as the reduct</w:t>
      </w:r>
      <w:r w:rsidR="003E5084">
        <w:t>ion of staff for the purpose of reducing ex</w:t>
      </w:r>
      <w:r w:rsidR="007C4D56">
        <w:t>penditure or costs</w:t>
      </w:r>
      <w:r w:rsidR="007D3295">
        <w:t xml:space="preserve"> fit</w:t>
      </w:r>
      <w:r w:rsidR="00692299">
        <w:t>s</w:t>
      </w:r>
      <w:r w:rsidR="007D3295">
        <w:t xml:space="preserve"> within the definition of retrenchment in the Act.  The termination of employment on notice was therefore </w:t>
      </w:r>
      <w:r w:rsidR="007C73D0">
        <w:t>found to be wrongful and unlawful.  It was ordered that the</w:t>
      </w:r>
      <w:r w:rsidR="00F07CD1">
        <w:t xml:space="preserve"> second respondent and 22 </w:t>
      </w:r>
      <w:r w:rsidR="002032EC">
        <w:t>others</w:t>
      </w:r>
      <w:r w:rsidR="00F07CD1">
        <w:t xml:space="preserve"> be reinstated without loss of salaries and </w:t>
      </w:r>
      <w:r w:rsidR="00FA47B2">
        <w:t>benefits</w:t>
      </w:r>
      <w:r w:rsidR="00F07CD1">
        <w:t xml:space="preserve"> and d</w:t>
      </w:r>
      <w:r w:rsidR="00FA47B2">
        <w:t>amages be paid in lieu of reinstatement.</w:t>
      </w:r>
    </w:p>
    <w:p w:rsidR="00D35C87" w:rsidRDefault="00D35C87" w:rsidP="00AE6E19">
      <w:pPr>
        <w:jc w:val="both"/>
      </w:pPr>
    </w:p>
    <w:p w:rsidR="00D35C87" w:rsidRDefault="00FD16AA" w:rsidP="00053931">
      <w:pPr>
        <w:spacing w:line="360" w:lineRule="auto"/>
        <w:ind w:firstLine="720"/>
        <w:jc w:val="both"/>
      </w:pPr>
      <w:r>
        <w:t>The first respondent opp</w:t>
      </w:r>
      <w:r w:rsidR="00D35C87">
        <w:t xml:space="preserve">oses the confirmation </w:t>
      </w:r>
      <w:r w:rsidR="00053931">
        <w:t>of the ruling on the following grounds;</w:t>
      </w:r>
    </w:p>
    <w:p w:rsidR="00053931" w:rsidRDefault="00053931" w:rsidP="00AE6E19">
      <w:pPr>
        <w:ind w:firstLine="720"/>
        <w:jc w:val="both"/>
      </w:pPr>
    </w:p>
    <w:p w:rsidR="00053931" w:rsidRDefault="00053931" w:rsidP="00053931">
      <w:pPr>
        <w:pStyle w:val="ListParagraph"/>
        <w:numPr>
          <w:ilvl w:val="0"/>
          <w:numId w:val="1"/>
        </w:numPr>
        <w:spacing w:line="360" w:lineRule="auto"/>
        <w:jc w:val="both"/>
      </w:pPr>
      <w:r>
        <w:t>That the employer is not obliged</w:t>
      </w:r>
      <w:r w:rsidR="007C4134">
        <w:t xml:space="preserve"> to retrench where the intention is to reduce staff and that the employer is free to choose an option including termination on notice.  </w:t>
      </w:r>
    </w:p>
    <w:p w:rsidR="007C4134" w:rsidRDefault="007C4134" w:rsidP="00053931">
      <w:pPr>
        <w:pStyle w:val="ListParagraph"/>
        <w:numPr>
          <w:ilvl w:val="0"/>
          <w:numId w:val="1"/>
        </w:numPr>
        <w:spacing w:line="360" w:lineRule="auto"/>
        <w:jc w:val="both"/>
      </w:pPr>
      <w:r>
        <w:t>That the Labour Amendment Act</w:t>
      </w:r>
      <w:r w:rsidR="00FE3B22">
        <w:t xml:space="preserve"> No. 5 of 2015, Section 18 could not be applied retrospectively to the actual termination save for the transitional section relat</w:t>
      </w:r>
      <w:r w:rsidR="00C519C7">
        <w:t>ing to the applicable benefits.</w:t>
      </w:r>
    </w:p>
    <w:p w:rsidR="00FE3B22" w:rsidRDefault="00FE3B22" w:rsidP="00053931">
      <w:pPr>
        <w:pStyle w:val="ListParagraph"/>
        <w:numPr>
          <w:ilvl w:val="0"/>
          <w:numId w:val="1"/>
        </w:numPr>
        <w:spacing w:line="360" w:lineRule="auto"/>
        <w:jc w:val="both"/>
      </w:pPr>
      <w:r>
        <w:t>That the applicant had no jurisdiction to determine this matter.</w:t>
      </w:r>
    </w:p>
    <w:p w:rsidR="00FE3B22" w:rsidRDefault="00FE3B22" w:rsidP="00AE6E19">
      <w:pPr>
        <w:jc w:val="both"/>
      </w:pPr>
    </w:p>
    <w:p w:rsidR="00F9602F" w:rsidRDefault="00F9602F" w:rsidP="00F9602F">
      <w:pPr>
        <w:spacing w:line="360" w:lineRule="auto"/>
        <w:ind w:firstLine="720"/>
        <w:jc w:val="both"/>
      </w:pPr>
      <w:r>
        <w:t>I proceed hereunder to consider each of the grounds raised in opposition of the confirmation.</w:t>
      </w:r>
    </w:p>
    <w:p w:rsidR="00F9602F" w:rsidRDefault="00F9602F" w:rsidP="002630AD">
      <w:pPr>
        <w:jc w:val="both"/>
      </w:pPr>
    </w:p>
    <w:p w:rsidR="00F9602F" w:rsidRPr="002630AD" w:rsidRDefault="00F9602F" w:rsidP="00F9602F">
      <w:pPr>
        <w:spacing w:line="360" w:lineRule="auto"/>
        <w:jc w:val="both"/>
        <w:rPr>
          <w:u w:val="single"/>
        </w:rPr>
      </w:pPr>
      <w:r w:rsidRPr="002630AD">
        <w:rPr>
          <w:u w:val="single"/>
        </w:rPr>
        <w:t xml:space="preserve">Whether the employer is obliged to retrench where the intention is to reduce staff or could opt for termination on notice and </w:t>
      </w:r>
      <w:r w:rsidR="002630AD" w:rsidRPr="002630AD">
        <w:rPr>
          <w:u w:val="single"/>
        </w:rPr>
        <w:t>retrospectivity</w:t>
      </w:r>
    </w:p>
    <w:p w:rsidR="00635B63" w:rsidRDefault="00635B63" w:rsidP="001943DF">
      <w:pPr>
        <w:jc w:val="both"/>
      </w:pPr>
    </w:p>
    <w:p w:rsidR="00635B63" w:rsidRDefault="00635B63" w:rsidP="00F9602F">
      <w:pPr>
        <w:spacing w:line="360" w:lineRule="auto"/>
        <w:jc w:val="both"/>
      </w:pPr>
      <w:r>
        <w:tab/>
        <w:t>Whereas the 1</w:t>
      </w:r>
      <w:r w:rsidRPr="00635B63">
        <w:rPr>
          <w:vertAlign w:val="superscript"/>
        </w:rPr>
        <w:t>st</w:t>
      </w:r>
      <w:r>
        <w:t xml:space="preserve"> respondent referred to Section 12C(1) of the Labour Act [Chapter 28:01] as amended to argue that the</w:t>
      </w:r>
      <w:r w:rsidR="00481C52">
        <w:t xml:space="preserve"> Labour Act gives the employer the right to exercise the option of retrenchment if it so “wishes to retrench</w:t>
      </w:r>
      <w:r w:rsidR="00AC19CF">
        <w:t>”; the 2</w:t>
      </w:r>
      <w:r w:rsidR="00AC19CF" w:rsidRPr="00AC19CF">
        <w:rPr>
          <w:vertAlign w:val="superscript"/>
        </w:rPr>
        <w:t>nd</w:t>
      </w:r>
      <w:r w:rsidR="00AC19CF">
        <w:t xml:space="preserve"> </w:t>
      </w:r>
      <w:r w:rsidR="00AC19CF">
        <w:lastRenderedPageBreak/>
        <w:t xml:space="preserve">respondent and 22 others referred to </w:t>
      </w:r>
      <w:r w:rsidR="00B978B3">
        <w:t>the definition section 2 of the Act</w:t>
      </w:r>
      <w:r w:rsidR="0033085D">
        <w:t>.  In that section</w:t>
      </w:r>
    </w:p>
    <w:p w:rsidR="0033085D" w:rsidRDefault="0033085D" w:rsidP="001943DF">
      <w:pPr>
        <w:jc w:val="both"/>
      </w:pPr>
    </w:p>
    <w:p w:rsidR="0033085D" w:rsidRPr="009E1A51" w:rsidRDefault="009E1A51" w:rsidP="009E1A51">
      <w:pPr>
        <w:spacing w:line="276" w:lineRule="auto"/>
        <w:ind w:left="720"/>
        <w:jc w:val="both"/>
        <w:rPr>
          <w:sz w:val="22"/>
          <w:szCs w:val="22"/>
        </w:rPr>
      </w:pPr>
      <w:r w:rsidRPr="009E1A51">
        <w:rPr>
          <w:sz w:val="22"/>
          <w:szCs w:val="22"/>
        </w:rPr>
        <w:t>““</w:t>
      </w:r>
      <w:r w:rsidR="0033085D" w:rsidRPr="009E1A51">
        <w:rPr>
          <w:sz w:val="22"/>
          <w:szCs w:val="22"/>
        </w:rPr>
        <w:t xml:space="preserve">retrench”, in relation to </w:t>
      </w:r>
      <w:r w:rsidR="007A3880" w:rsidRPr="009E1A51">
        <w:rPr>
          <w:sz w:val="22"/>
          <w:szCs w:val="22"/>
        </w:rPr>
        <w:t>an employee</w:t>
      </w:r>
      <w:r w:rsidR="00241FC4" w:rsidRPr="009E1A51">
        <w:rPr>
          <w:sz w:val="22"/>
          <w:szCs w:val="22"/>
        </w:rPr>
        <w:t>, means</w:t>
      </w:r>
      <w:r w:rsidR="0033085D" w:rsidRPr="009E1A51">
        <w:rPr>
          <w:sz w:val="22"/>
          <w:szCs w:val="22"/>
        </w:rPr>
        <w:t xml:space="preserve"> </w:t>
      </w:r>
      <w:r w:rsidR="007A3880" w:rsidRPr="009E1A51">
        <w:rPr>
          <w:sz w:val="22"/>
          <w:szCs w:val="22"/>
        </w:rPr>
        <w:t>terminate the employee’s employment for the purpose of reducing expenditure or costs</w:t>
      </w:r>
      <w:r w:rsidRPr="009E1A51">
        <w:rPr>
          <w:sz w:val="22"/>
          <w:szCs w:val="22"/>
        </w:rPr>
        <w:t xml:space="preserve"> ….”</w:t>
      </w:r>
    </w:p>
    <w:p w:rsidR="009E1A51" w:rsidRDefault="009E1A51" w:rsidP="001943DF">
      <w:pPr>
        <w:jc w:val="both"/>
      </w:pPr>
    </w:p>
    <w:p w:rsidR="009E1A51" w:rsidRDefault="009E1A51" w:rsidP="0029146B">
      <w:pPr>
        <w:spacing w:line="360" w:lineRule="auto"/>
        <w:ind w:firstLine="720"/>
        <w:jc w:val="both"/>
      </w:pPr>
      <w:r>
        <w:t>The first respondent further argues that when it gave 2</w:t>
      </w:r>
      <w:r w:rsidRPr="009E1A51">
        <w:rPr>
          <w:vertAlign w:val="superscript"/>
        </w:rPr>
        <w:t>nd</w:t>
      </w:r>
      <w:r>
        <w:t xml:space="preserve"> respondent and 22 </w:t>
      </w:r>
      <w:r w:rsidR="00A64AFC">
        <w:t>others</w:t>
      </w:r>
      <w:r w:rsidR="00261B15">
        <w:t xml:space="preserve">, 3 months notice of intention to terminate contracts of employment, it was exercising its </w:t>
      </w:r>
      <w:r w:rsidR="0029146B">
        <w:t>common law right to terminate on notice.  Such notice was given on the 24</w:t>
      </w:r>
      <w:r w:rsidR="0029146B" w:rsidRPr="0029146B">
        <w:rPr>
          <w:vertAlign w:val="superscript"/>
        </w:rPr>
        <w:t>th</w:t>
      </w:r>
      <w:r w:rsidR="0029146B">
        <w:t xml:space="preserve"> of July 2015.</w:t>
      </w:r>
    </w:p>
    <w:p w:rsidR="005B6235" w:rsidRDefault="005B6235" w:rsidP="001943DF">
      <w:pPr>
        <w:ind w:firstLine="720"/>
        <w:jc w:val="both"/>
      </w:pPr>
    </w:p>
    <w:p w:rsidR="005B6235" w:rsidRDefault="005B6235" w:rsidP="0029146B">
      <w:pPr>
        <w:spacing w:line="360" w:lineRule="auto"/>
        <w:ind w:firstLine="720"/>
        <w:jc w:val="both"/>
      </w:pPr>
      <w:r>
        <w:t>It is further argued that the Labour Amendment Act No. 5 of 2015 only came into effect on the 26</w:t>
      </w:r>
      <w:r w:rsidRPr="005B6235">
        <w:rPr>
          <w:vertAlign w:val="superscript"/>
        </w:rPr>
        <w:t>th</w:t>
      </w:r>
      <w:r>
        <w:t xml:space="preserve"> August 2015 and cannot be interpreted to take away the right of an</w:t>
      </w:r>
      <w:r w:rsidR="00A64AFC">
        <w:t xml:space="preserve"> employer to terminate on notice.</w:t>
      </w:r>
    </w:p>
    <w:p w:rsidR="00A64AFC" w:rsidRDefault="00A64AFC" w:rsidP="001943DF">
      <w:pPr>
        <w:ind w:firstLine="720"/>
        <w:jc w:val="both"/>
      </w:pPr>
    </w:p>
    <w:p w:rsidR="00A64AFC" w:rsidRDefault="00A64AFC" w:rsidP="0029146B">
      <w:pPr>
        <w:spacing w:line="360" w:lineRule="auto"/>
        <w:ind w:firstLine="720"/>
        <w:jc w:val="both"/>
      </w:pPr>
      <w:r>
        <w:t>The 2</w:t>
      </w:r>
      <w:r w:rsidRPr="00A64AFC">
        <w:rPr>
          <w:vertAlign w:val="superscript"/>
        </w:rPr>
        <w:t>nd</w:t>
      </w:r>
      <w:r>
        <w:t xml:space="preserve"> respondent and 22 others</w:t>
      </w:r>
      <w:r w:rsidR="0075183C">
        <w:t xml:space="preserve"> rely on Section 12 (4a) of the Labour</w:t>
      </w:r>
      <w:r w:rsidR="003836F5">
        <w:t xml:space="preserve"> Act (as amended by Act No. 5 of 2015) to argue that the right to terminate on notice cannot be exercised arbitrarily.  This sectio</w:t>
      </w:r>
      <w:r w:rsidR="00DA05C5">
        <w:t>n provides as follows:-</w:t>
      </w:r>
    </w:p>
    <w:p w:rsidR="00DA05C5" w:rsidRDefault="00DA05C5" w:rsidP="001943DF">
      <w:pPr>
        <w:ind w:firstLine="720"/>
        <w:jc w:val="both"/>
      </w:pPr>
    </w:p>
    <w:p w:rsidR="00DA05C5" w:rsidRPr="002C1548" w:rsidRDefault="00DA05C5" w:rsidP="002C1548">
      <w:pPr>
        <w:spacing w:line="276" w:lineRule="auto"/>
        <w:ind w:firstLine="720"/>
        <w:jc w:val="both"/>
        <w:rPr>
          <w:sz w:val="22"/>
          <w:szCs w:val="22"/>
        </w:rPr>
      </w:pPr>
      <w:r>
        <w:t>“</w:t>
      </w:r>
      <w:r w:rsidRPr="002C1548">
        <w:rPr>
          <w:sz w:val="22"/>
          <w:szCs w:val="22"/>
        </w:rPr>
        <w:t xml:space="preserve">No employer shall terminate a contract of employment on notice unless – </w:t>
      </w:r>
    </w:p>
    <w:p w:rsidR="00DA05C5" w:rsidRPr="002C1548" w:rsidRDefault="00CE0546" w:rsidP="002C1548">
      <w:pPr>
        <w:pStyle w:val="ListParagraph"/>
        <w:numPr>
          <w:ilvl w:val="0"/>
          <w:numId w:val="2"/>
        </w:numPr>
        <w:spacing w:line="276" w:lineRule="auto"/>
        <w:jc w:val="both"/>
        <w:rPr>
          <w:sz w:val="22"/>
          <w:szCs w:val="22"/>
        </w:rPr>
      </w:pPr>
      <w:r w:rsidRPr="002C1548">
        <w:rPr>
          <w:sz w:val="22"/>
          <w:szCs w:val="22"/>
        </w:rPr>
        <w:t>the termination is in terms</w:t>
      </w:r>
      <w:r w:rsidR="00223F06" w:rsidRPr="002C1548">
        <w:rPr>
          <w:sz w:val="22"/>
          <w:szCs w:val="22"/>
        </w:rPr>
        <w:t xml:space="preserve"> of an employment code or, in the absence of </w:t>
      </w:r>
      <w:r w:rsidR="00AB5B2A" w:rsidRPr="002C1548">
        <w:rPr>
          <w:sz w:val="22"/>
          <w:szCs w:val="22"/>
        </w:rPr>
        <w:t>an employment code, in terms of the model code made under Section 101 (9); or</w:t>
      </w:r>
    </w:p>
    <w:p w:rsidR="00AB5B2A" w:rsidRPr="002C1548" w:rsidRDefault="004A5D02" w:rsidP="002C1548">
      <w:pPr>
        <w:pStyle w:val="ListParagraph"/>
        <w:numPr>
          <w:ilvl w:val="0"/>
          <w:numId w:val="2"/>
        </w:numPr>
        <w:spacing w:line="276" w:lineRule="auto"/>
        <w:jc w:val="both"/>
        <w:rPr>
          <w:sz w:val="22"/>
          <w:szCs w:val="22"/>
        </w:rPr>
      </w:pPr>
      <w:r w:rsidRPr="002C1548">
        <w:rPr>
          <w:sz w:val="22"/>
          <w:szCs w:val="22"/>
        </w:rPr>
        <w:t>the employer and employee mutually agree in writing to the termination of the contract; or</w:t>
      </w:r>
    </w:p>
    <w:p w:rsidR="004A5D02" w:rsidRPr="002C1548" w:rsidRDefault="004A5D02" w:rsidP="002C1548">
      <w:pPr>
        <w:pStyle w:val="ListParagraph"/>
        <w:numPr>
          <w:ilvl w:val="0"/>
          <w:numId w:val="2"/>
        </w:numPr>
        <w:spacing w:line="276" w:lineRule="auto"/>
        <w:jc w:val="both"/>
        <w:rPr>
          <w:sz w:val="22"/>
          <w:szCs w:val="22"/>
        </w:rPr>
      </w:pPr>
      <w:r w:rsidRPr="002C1548">
        <w:rPr>
          <w:sz w:val="22"/>
          <w:szCs w:val="22"/>
        </w:rPr>
        <w:t xml:space="preserve">the employee was engaged for a period of fixed duration or </w:t>
      </w:r>
      <w:r w:rsidR="003B1AEF" w:rsidRPr="002C1548">
        <w:rPr>
          <w:sz w:val="22"/>
          <w:szCs w:val="22"/>
        </w:rPr>
        <w:t>for the performance of some specific service; or</w:t>
      </w:r>
      <w:r w:rsidR="003B1AEF" w:rsidRPr="002C1548">
        <w:rPr>
          <w:sz w:val="22"/>
          <w:szCs w:val="22"/>
        </w:rPr>
        <w:tab/>
      </w:r>
    </w:p>
    <w:p w:rsidR="003B1AEF" w:rsidRPr="002C1548" w:rsidRDefault="003B1AEF" w:rsidP="002C1548">
      <w:pPr>
        <w:pStyle w:val="ListParagraph"/>
        <w:numPr>
          <w:ilvl w:val="0"/>
          <w:numId w:val="2"/>
        </w:numPr>
        <w:spacing w:line="276" w:lineRule="auto"/>
        <w:jc w:val="both"/>
        <w:rPr>
          <w:sz w:val="22"/>
          <w:szCs w:val="22"/>
        </w:rPr>
      </w:pPr>
      <w:r w:rsidRPr="002C1548">
        <w:rPr>
          <w:sz w:val="22"/>
          <w:szCs w:val="22"/>
        </w:rPr>
        <w:t>pursuant to retrenchment, in accordance with section 12</w:t>
      </w:r>
      <w:r w:rsidR="006E3D08" w:rsidRPr="002C1548">
        <w:rPr>
          <w:sz w:val="22"/>
          <w:szCs w:val="22"/>
        </w:rPr>
        <w:t>C.</w:t>
      </w:r>
      <w:r w:rsidR="008B2C99" w:rsidRPr="002C1548">
        <w:rPr>
          <w:sz w:val="22"/>
          <w:szCs w:val="22"/>
        </w:rPr>
        <w:t>”</w:t>
      </w:r>
    </w:p>
    <w:p w:rsidR="005F76EE" w:rsidRDefault="005F76EE" w:rsidP="002C1548">
      <w:pPr>
        <w:jc w:val="both"/>
      </w:pPr>
    </w:p>
    <w:p w:rsidR="005F76EE" w:rsidRDefault="005F76EE" w:rsidP="00C1268D">
      <w:pPr>
        <w:spacing w:line="360" w:lineRule="auto"/>
        <w:ind w:firstLine="720"/>
        <w:jc w:val="both"/>
      </w:pPr>
      <w:r>
        <w:t xml:space="preserve">I </w:t>
      </w:r>
      <w:r w:rsidR="00C94C1B">
        <w:t>believe the first respondent was well within its rights to give three months’ notice of termination of employment in terms of section 12 (4) of the Labour Act on the 24</w:t>
      </w:r>
      <w:r w:rsidR="00C94C1B" w:rsidRPr="00C94C1B">
        <w:rPr>
          <w:vertAlign w:val="superscript"/>
        </w:rPr>
        <w:t>th</w:t>
      </w:r>
      <w:r w:rsidR="00C94C1B">
        <w:t xml:space="preserve"> July 2015.</w:t>
      </w:r>
    </w:p>
    <w:p w:rsidR="00C1268D" w:rsidRDefault="00C1268D" w:rsidP="001943DF">
      <w:pPr>
        <w:ind w:firstLine="720"/>
        <w:jc w:val="both"/>
      </w:pPr>
    </w:p>
    <w:p w:rsidR="00C1268D" w:rsidRDefault="00C1268D" w:rsidP="00C1268D">
      <w:pPr>
        <w:spacing w:line="360" w:lineRule="auto"/>
        <w:ind w:firstLine="720"/>
        <w:jc w:val="both"/>
      </w:pPr>
      <w:r>
        <w:t xml:space="preserve">The case of </w:t>
      </w:r>
      <w:r w:rsidRPr="00C35AAA">
        <w:rPr>
          <w:i/>
        </w:rPr>
        <w:t>Don Nyamande and Anor</w:t>
      </w:r>
      <w:r>
        <w:t xml:space="preserve"> v </w:t>
      </w:r>
      <w:r w:rsidRPr="00C35AAA">
        <w:rPr>
          <w:i/>
        </w:rPr>
        <w:t>Zuva Petroleum (Pvt) Ltd</w:t>
      </w:r>
      <w:r w:rsidR="0090299D">
        <w:t xml:space="preserve"> SC 43/15 dealt with</w:t>
      </w:r>
      <w:r>
        <w:t xml:space="preserve"> the legal status of the employer’s </w:t>
      </w:r>
      <w:r w:rsidR="003C7367">
        <w:t>common law right to terminate an employment relationship on notice and held that section 12B of the L</w:t>
      </w:r>
      <w:r w:rsidR="00C63561">
        <w:t>abour Act had not abolished the employer’s common law right to terminate an employment contract on notice.  This judgment</w:t>
      </w:r>
      <w:r w:rsidR="00C548D7">
        <w:t xml:space="preserve"> was handed down on the 17</w:t>
      </w:r>
      <w:r w:rsidR="00C548D7" w:rsidRPr="00C548D7">
        <w:rPr>
          <w:vertAlign w:val="superscript"/>
        </w:rPr>
        <w:t>th</w:t>
      </w:r>
      <w:r w:rsidR="00C548D7">
        <w:t xml:space="preserve"> of July 2015.  The </w:t>
      </w:r>
      <w:r w:rsidR="00C548D7">
        <w:lastRenderedPageBreak/>
        <w:t>1</w:t>
      </w:r>
      <w:r w:rsidR="00C548D7" w:rsidRPr="00C548D7">
        <w:rPr>
          <w:vertAlign w:val="superscript"/>
        </w:rPr>
        <w:t>st</w:t>
      </w:r>
      <w:r w:rsidR="00C548D7">
        <w:t xml:space="preserve"> respondent acted in terms of this reaffirmed right to terminate on notice </w:t>
      </w:r>
      <w:r w:rsidR="00EF64B5">
        <w:t>on the 24</w:t>
      </w:r>
      <w:r w:rsidR="00EF64B5" w:rsidRPr="00EF64B5">
        <w:rPr>
          <w:vertAlign w:val="superscript"/>
        </w:rPr>
        <w:t>th</w:t>
      </w:r>
      <w:r w:rsidR="00EF64B5">
        <w:t xml:space="preserve"> of July 2015 in giving notice of termination of employment</w:t>
      </w:r>
      <w:r w:rsidR="00131236">
        <w:t>.</w:t>
      </w:r>
    </w:p>
    <w:p w:rsidR="00EA516D" w:rsidRDefault="00EA516D" w:rsidP="002C1548">
      <w:pPr>
        <w:ind w:firstLine="720"/>
        <w:jc w:val="both"/>
      </w:pPr>
    </w:p>
    <w:p w:rsidR="00EA516D" w:rsidRDefault="003162D9" w:rsidP="00C1268D">
      <w:pPr>
        <w:spacing w:line="360" w:lineRule="auto"/>
        <w:ind w:firstLine="720"/>
        <w:jc w:val="both"/>
      </w:pPr>
      <w:r>
        <w:t>As on the 24</w:t>
      </w:r>
      <w:r w:rsidRPr="003162D9">
        <w:rPr>
          <w:vertAlign w:val="superscript"/>
        </w:rPr>
        <w:t>th</w:t>
      </w:r>
      <w:r>
        <w:t xml:space="preserve"> of July 2015, the common law right to terminate on notice </w:t>
      </w:r>
      <w:r w:rsidR="00403B97">
        <w:t>existed.  The</w:t>
      </w:r>
      <w:r w:rsidR="006D3E91">
        <w:t xml:space="preserve"> </w:t>
      </w:r>
      <w:r w:rsidR="00403B97">
        <w:t>Amendment Act No. 5 of 2015 only came into effect on t</w:t>
      </w:r>
      <w:r w:rsidR="006D3E91">
        <w:t>he 26</w:t>
      </w:r>
      <w:r w:rsidR="006D3E91" w:rsidRPr="006D3E91">
        <w:rPr>
          <w:vertAlign w:val="superscript"/>
        </w:rPr>
        <w:t>th</w:t>
      </w:r>
      <w:r w:rsidR="006D3E91">
        <w:t xml:space="preserve"> of August 2015 as a direct response to the en masse terminations on notice done by employers in response to </w:t>
      </w:r>
      <w:r w:rsidR="006D3E91" w:rsidRPr="00295E95">
        <w:rPr>
          <w:i/>
        </w:rPr>
        <w:t xml:space="preserve">Zuva </w:t>
      </w:r>
      <w:r w:rsidR="00BE46A9" w:rsidRPr="00295E95">
        <w:rPr>
          <w:i/>
        </w:rPr>
        <w:t>Petroleum</w:t>
      </w:r>
      <w:r w:rsidR="00BE46A9">
        <w:t xml:space="preserve"> supra judgment.</w:t>
      </w:r>
    </w:p>
    <w:p w:rsidR="00BE46A9" w:rsidRDefault="00BE46A9" w:rsidP="002C1548">
      <w:pPr>
        <w:spacing w:line="360" w:lineRule="auto"/>
        <w:ind w:firstLine="720"/>
        <w:jc w:val="both"/>
      </w:pPr>
    </w:p>
    <w:p w:rsidR="00BE46A9" w:rsidRDefault="00BE46A9" w:rsidP="00C1268D">
      <w:pPr>
        <w:spacing w:line="360" w:lineRule="auto"/>
        <w:ind w:firstLine="720"/>
        <w:jc w:val="both"/>
      </w:pPr>
      <w:r>
        <w:t xml:space="preserve">In the case of </w:t>
      </w:r>
      <w:r w:rsidRPr="00295E95">
        <w:rPr>
          <w:i/>
        </w:rPr>
        <w:t>Barclays Bank</w:t>
      </w:r>
      <w:r>
        <w:t xml:space="preserve"> v </w:t>
      </w:r>
      <w:r w:rsidRPr="00295E95">
        <w:rPr>
          <w:i/>
        </w:rPr>
        <w:t>Tichawana Ny</w:t>
      </w:r>
      <w:r w:rsidR="00C84F80" w:rsidRPr="00295E95">
        <w:rPr>
          <w:i/>
        </w:rPr>
        <w:t>ahuma</w:t>
      </w:r>
      <w:r w:rsidR="00C84F80">
        <w:t xml:space="preserve"> SC 86/04, Chidyausiku CJ quoted with approval from t</w:t>
      </w:r>
      <w:r w:rsidR="00753979">
        <w:t>h</w:t>
      </w:r>
      <w:r w:rsidR="00C84F80">
        <w:t xml:space="preserve">e case of </w:t>
      </w:r>
      <w:r w:rsidR="00C84F80" w:rsidRPr="00295E95">
        <w:rPr>
          <w:i/>
        </w:rPr>
        <w:t>Nkomo &amp; Anor</w:t>
      </w:r>
      <w:r w:rsidR="00C84F80">
        <w:t xml:space="preserve"> v </w:t>
      </w:r>
      <w:r w:rsidR="00C84F80" w:rsidRPr="00295E95">
        <w:rPr>
          <w:i/>
        </w:rPr>
        <w:t>Attorney General and Ors</w:t>
      </w:r>
      <w:r w:rsidR="00C84F80">
        <w:t xml:space="preserve"> 1993 (2) ZLR 422 (S) at 428</w:t>
      </w:r>
      <w:r w:rsidR="00753979">
        <w:t>H – 429C.</w:t>
      </w:r>
    </w:p>
    <w:p w:rsidR="00295E95" w:rsidRDefault="00295E95" w:rsidP="00815E7D">
      <w:pPr>
        <w:ind w:firstLine="720"/>
        <w:jc w:val="both"/>
      </w:pPr>
    </w:p>
    <w:p w:rsidR="00295E95" w:rsidRPr="00815E7D" w:rsidRDefault="00295E95" w:rsidP="00815E7D">
      <w:pPr>
        <w:spacing w:line="276" w:lineRule="auto"/>
        <w:ind w:left="720"/>
        <w:jc w:val="both"/>
        <w:rPr>
          <w:sz w:val="22"/>
          <w:szCs w:val="22"/>
        </w:rPr>
      </w:pPr>
      <w:r w:rsidRPr="00815E7D">
        <w:rPr>
          <w:sz w:val="22"/>
          <w:szCs w:val="22"/>
        </w:rPr>
        <w:t>“It is a cardinal rule in our</w:t>
      </w:r>
      <w:r w:rsidR="008C4E58" w:rsidRPr="00815E7D">
        <w:rPr>
          <w:sz w:val="22"/>
          <w:szCs w:val="22"/>
        </w:rPr>
        <w:t xml:space="preserve"> law dating probably from codex 1: 14: 7 that there is a strong </w:t>
      </w:r>
      <w:r w:rsidR="002D0D07" w:rsidRPr="00815E7D">
        <w:rPr>
          <w:sz w:val="22"/>
          <w:szCs w:val="22"/>
        </w:rPr>
        <w:t>presumption</w:t>
      </w:r>
      <w:r w:rsidR="008C4E58" w:rsidRPr="00815E7D">
        <w:rPr>
          <w:sz w:val="22"/>
          <w:szCs w:val="22"/>
        </w:rPr>
        <w:t xml:space="preserve"> against a retr</w:t>
      </w:r>
      <w:r w:rsidR="00447A66" w:rsidRPr="00815E7D">
        <w:rPr>
          <w:sz w:val="22"/>
          <w:szCs w:val="22"/>
        </w:rPr>
        <w:t xml:space="preserve">ospective construction See </w:t>
      </w:r>
      <w:r w:rsidR="00447A66" w:rsidRPr="00815E7D">
        <w:rPr>
          <w:i/>
          <w:sz w:val="22"/>
          <w:szCs w:val="22"/>
        </w:rPr>
        <w:t>Agere</w:t>
      </w:r>
      <w:r w:rsidR="00447A66" w:rsidRPr="00815E7D">
        <w:rPr>
          <w:sz w:val="22"/>
          <w:szCs w:val="22"/>
        </w:rPr>
        <w:t xml:space="preserve"> v </w:t>
      </w:r>
      <w:r w:rsidR="00447A66" w:rsidRPr="00815E7D">
        <w:rPr>
          <w:i/>
          <w:sz w:val="22"/>
          <w:szCs w:val="22"/>
        </w:rPr>
        <w:t xml:space="preserve">Nyambuya </w:t>
      </w:r>
      <w:r w:rsidR="00447A66" w:rsidRPr="00815E7D">
        <w:rPr>
          <w:sz w:val="22"/>
          <w:szCs w:val="22"/>
        </w:rPr>
        <w:t>1985 (2) ZLR 336 (S)</w:t>
      </w:r>
      <w:r w:rsidR="006237C8" w:rsidRPr="00815E7D">
        <w:rPr>
          <w:sz w:val="22"/>
          <w:szCs w:val="22"/>
        </w:rPr>
        <w:t xml:space="preserve"> at 338 G – 339G.  Even where a statutory</w:t>
      </w:r>
      <w:r w:rsidR="00423741" w:rsidRPr="00815E7D">
        <w:rPr>
          <w:sz w:val="22"/>
          <w:szCs w:val="22"/>
        </w:rPr>
        <w:t xml:space="preserve"> provision is expressly stated to be retrospective in its operation, it is not to be treated as in any</w:t>
      </w:r>
      <w:r w:rsidR="0051257C" w:rsidRPr="00815E7D">
        <w:rPr>
          <w:sz w:val="22"/>
          <w:szCs w:val="22"/>
        </w:rPr>
        <w:t>way affecting acts and transactions which have already been completed, or which stand to be completed</w:t>
      </w:r>
      <w:r w:rsidR="00191796">
        <w:rPr>
          <w:sz w:val="22"/>
          <w:szCs w:val="22"/>
        </w:rPr>
        <w:t>, s</w:t>
      </w:r>
      <w:r w:rsidR="00191796" w:rsidRPr="00815E7D">
        <w:rPr>
          <w:sz w:val="22"/>
          <w:szCs w:val="22"/>
        </w:rPr>
        <w:t>hortly</w:t>
      </w:r>
      <w:r w:rsidR="00B724A1" w:rsidRPr="00815E7D">
        <w:rPr>
          <w:sz w:val="22"/>
          <w:szCs w:val="22"/>
        </w:rPr>
        <w:t xml:space="preserve">, or in respect of which action is pending or has been instituted but not yet decided, unless such construction appears clearly from the language used or arises by necessary implication.  </w:t>
      </w:r>
      <w:r w:rsidR="00F46399" w:rsidRPr="00815E7D">
        <w:rPr>
          <w:sz w:val="22"/>
          <w:szCs w:val="22"/>
        </w:rPr>
        <w:t xml:space="preserve">………….. Care must always be taken to ensure that the retrospectivity is confined to the exact extent </w:t>
      </w:r>
      <w:r w:rsidR="007D7E69" w:rsidRPr="00815E7D">
        <w:rPr>
          <w:sz w:val="22"/>
          <w:szCs w:val="22"/>
        </w:rPr>
        <w:t>which the section of the Act provides.”</w:t>
      </w:r>
    </w:p>
    <w:p w:rsidR="004C3A3E" w:rsidRDefault="004C3A3E" w:rsidP="00815E7D">
      <w:pPr>
        <w:ind w:firstLine="720"/>
        <w:jc w:val="both"/>
      </w:pPr>
    </w:p>
    <w:p w:rsidR="004C3A3E" w:rsidRDefault="004C3A3E" w:rsidP="00C1268D">
      <w:pPr>
        <w:spacing w:line="360" w:lineRule="auto"/>
        <w:ind w:firstLine="720"/>
        <w:jc w:val="both"/>
      </w:pPr>
      <w:r>
        <w:t xml:space="preserve">Section 18 of the Labour Amendment Act </w:t>
      </w:r>
      <w:r w:rsidR="00191796">
        <w:t>N</w:t>
      </w:r>
      <w:r>
        <w:t>o 5 of 2015 provides for</w:t>
      </w:r>
      <w:r w:rsidR="009D1381">
        <w:t xml:space="preserve"> th</w:t>
      </w:r>
      <w:r>
        <w:t>e transition as follows;</w:t>
      </w:r>
    </w:p>
    <w:p w:rsidR="007574D2" w:rsidRDefault="007574D2" w:rsidP="00C1268D">
      <w:pPr>
        <w:spacing w:line="360" w:lineRule="auto"/>
        <w:ind w:firstLine="720"/>
        <w:jc w:val="both"/>
      </w:pPr>
    </w:p>
    <w:p w:rsidR="007574D2" w:rsidRPr="004F1068" w:rsidRDefault="007574D2" w:rsidP="004F1068">
      <w:pPr>
        <w:spacing w:line="276" w:lineRule="auto"/>
        <w:ind w:left="720"/>
        <w:jc w:val="both"/>
        <w:rPr>
          <w:sz w:val="22"/>
          <w:szCs w:val="22"/>
        </w:rPr>
      </w:pPr>
      <w:r w:rsidRPr="004F1068">
        <w:rPr>
          <w:sz w:val="22"/>
          <w:szCs w:val="22"/>
        </w:rPr>
        <w:t>“Section 12 of the Labour Act [Chapter 28:01] as amended by this Act applies to every employee whose services we</w:t>
      </w:r>
      <w:r w:rsidR="00084B3D" w:rsidRPr="004F1068">
        <w:rPr>
          <w:sz w:val="22"/>
          <w:szCs w:val="22"/>
        </w:rPr>
        <w:t xml:space="preserve">re terminated on three </w:t>
      </w:r>
      <w:r w:rsidR="00DE6A42" w:rsidRPr="004F1068">
        <w:rPr>
          <w:sz w:val="22"/>
          <w:szCs w:val="22"/>
        </w:rPr>
        <w:t>months’ notice</w:t>
      </w:r>
      <w:r w:rsidR="00084B3D" w:rsidRPr="004F1068">
        <w:rPr>
          <w:sz w:val="22"/>
          <w:szCs w:val="22"/>
        </w:rPr>
        <w:t xml:space="preserve"> on or after 17</w:t>
      </w:r>
      <w:r w:rsidR="00084B3D" w:rsidRPr="004F1068">
        <w:rPr>
          <w:sz w:val="22"/>
          <w:szCs w:val="22"/>
          <w:vertAlign w:val="superscript"/>
        </w:rPr>
        <w:t>th</w:t>
      </w:r>
      <w:r w:rsidR="00084B3D" w:rsidRPr="004F1068">
        <w:rPr>
          <w:sz w:val="22"/>
          <w:szCs w:val="22"/>
        </w:rPr>
        <w:t xml:space="preserve"> July 2015.”</w:t>
      </w:r>
    </w:p>
    <w:p w:rsidR="00084B3D" w:rsidRDefault="00084B3D" w:rsidP="00815E7D">
      <w:pPr>
        <w:ind w:firstLine="720"/>
        <w:jc w:val="both"/>
      </w:pPr>
    </w:p>
    <w:p w:rsidR="00084B3D" w:rsidRDefault="00084B3D" w:rsidP="00C1268D">
      <w:pPr>
        <w:spacing w:line="360" w:lineRule="auto"/>
        <w:ind w:firstLine="720"/>
        <w:jc w:val="both"/>
      </w:pPr>
      <w:r>
        <w:t>This section cannot</w:t>
      </w:r>
      <w:r w:rsidR="00DE6A42">
        <w:t xml:space="preserve"> be said to be one with clear and unambiguous wording such as</w:t>
      </w:r>
      <w:r w:rsidR="00771356">
        <w:t xml:space="preserve"> to rebut the presumption against retrospectivity.</w:t>
      </w:r>
    </w:p>
    <w:p w:rsidR="00771356" w:rsidRDefault="00771356" w:rsidP="00815E7D">
      <w:pPr>
        <w:ind w:firstLine="720"/>
        <w:jc w:val="both"/>
      </w:pPr>
    </w:p>
    <w:p w:rsidR="001B2911" w:rsidRDefault="00771356" w:rsidP="00C1268D">
      <w:pPr>
        <w:spacing w:line="360" w:lineRule="auto"/>
        <w:ind w:firstLine="720"/>
        <w:jc w:val="both"/>
      </w:pPr>
      <w:r>
        <w:t>Section 12 of the Labour Act still includes S12</w:t>
      </w:r>
      <w:r w:rsidR="001656FD">
        <w:t xml:space="preserve"> </w:t>
      </w:r>
      <w:r>
        <w:t>(4)</w:t>
      </w:r>
      <w:r w:rsidR="001656FD">
        <w:t xml:space="preserve"> which provides for periods of notice of termination of contract; S12 (4a)</w:t>
      </w:r>
      <w:r w:rsidR="00947A29">
        <w:t xml:space="preserve"> which limits termination on notice to certain specified categories; S 12 (4b) which provides that where notice of </w:t>
      </w:r>
      <w:r w:rsidR="00947A29">
        <w:lastRenderedPageBreak/>
        <w:t>termination of a contract has been given</w:t>
      </w:r>
      <w:r w:rsidR="00F00816">
        <w:t xml:space="preserve"> in a case of a contract without limitation of time, the provisions of section 12C shall apply regarding compensation</w:t>
      </w:r>
      <w:r w:rsidR="001B2911">
        <w:t>.</w:t>
      </w:r>
    </w:p>
    <w:p w:rsidR="001B2911" w:rsidRDefault="001B2911" w:rsidP="00815E7D">
      <w:pPr>
        <w:ind w:firstLine="720"/>
        <w:jc w:val="both"/>
      </w:pPr>
    </w:p>
    <w:p w:rsidR="00466258" w:rsidRDefault="001B2911" w:rsidP="00C1268D">
      <w:pPr>
        <w:spacing w:line="360" w:lineRule="auto"/>
        <w:ind w:firstLine="720"/>
        <w:jc w:val="both"/>
      </w:pPr>
      <w:r>
        <w:t xml:space="preserve">A proper reading of the above sections therefore shows that it is only the right to compensation which had not accrued at the time </w:t>
      </w:r>
      <w:r w:rsidR="00075DFC">
        <w:t>of the amendment which is affected retrospectively.</w:t>
      </w:r>
      <w:r w:rsidR="006500A4">
        <w:t xml:space="preserve">  This does not affect the right of the 1</w:t>
      </w:r>
      <w:r w:rsidR="006500A4" w:rsidRPr="006500A4">
        <w:rPr>
          <w:vertAlign w:val="superscript"/>
        </w:rPr>
        <w:t>st</w:t>
      </w:r>
      <w:r w:rsidR="006500A4">
        <w:t xml:space="preserve"> respondent to terminate on notice which vested right cannot be taken away in the circumstances.  A read</w:t>
      </w:r>
      <w:r w:rsidR="0022402E">
        <w:t>ing of Section 12 (</w:t>
      </w:r>
      <w:r w:rsidR="00475DF2">
        <w:t>4b)</w:t>
      </w:r>
      <w:r w:rsidR="00687C94">
        <w:t xml:space="preserve"> of the Labour Act in fact shows that intention of the legislature was to ensure that</w:t>
      </w:r>
      <w:r w:rsidR="00466258">
        <w:t xml:space="preserve"> where notice of termination had been given then the compensation clause would apply retrospectively.  The giving of notice to terminate would not be made unlawful.</w:t>
      </w:r>
    </w:p>
    <w:p w:rsidR="005E6737" w:rsidRDefault="005E6737" w:rsidP="00815E7D">
      <w:pPr>
        <w:ind w:firstLine="720"/>
        <w:jc w:val="both"/>
      </w:pPr>
    </w:p>
    <w:p w:rsidR="005E6737" w:rsidRDefault="005E6737" w:rsidP="00C1268D">
      <w:pPr>
        <w:spacing w:line="360" w:lineRule="auto"/>
        <w:ind w:firstLine="720"/>
        <w:jc w:val="both"/>
      </w:pPr>
      <w:r>
        <w:t xml:space="preserve">In any event, a literal reading of section 12C (1) shows that it is left to the employer to select whether to retrench or not as </w:t>
      </w:r>
      <w:r w:rsidR="00503760">
        <w:t>the employer’s wishes determine whether or not the procedure of retrenchment is followed.  I do not think the definition of the word “retrench”</w:t>
      </w:r>
      <w:r w:rsidR="00F03DEC">
        <w:t xml:space="preserve"> </w:t>
      </w:r>
      <w:r w:rsidR="00503760">
        <w:t>which sets out t</w:t>
      </w:r>
      <w:r w:rsidR="00F03DEC">
        <w:t>h</w:t>
      </w:r>
      <w:r w:rsidR="00503760">
        <w:t>e insta</w:t>
      </w:r>
      <w:r w:rsidR="00F03DEC">
        <w:t>nces wherein such retrenchment  may happen, takes away the discretion given to the employer in section 12C (1) to decide whether or not to retrench.</w:t>
      </w:r>
    </w:p>
    <w:p w:rsidR="001E3075" w:rsidRDefault="001E3075" w:rsidP="00815E7D">
      <w:pPr>
        <w:ind w:firstLine="720"/>
        <w:jc w:val="both"/>
      </w:pPr>
    </w:p>
    <w:p w:rsidR="001E3075" w:rsidRDefault="001E3075" w:rsidP="00C1268D">
      <w:pPr>
        <w:spacing w:line="360" w:lineRule="auto"/>
        <w:ind w:firstLine="720"/>
        <w:jc w:val="both"/>
      </w:pPr>
      <w:r>
        <w:t xml:space="preserve">In fact in the </w:t>
      </w:r>
      <w:r w:rsidRPr="00B82C37">
        <w:rPr>
          <w:i/>
        </w:rPr>
        <w:t>Zuva Petroleum</w:t>
      </w:r>
      <w:r>
        <w:t xml:space="preserve"> case </w:t>
      </w:r>
      <w:r w:rsidRPr="00B82C37">
        <w:rPr>
          <w:i/>
        </w:rPr>
        <w:t>supra</w:t>
      </w:r>
      <w:r>
        <w:t>, the employer abandoned a retrenchment exer</w:t>
      </w:r>
      <w:r w:rsidR="00B82C37">
        <w:t>cise</w:t>
      </w:r>
      <w:r w:rsidR="00EB238D">
        <w:t xml:space="preserve"> which was already under way and opted to give notice of termination.  The Supreme Court still upheld the employer’s right to terminate on notice even in those </w:t>
      </w:r>
      <w:r w:rsidR="007C61B9">
        <w:t xml:space="preserve">circumstances.  See also </w:t>
      </w:r>
      <w:r w:rsidR="007C61B9" w:rsidRPr="00815E7D">
        <w:rPr>
          <w:i/>
        </w:rPr>
        <w:t>Chirasa</w:t>
      </w:r>
      <w:r w:rsidR="009361D7" w:rsidRPr="00815E7D">
        <w:rPr>
          <w:i/>
        </w:rPr>
        <w:t>sa and Ors</w:t>
      </w:r>
      <w:r w:rsidR="009361D7">
        <w:t xml:space="preserve"> </w:t>
      </w:r>
      <w:r w:rsidR="009361D7" w:rsidRPr="00815E7D">
        <w:rPr>
          <w:i/>
        </w:rPr>
        <w:t>v Nhamo NO</w:t>
      </w:r>
      <w:r w:rsidR="00E92537" w:rsidRPr="00815E7D">
        <w:rPr>
          <w:i/>
        </w:rPr>
        <w:t xml:space="preserve"> &amp; Anor</w:t>
      </w:r>
      <w:r w:rsidR="00E92537">
        <w:t xml:space="preserve"> 2003 (2) ZLR 206 (S).</w:t>
      </w:r>
    </w:p>
    <w:p w:rsidR="00E92537" w:rsidRDefault="00E92537" w:rsidP="00815E7D">
      <w:pPr>
        <w:ind w:firstLine="720"/>
        <w:jc w:val="both"/>
      </w:pPr>
    </w:p>
    <w:p w:rsidR="00E92537" w:rsidRDefault="00E92537" w:rsidP="00C1268D">
      <w:pPr>
        <w:spacing w:line="360" w:lineRule="auto"/>
        <w:ind w:firstLine="720"/>
        <w:jc w:val="both"/>
      </w:pPr>
      <w:r>
        <w:t>I find therefore that the 1</w:t>
      </w:r>
      <w:r w:rsidRPr="00E92537">
        <w:rPr>
          <w:vertAlign w:val="superscript"/>
        </w:rPr>
        <w:t>st</w:t>
      </w:r>
      <w:r>
        <w:t xml:space="preserve"> respondent was not obliged t</w:t>
      </w:r>
      <w:r w:rsidR="009706E2">
        <w:t>o retrench where the expressed intention for termination was to reduce staff.  Further, that the</w:t>
      </w:r>
      <w:r w:rsidR="003E48BE">
        <w:t xml:space="preserve"> first respondent correc</w:t>
      </w:r>
      <w:r w:rsidR="00025826">
        <w:t>tly exercised the right to terminate on notice, which right was not affected by the retrospectivity clause.  Such a clause only applied to t</w:t>
      </w:r>
      <w:r w:rsidR="000F49ED">
        <w:t>he applicable compensation upon termination on notice.</w:t>
      </w:r>
    </w:p>
    <w:p w:rsidR="000F49ED" w:rsidRDefault="000F49ED" w:rsidP="00815E7D">
      <w:pPr>
        <w:jc w:val="both"/>
      </w:pPr>
    </w:p>
    <w:p w:rsidR="000F49ED" w:rsidRPr="009E3F0E" w:rsidRDefault="000F49ED" w:rsidP="000F49ED">
      <w:pPr>
        <w:spacing w:line="360" w:lineRule="auto"/>
        <w:jc w:val="both"/>
        <w:rPr>
          <w:u w:val="single"/>
        </w:rPr>
      </w:pPr>
      <w:r w:rsidRPr="009E3F0E">
        <w:rPr>
          <w:u w:val="single"/>
        </w:rPr>
        <w:t>Whether the applicant had jurisdiction to deal with this matter.</w:t>
      </w:r>
    </w:p>
    <w:p w:rsidR="009E3F0E" w:rsidRDefault="009E3F0E" w:rsidP="00815E7D">
      <w:pPr>
        <w:jc w:val="both"/>
      </w:pPr>
    </w:p>
    <w:p w:rsidR="009E3F0E" w:rsidRDefault="009E3F0E" w:rsidP="000F49ED">
      <w:pPr>
        <w:spacing w:line="360" w:lineRule="auto"/>
        <w:jc w:val="both"/>
      </w:pPr>
      <w:r>
        <w:lastRenderedPageBreak/>
        <w:tab/>
        <w:t xml:space="preserve">On </w:t>
      </w:r>
      <w:r w:rsidR="00BF29AE">
        <w:t>16 October 2015, the 2</w:t>
      </w:r>
      <w:r w:rsidR="00BF29AE" w:rsidRPr="00BF29AE">
        <w:rPr>
          <w:vertAlign w:val="superscript"/>
        </w:rPr>
        <w:t>nd</w:t>
      </w:r>
      <w:r w:rsidR="00BF29AE">
        <w:t xml:space="preserve"> respondent and 22 others referred a complaint of an unfair labour practice to the Labour Officer alleging </w:t>
      </w:r>
      <w:r w:rsidR="0099732A">
        <w:t>wrongful</w:t>
      </w:r>
      <w:r w:rsidR="00BF29AE">
        <w:t xml:space="preserve"> termination of employment on notice and claiming that they should have been retrenched instead.</w:t>
      </w:r>
    </w:p>
    <w:p w:rsidR="00906AE5" w:rsidRDefault="00906AE5" w:rsidP="00815E7D">
      <w:pPr>
        <w:jc w:val="both"/>
      </w:pPr>
    </w:p>
    <w:p w:rsidR="00906AE5" w:rsidRDefault="00B35D40" w:rsidP="00B35D40">
      <w:pPr>
        <w:spacing w:line="360" w:lineRule="auto"/>
        <w:ind w:firstLine="720"/>
        <w:jc w:val="both"/>
      </w:pPr>
      <w:r>
        <w:t>The first respondent alleges that the real dispute therefore was a retrenchment dispute and should have been referred to the Retrenchment Board and not an unfair labour practice as defined in Section 8 of the Labour Act.</w:t>
      </w:r>
    </w:p>
    <w:p w:rsidR="00DB4FA2" w:rsidRDefault="00DB4FA2" w:rsidP="00815E7D">
      <w:pPr>
        <w:ind w:firstLine="720"/>
        <w:jc w:val="both"/>
      </w:pPr>
    </w:p>
    <w:p w:rsidR="00DB4FA2" w:rsidRDefault="00F823C3" w:rsidP="00B35D40">
      <w:pPr>
        <w:spacing w:line="360" w:lineRule="auto"/>
        <w:ind w:firstLine="720"/>
        <w:jc w:val="both"/>
      </w:pPr>
      <w:r>
        <w:t>It is argued for the 2</w:t>
      </w:r>
      <w:r w:rsidRPr="00F823C3">
        <w:rPr>
          <w:vertAlign w:val="superscript"/>
        </w:rPr>
        <w:t>nd</w:t>
      </w:r>
      <w:r>
        <w:t xml:space="preserve"> and 22 other respondents that an unl</w:t>
      </w:r>
      <w:r w:rsidR="00D1171B">
        <w:t>awful</w:t>
      </w:r>
      <w:r w:rsidR="00272337">
        <w:t xml:space="preserve"> termination of employment on notice amounts to an unfair labour practice and the labour officer correctly exercised his jurisdiction.</w:t>
      </w:r>
    </w:p>
    <w:p w:rsidR="00272337" w:rsidRDefault="00272337" w:rsidP="00815E7D">
      <w:pPr>
        <w:ind w:firstLine="720"/>
        <w:jc w:val="both"/>
      </w:pPr>
    </w:p>
    <w:p w:rsidR="00272337" w:rsidRDefault="00B848D4" w:rsidP="00B35D40">
      <w:pPr>
        <w:spacing w:line="360" w:lineRule="auto"/>
        <w:ind w:firstLine="720"/>
        <w:jc w:val="both"/>
      </w:pPr>
      <w:r>
        <w:t xml:space="preserve">It is clear to me that what the employees were disputing was the lawfulness of the termination of employment on notice.  That was the real dispute.  The allegation that they should have been retrenched instead, does not change the dispute to a retrenchment one which should have gone </w:t>
      </w:r>
      <w:r w:rsidR="00767DAE">
        <w:t>before the Retrenchment Board.  In any event, disputes are referred to the Retrenchment Board by the employer through writte</w:t>
      </w:r>
      <w:r w:rsidR="003E237A">
        <w:t>n</w:t>
      </w:r>
      <w:r w:rsidR="00767DAE">
        <w:t xml:space="preserve"> notice of his intention to retrench or through the Works Council</w:t>
      </w:r>
      <w:r w:rsidR="003E237A">
        <w:t xml:space="preserve"> or employment council</w:t>
      </w:r>
      <w:r w:rsidR="00F939E4">
        <w:t>.  See sections 12C (1) (iii), 12C (2) and 12C (6)</w:t>
      </w:r>
      <w:r w:rsidR="004000AC">
        <w:t xml:space="preserve"> of the Labour Act</w:t>
      </w:r>
      <w:r w:rsidR="003828FE">
        <w:t>.</w:t>
      </w:r>
    </w:p>
    <w:p w:rsidR="003828FE" w:rsidRDefault="003828FE" w:rsidP="00B35D40">
      <w:pPr>
        <w:spacing w:line="360" w:lineRule="auto"/>
        <w:ind w:firstLine="720"/>
        <w:jc w:val="both"/>
      </w:pPr>
    </w:p>
    <w:p w:rsidR="003828FE" w:rsidRDefault="003828FE" w:rsidP="00B35D40">
      <w:pPr>
        <w:spacing w:line="360" w:lineRule="auto"/>
        <w:ind w:firstLine="720"/>
        <w:jc w:val="both"/>
      </w:pPr>
      <w:r>
        <w:t xml:space="preserve">I note that neither a retrenchment dispute not an unlawful termination are listed as unfair labour practices in section 8 of the Labour Act.  </w:t>
      </w:r>
      <w:r w:rsidR="00354383">
        <w:t xml:space="preserve">In the </w:t>
      </w:r>
      <w:r w:rsidR="00354383" w:rsidRPr="00F671F8">
        <w:rPr>
          <w:i/>
        </w:rPr>
        <w:t>Zuva Petroleum</w:t>
      </w:r>
      <w:r w:rsidR="00354383">
        <w:t xml:space="preserve"> case </w:t>
      </w:r>
      <w:r w:rsidR="00354383" w:rsidRPr="00F671F8">
        <w:rPr>
          <w:i/>
        </w:rPr>
        <w:t>supra</w:t>
      </w:r>
      <w:r w:rsidR="00354383">
        <w:t>, Chidyausiku CJ looked in detail at Section 8 of the Act and concluded that termination of</w:t>
      </w:r>
      <w:r w:rsidR="00FA0C7D">
        <w:t xml:space="preserve"> employment on notice is not among the conduct outlawed by section 8 of the Act.</w:t>
      </w:r>
    </w:p>
    <w:p w:rsidR="007305C0" w:rsidRDefault="007305C0" w:rsidP="00815E7D">
      <w:pPr>
        <w:ind w:firstLine="720"/>
        <w:jc w:val="both"/>
      </w:pPr>
    </w:p>
    <w:p w:rsidR="007305C0" w:rsidRDefault="007305C0" w:rsidP="00B35D40">
      <w:pPr>
        <w:spacing w:line="360" w:lineRule="auto"/>
        <w:ind w:firstLine="720"/>
        <w:jc w:val="both"/>
      </w:pPr>
      <w:r>
        <w:t>The labour officer therefore erred in treating the matter before him as an unfair labour practice</w:t>
      </w:r>
      <w:r w:rsidR="00F425BA">
        <w:t xml:space="preserve">.  The dispute before him was one in which the labour officer would have power to conciliate over and then make a ruling in terms of Section 93 of the </w:t>
      </w:r>
      <w:r w:rsidR="00EF78FA">
        <w:t xml:space="preserve">Labour Act.  Section 93 (1) provides that a labour officer to whom a dispute or unfair labour practice has been referred, or to whose attention it </w:t>
      </w:r>
      <w:r w:rsidR="00B52DA9">
        <w:t xml:space="preserve">has come, shall </w:t>
      </w:r>
      <w:r w:rsidR="00B52DA9">
        <w:lastRenderedPageBreak/>
        <w:t>attempt to settle it through conciliation or, if agreed by the parties, by reference to ar</w:t>
      </w:r>
      <w:r w:rsidR="00814616">
        <w:t>bitration.</w:t>
      </w:r>
    </w:p>
    <w:p w:rsidR="00814616" w:rsidRDefault="00814616" w:rsidP="00F01BEE">
      <w:pPr>
        <w:ind w:firstLine="720"/>
        <w:jc w:val="both"/>
      </w:pPr>
    </w:p>
    <w:p w:rsidR="00814616" w:rsidRDefault="00814616" w:rsidP="00F01BEE">
      <w:pPr>
        <w:ind w:firstLine="720"/>
        <w:jc w:val="both"/>
      </w:pPr>
      <w:r>
        <w:t xml:space="preserve">Section 93 (5) (c) </w:t>
      </w:r>
      <w:r w:rsidR="006578DC">
        <w:t xml:space="preserve">provides further that where </w:t>
      </w:r>
      <w:r w:rsidR="00996068">
        <w:t xml:space="preserve">conciliation fails and the dispute is of right, the labour officer may proceed to make </w:t>
      </w:r>
      <w:r w:rsidR="00D146CB">
        <w:t>a ruling.</w:t>
      </w:r>
    </w:p>
    <w:p w:rsidR="00D146CB" w:rsidRDefault="00D146CB" w:rsidP="00B35D40">
      <w:pPr>
        <w:spacing w:line="360" w:lineRule="auto"/>
        <w:ind w:firstLine="720"/>
        <w:jc w:val="both"/>
      </w:pPr>
    </w:p>
    <w:p w:rsidR="00D146CB" w:rsidRDefault="00D146CB" w:rsidP="00B35D40">
      <w:pPr>
        <w:spacing w:line="360" w:lineRule="auto"/>
        <w:ind w:firstLine="720"/>
        <w:jc w:val="both"/>
      </w:pPr>
      <w:r>
        <w:t xml:space="preserve">I find therefore that </w:t>
      </w:r>
      <w:r w:rsidR="00885371">
        <w:t>the labour officer had jurisdiction to deal with the dispute before him</w:t>
      </w:r>
      <w:r w:rsidR="00C96EB9">
        <w:t>.</w:t>
      </w:r>
    </w:p>
    <w:p w:rsidR="00C96EB9" w:rsidRDefault="00C96EB9" w:rsidP="00F01BEE">
      <w:pPr>
        <w:ind w:firstLine="720"/>
        <w:jc w:val="both"/>
      </w:pPr>
    </w:p>
    <w:p w:rsidR="00C96EB9" w:rsidRDefault="00C96EB9" w:rsidP="00B35D40">
      <w:pPr>
        <w:spacing w:line="360" w:lineRule="auto"/>
        <w:ind w:firstLine="720"/>
        <w:jc w:val="both"/>
      </w:pPr>
      <w:r>
        <w:t>Based on my findings that the first respondent correctly exercised its right to terminate on notice, I cannot</w:t>
      </w:r>
      <w:r w:rsidR="001121C1">
        <w:t xml:space="preserve"> confirm the applicant’s ruling and order.</w:t>
      </w:r>
    </w:p>
    <w:p w:rsidR="0040516B" w:rsidRDefault="0040516B" w:rsidP="00F01BEE">
      <w:pPr>
        <w:jc w:val="both"/>
      </w:pPr>
    </w:p>
    <w:p w:rsidR="0040516B" w:rsidRDefault="0040516B" w:rsidP="0040516B">
      <w:pPr>
        <w:spacing w:line="360" w:lineRule="auto"/>
        <w:jc w:val="both"/>
      </w:pPr>
      <w:r>
        <w:t>Accordingly the ruling and order are set</w:t>
      </w:r>
      <w:r w:rsidR="00705C3A">
        <w:t xml:space="preserve"> aside and substituted as follows.</w:t>
      </w:r>
    </w:p>
    <w:p w:rsidR="00705C3A" w:rsidRDefault="00705C3A" w:rsidP="00F01BEE">
      <w:pPr>
        <w:jc w:val="both"/>
      </w:pPr>
    </w:p>
    <w:p w:rsidR="00705C3A" w:rsidRPr="003D0039" w:rsidRDefault="00705C3A" w:rsidP="003D0039">
      <w:pPr>
        <w:spacing w:line="276" w:lineRule="auto"/>
        <w:ind w:left="720"/>
        <w:jc w:val="both"/>
        <w:rPr>
          <w:sz w:val="22"/>
          <w:szCs w:val="22"/>
        </w:rPr>
      </w:pPr>
      <w:r w:rsidRPr="003D0039">
        <w:rPr>
          <w:sz w:val="22"/>
          <w:szCs w:val="22"/>
        </w:rPr>
        <w:t>“The first respondent is ordered to pay the 2</w:t>
      </w:r>
      <w:r w:rsidRPr="003D0039">
        <w:rPr>
          <w:sz w:val="22"/>
          <w:szCs w:val="22"/>
          <w:vertAlign w:val="superscript"/>
        </w:rPr>
        <w:t>nd</w:t>
      </w:r>
      <w:r w:rsidRPr="003D0039">
        <w:rPr>
          <w:sz w:val="22"/>
          <w:szCs w:val="22"/>
        </w:rPr>
        <w:t xml:space="preserve"> respondent and 22 others compensation for loss of em</w:t>
      </w:r>
      <w:r w:rsidR="004610F9" w:rsidRPr="003D0039">
        <w:rPr>
          <w:sz w:val="22"/>
          <w:szCs w:val="22"/>
        </w:rPr>
        <w:t xml:space="preserve">ployment in terms of Section 12 (4b) as read with </w:t>
      </w:r>
      <w:r w:rsidR="003D0039" w:rsidRPr="003D0039">
        <w:rPr>
          <w:sz w:val="22"/>
          <w:szCs w:val="22"/>
        </w:rPr>
        <w:t>Section</w:t>
      </w:r>
      <w:r w:rsidR="004610F9" w:rsidRPr="003D0039">
        <w:rPr>
          <w:sz w:val="22"/>
          <w:szCs w:val="22"/>
        </w:rPr>
        <w:t xml:space="preserve"> 12C (2) of the Labour Act (as</w:t>
      </w:r>
      <w:r w:rsidR="003D0039" w:rsidRPr="003D0039">
        <w:rPr>
          <w:sz w:val="22"/>
          <w:szCs w:val="22"/>
        </w:rPr>
        <w:t xml:space="preserve"> amended</w:t>
      </w:r>
      <w:r w:rsidR="00507ABB">
        <w:rPr>
          <w:sz w:val="22"/>
          <w:szCs w:val="22"/>
        </w:rPr>
        <w:t>)</w:t>
      </w:r>
      <w:r w:rsidR="003D0039" w:rsidRPr="003D0039">
        <w:rPr>
          <w:sz w:val="22"/>
          <w:szCs w:val="22"/>
        </w:rPr>
        <w:t>.”</w:t>
      </w:r>
    </w:p>
    <w:p w:rsidR="00771356" w:rsidRDefault="001656FD" w:rsidP="00C1268D">
      <w:pPr>
        <w:spacing w:line="360" w:lineRule="auto"/>
        <w:ind w:firstLine="720"/>
        <w:jc w:val="both"/>
      </w:pPr>
      <w:r>
        <w:t xml:space="preserve"> </w:t>
      </w:r>
    </w:p>
    <w:p w:rsidR="00753979" w:rsidRDefault="00753979" w:rsidP="00AB3257">
      <w:pPr>
        <w:spacing w:line="360" w:lineRule="auto"/>
        <w:jc w:val="both"/>
      </w:pPr>
    </w:p>
    <w:p w:rsidR="00AB3257" w:rsidRDefault="00AB3257" w:rsidP="00AB3257">
      <w:pPr>
        <w:spacing w:line="360" w:lineRule="auto"/>
        <w:jc w:val="both"/>
      </w:pPr>
    </w:p>
    <w:p w:rsidR="00AB3257" w:rsidRDefault="00AB3257" w:rsidP="00AB3257">
      <w:pPr>
        <w:spacing w:line="360" w:lineRule="auto"/>
        <w:jc w:val="both"/>
      </w:pPr>
      <w:r w:rsidRPr="002B491D">
        <w:rPr>
          <w:i/>
        </w:rPr>
        <w:t xml:space="preserve">Sawyer and </w:t>
      </w:r>
      <w:proofErr w:type="spellStart"/>
      <w:r w:rsidRPr="002B491D">
        <w:rPr>
          <w:i/>
        </w:rPr>
        <w:t>Mkushi</w:t>
      </w:r>
      <w:proofErr w:type="spellEnd"/>
      <w:r>
        <w:t xml:space="preserve">, </w:t>
      </w:r>
      <w:r w:rsidR="00CF28E1">
        <w:t>1</w:t>
      </w:r>
      <w:r w:rsidR="00CF28E1" w:rsidRPr="00CF28E1">
        <w:rPr>
          <w:vertAlign w:val="superscript"/>
        </w:rPr>
        <w:t>st</w:t>
      </w:r>
      <w:r w:rsidR="00CF28E1">
        <w:t xml:space="preserve"> respondent’s legal practitioners</w:t>
      </w:r>
    </w:p>
    <w:p w:rsidR="00CF28E1" w:rsidRDefault="00CF28E1" w:rsidP="00AB3257">
      <w:pPr>
        <w:spacing w:line="360" w:lineRule="auto"/>
        <w:jc w:val="both"/>
      </w:pPr>
      <w:proofErr w:type="spellStart"/>
      <w:r w:rsidRPr="002B491D">
        <w:rPr>
          <w:i/>
        </w:rPr>
        <w:t>Muringani</w:t>
      </w:r>
      <w:proofErr w:type="spellEnd"/>
      <w:r w:rsidRPr="002B491D">
        <w:rPr>
          <w:i/>
        </w:rPr>
        <w:t xml:space="preserve">, </w:t>
      </w:r>
      <w:proofErr w:type="spellStart"/>
      <w:r w:rsidRPr="002B491D">
        <w:rPr>
          <w:i/>
        </w:rPr>
        <w:t>Mandikumba</w:t>
      </w:r>
      <w:proofErr w:type="spellEnd"/>
      <w:r w:rsidRPr="002B491D">
        <w:rPr>
          <w:i/>
        </w:rPr>
        <w:t xml:space="preserve"> &amp; Partners</w:t>
      </w:r>
      <w:r w:rsidR="002B491D">
        <w:t xml:space="preserve">, </w:t>
      </w:r>
      <w:r>
        <w:t>2</w:t>
      </w:r>
      <w:r w:rsidRPr="00CF28E1">
        <w:rPr>
          <w:vertAlign w:val="superscript"/>
        </w:rPr>
        <w:t>nd</w:t>
      </w:r>
      <w:r>
        <w:t xml:space="preserve"> respondent’s legal practitioners</w:t>
      </w:r>
    </w:p>
    <w:p w:rsidR="00635B63" w:rsidRDefault="00635B63" w:rsidP="00F9602F">
      <w:pPr>
        <w:spacing w:line="360" w:lineRule="auto"/>
        <w:jc w:val="both"/>
      </w:pPr>
    </w:p>
    <w:p w:rsidR="004E70BB" w:rsidRDefault="004E70BB" w:rsidP="00F9602F">
      <w:pPr>
        <w:spacing w:line="360" w:lineRule="auto"/>
        <w:jc w:val="both"/>
      </w:pPr>
      <w:r>
        <w:t>………………………………….. I agree</w:t>
      </w:r>
    </w:p>
    <w:p w:rsidR="004E70BB" w:rsidRDefault="004E70BB" w:rsidP="00F9602F">
      <w:pPr>
        <w:spacing w:line="360" w:lineRule="auto"/>
        <w:jc w:val="both"/>
      </w:pPr>
      <w:proofErr w:type="spellStart"/>
      <w:r>
        <w:t>Muzofa</w:t>
      </w:r>
      <w:proofErr w:type="spellEnd"/>
      <w:r>
        <w:t xml:space="preserve"> J</w:t>
      </w:r>
    </w:p>
    <w:p w:rsidR="004E70BB" w:rsidRDefault="00D92E7C" w:rsidP="00F9602F">
      <w:pPr>
        <w:spacing w:line="360" w:lineRule="auto"/>
        <w:jc w:val="both"/>
      </w:pPr>
      <w:r>
        <w:t>…………………………………..</w:t>
      </w:r>
    </w:p>
    <w:p w:rsidR="00D92E7C" w:rsidRDefault="00D92E7C" w:rsidP="00F9602F">
      <w:pPr>
        <w:spacing w:line="360" w:lineRule="auto"/>
        <w:jc w:val="both"/>
      </w:pPr>
      <w:proofErr w:type="spellStart"/>
      <w:r>
        <w:t>Muchawa</w:t>
      </w:r>
      <w:proofErr w:type="spellEnd"/>
      <w:r>
        <w:t xml:space="preserve"> J</w:t>
      </w:r>
    </w:p>
    <w:sectPr w:rsidR="00D92E7C" w:rsidSect="00A179C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C68" w:rsidRDefault="00B33C68" w:rsidP="00A179C8">
      <w:r>
        <w:separator/>
      </w:r>
    </w:p>
  </w:endnote>
  <w:endnote w:type="continuationSeparator" w:id="0">
    <w:p w:rsidR="00B33C68" w:rsidRDefault="00B33C68" w:rsidP="00A1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439878"/>
      <w:docPartObj>
        <w:docPartGallery w:val="Page Numbers (Bottom of Page)"/>
        <w:docPartUnique/>
      </w:docPartObj>
    </w:sdtPr>
    <w:sdtEndPr>
      <w:rPr>
        <w:noProof/>
      </w:rPr>
    </w:sdtEndPr>
    <w:sdtContent>
      <w:p w:rsidR="0040516B" w:rsidRDefault="0040516B">
        <w:pPr>
          <w:pStyle w:val="Footer"/>
          <w:jc w:val="center"/>
        </w:pPr>
        <w:r>
          <w:fldChar w:fldCharType="begin"/>
        </w:r>
        <w:r>
          <w:instrText xml:space="preserve"> PAGE   \* MERGEFORMAT </w:instrText>
        </w:r>
        <w:r>
          <w:fldChar w:fldCharType="separate"/>
        </w:r>
        <w:r w:rsidR="00C81E2B">
          <w:rPr>
            <w:noProof/>
          </w:rPr>
          <w:t>2</w:t>
        </w:r>
        <w:r>
          <w:rPr>
            <w:noProof/>
          </w:rPr>
          <w:fldChar w:fldCharType="end"/>
        </w:r>
      </w:p>
    </w:sdtContent>
  </w:sdt>
  <w:p w:rsidR="0040516B" w:rsidRDefault="00405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C68" w:rsidRDefault="00B33C68" w:rsidP="00A179C8">
      <w:r>
        <w:separator/>
      </w:r>
    </w:p>
  </w:footnote>
  <w:footnote w:type="continuationSeparator" w:id="0">
    <w:p w:rsidR="00B33C68" w:rsidRDefault="00B33C68" w:rsidP="00A17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6B" w:rsidRPr="00A179C8" w:rsidRDefault="0040516B">
    <w:pPr>
      <w:pStyle w:val="Header"/>
      <w:rPr>
        <w:lang w:val="en-ZW"/>
      </w:rPr>
    </w:pPr>
    <w:r>
      <w:rPr>
        <w:lang w:val="en-ZW"/>
      </w:rPr>
      <w:tab/>
    </w:r>
    <w:r>
      <w:rPr>
        <w:lang w:val="en-ZW"/>
      </w:rPr>
      <w:tab/>
      <w:t>JUDGMENT NO. LC/H/</w:t>
    </w:r>
    <w:r w:rsidR="00C81E2B">
      <w:rPr>
        <w:lang w:val="en-ZW"/>
      </w:rPr>
      <w:t>581</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C480F"/>
    <w:multiLevelType w:val="hybridMultilevel"/>
    <w:tmpl w:val="7A04515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62E3D05"/>
    <w:multiLevelType w:val="hybridMultilevel"/>
    <w:tmpl w:val="CCBE4A18"/>
    <w:lvl w:ilvl="0" w:tplc="130634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BB"/>
    <w:rsid w:val="00025826"/>
    <w:rsid w:val="00053931"/>
    <w:rsid w:val="00075DFC"/>
    <w:rsid w:val="000832F4"/>
    <w:rsid w:val="00084734"/>
    <w:rsid w:val="00084B3D"/>
    <w:rsid w:val="00086390"/>
    <w:rsid w:val="000F49ED"/>
    <w:rsid w:val="001121C1"/>
    <w:rsid w:val="00131236"/>
    <w:rsid w:val="001656FD"/>
    <w:rsid w:val="00191796"/>
    <w:rsid w:val="001943DF"/>
    <w:rsid w:val="001B2911"/>
    <w:rsid w:val="001E3075"/>
    <w:rsid w:val="002032EC"/>
    <w:rsid w:val="00223F06"/>
    <w:rsid w:val="0022402E"/>
    <w:rsid w:val="002344CF"/>
    <w:rsid w:val="00241FC4"/>
    <w:rsid w:val="00261B15"/>
    <w:rsid w:val="002630AD"/>
    <w:rsid w:val="00272337"/>
    <w:rsid w:val="00290798"/>
    <w:rsid w:val="0029146B"/>
    <w:rsid w:val="0029529F"/>
    <w:rsid w:val="00295E95"/>
    <w:rsid w:val="00297A41"/>
    <w:rsid w:val="002B491D"/>
    <w:rsid w:val="002C1548"/>
    <w:rsid w:val="002D0D07"/>
    <w:rsid w:val="002E181A"/>
    <w:rsid w:val="003162D9"/>
    <w:rsid w:val="0033085D"/>
    <w:rsid w:val="003355BA"/>
    <w:rsid w:val="00354383"/>
    <w:rsid w:val="003828FE"/>
    <w:rsid w:val="003836F5"/>
    <w:rsid w:val="003B1AEF"/>
    <w:rsid w:val="003C7367"/>
    <w:rsid w:val="003D0039"/>
    <w:rsid w:val="003E237A"/>
    <w:rsid w:val="003E48BE"/>
    <w:rsid w:val="003E5084"/>
    <w:rsid w:val="004000AC"/>
    <w:rsid w:val="00403B97"/>
    <w:rsid w:val="0040516B"/>
    <w:rsid w:val="00423741"/>
    <w:rsid w:val="00447A66"/>
    <w:rsid w:val="004610F9"/>
    <w:rsid w:val="00466258"/>
    <w:rsid w:val="00475DF2"/>
    <w:rsid w:val="00481C52"/>
    <w:rsid w:val="004A5D02"/>
    <w:rsid w:val="004C3A3E"/>
    <w:rsid w:val="004D1DB4"/>
    <w:rsid w:val="004E70BB"/>
    <w:rsid w:val="004F1068"/>
    <w:rsid w:val="00503760"/>
    <w:rsid w:val="00507ABB"/>
    <w:rsid w:val="0051257C"/>
    <w:rsid w:val="00552CAE"/>
    <w:rsid w:val="0057426D"/>
    <w:rsid w:val="0058701E"/>
    <w:rsid w:val="005B6235"/>
    <w:rsid w:val="005E6737"/>
    <w:rsid w:val="005F6079"/>
    <w:rsid w:val="005F76EE"/>
    <w:rsid w:val="006237C8"/>
    <w:rsid w:val="00635B63"/>
    <w:rsid w:val="006500A4"/>
    <w:rsid w:val="006578DC"/>
    <w:rsid w:val="00687C94"/>
    <w:rsid w:val="00692299"/>
    <w:rsid w:val="006D25A7"/>
    <w:rsid w:val="006D3E91"/>
    <w:rsid w:val="006E3D08"/>
    <w:rsid w:val="006E5B25"/>
    <w:rsid w:val="006F0980"/>
    <w:rsid w:val="00705C3A"/>
    <w:rsid w:val="00707FD1"/>
    <w:rsid w:val="007305C0"/>
    <w:rsid w:val="0075183C"/>
    <w:rsid w:val="00753979"/>
    <w:rsid w:val="007567F4"/>
    <w:rsid w:val="007574D2"/>
    <w:rsid w:val="00767DAE"/>
    <w:rsid w:val="00771356"/>
    <w:rsid w:val="007A3880"/>
    <w:rsid w:val="007C4134"/>
    <w:rsid w:val="007C4D56"/>
    <w:rsid w:val="007C5DCC"/>
    <w:rsid w:val="007C61B9"/>
    <w:rsid w:val="007C73D0"/>
    <w:rsid w:val="007D06BF"/>
    <w:rsid w:val="007D3295"/>
    <w:rsid w:val="007D5F4C"/>
    <w:rsid w:val="007D7E69"/>
    <w:rsid w:val="007F3D54"/>
    <w:rsid w:val="008106AE"/>
    <w:rsid w:val="00814616"/>
    <w:rsid w:val="00815E7D"/>
    <w:rsid w:val="00877354"/>
    <w:rsid w:val="00885371"/>
    <w:rsid w:val="008B2C99"/>
    <w:rsid w:val="008C4E58"/>
    <w:rsid w:val="008C5362"/>
    <w:rsid w:val="008E33A3"/>
    <w:rsid w:val="0090299D"/>
    <w:rsid w:val="00906AE5"/>
    <w:rsid w:val="009361D7"/>
    <w:rsid w:val="00945119"/>
    <w:rsid w:val="00947A29"/>
    <w:rsid w:val="009706E2"/>
    <w:rsid w:val="00996068"/>
    <w:rsid w:val="0099732A"/>
    <w:rsid w:val="009B0714"/>
    <w:rsid w:val="009D1381"/>
    <w:rsid w:val="009E1A51"/>
    <w:rsid w:val="009E2230"/>
    <w:rsid w:val="009E3F0E"/>
    <w:rsid w:val="00A179C8"/>
    <w:rsid w:val="00A22756"/>
    <w:rsid w:val="00A610BB"/>
    <w:rsid w:val="00A64AFC"/>
    <w:rsid w:val="00AB3257"/>
    <w:rsid w:val="00AB5B2A"/>
    <w:rsid w:val="00AC19CF"/>
    <w:rsid w:val="00AE684E"/>
    <w:rsid w:val="00AE6E19"/>
    <w:rsid w:val="00B32C92"/>
    <w:rsid w:val="00B33C68"/>
    <w:rsid w:val="00B35D40"/>
    <w:rsid w:val="00B52DA9"/>
    <w:rsid w:val="00B724A1"/>
    <w:rsid w:val="00B76319"/>
    <w:rsid w:val="00B82C37"/>
    <w:rsid w:val="00B848D4"/>
    <w:rsid w:val="00B978B3"/>
    <w:rsid w:val="00BE46A9"/>
    <w:rsid w:val="00BF29AE"/>
    <w:rsid w:val="00C114C3"/>
    <w:rsid w:val="00C1268D"/>
    <w:rsid w:val="00C35AAA"/>
    <w:rsid w:val="00C519C7"/>
    <w:rsid w:val="00C548D7"/>
    <w:rsid w:val="00C63561"/>
    <w:rsid w:val="00C72E1D"/>
    <w:rsid w:val="00C81E2B"/>
    <w:rsid w:val="00C84F80"/>
    <w:rsid w:val="00C85EE5"/>
    <w:rsid w:val="00C94C1B"/>
    <w:rsid w:val="00C96EB9"/>
    <w:rsid w:val="00CE0546"/>
    <w:rsid w:val="00CF28E1"/>
    <w:rsid w:val="00D1171B"/>
    <w:rsid w:val="00D146CB"/>
    <w:rsid w:val="00D35C87"/>
    <w:rsid w:val="00D70515"/>
    <w:rsid w:val="00D92E7C"/>
    <w:rsid w:val="00DA05C5"/>
    <w:rsid w:val="00DB4FA2"/>
    <w:rsid w:val="00DC625A"/>
    <w:rsid w:val="00DE6A42"/>
    <w:rsid w:val="00E91740"/>
    <w:rsid w:val="00E92537"/>
    <w:rsid w:val="00EA516D"/>
    <w:rsid w:val="00EB238D"/>
    <w:rsid w:val="00EF64B5"/>
    <w:rsid w:val="00EF78FA"/>
    <w:rsid w:val="00F00816"/>
    <w:rsid w:val="00F01BEE"/>
    <w:rsid w:val="00F025C4"/>
    <w:rsid w:val="00F03DEC"/>
    <w:rsid w:val="00F07CD1"/>
    <w:rsid w:val="00F24429"/>
    <w:rsid w:val="00F425BA"/>
    <w:rsid w:val="00F43BA5"/>
    <w:rsid w:val="00F46399"/>
    <w:rsid w:val="00F671F8"/>
    <w:rsid w:val="00F67C61"/>
    <w:rsid w:val="00F823C3"/>
    <w:rsid w:val="00F939E4"/>
    <w:rsid w:val="00F9602F"/>
    <w:rsid w:val="00FA0C7D"/>
    <w:rsid w:val="00FA47B2"/>
    <w:rsid w:val="00FD16AA"/>
    <w:rsid w:val="00FE3B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B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31"/>
    <w:pPr>
      <w:ind w:left="720"/>
      <w:contextualSpacing/>
    </w:pPr>
  </w:style>
  <w:style w:type="paragraph" w:styleId="Header">
    <w:name w:val="header"/>
    <w:basedOn w:val="Normal"/>
    <w:link w:val="HeaderChar"/>
    <w:uiPriority w:val="99"/>
    <w:unhideWhenUsed/>
    <w:rsid w:val="00A179C8"/>
    <w:pPr>
      <w:tabs>
        <w:tab w:val="center" w:pos="4513"/>
        <w:tab w:val="right" w:pos="9026"/>
      </w:tabs>
    </w:pPr>
  </w:style>
  <w:style w:type="character" w:customStyle="1" w:styleId="HeaderChar">
    <w:name w:val="Header Char"/>
    <w:basedOn w:val="DefaultParagraphFont"/>
    <w:link w:val="Header"/>
    <w:uiPriority w:val="99"/>
    <w:rsid w:val="00A179C8"/>
    <w:rPr>
      <w:rFonts w:ascii="Tahoma" w:eastAsia="Times New Roman" w:hAnsi="Tahoma" w:cs="Times New Roman"/>
      <w:sz w:val="24"/>
      <w:szCs w:val="24"/>
      <w:lang w:val="en-US"/>
    </w:rPr>
  </w:style>
  <w:style w:type="paragraph" w:styleId="Footer">
    <w:name w:val="footer"/>
    <w:basedOn w:val="Normal"/>
    <w:link w:val="FooterChar"/>
    <w:uiPriority w:val="99"/>
    <w:unhideWhenUsed/>
    <w:rsid w:val="00A179C8"/>
    <w:pPr>
      <w:tabs>
        <w:tab w:val="center" w:pos="4513"/>
        <w:tab w:val="right" w:pos="9026"/>
      </w:tabs>
    </w:pPr>
  </w:style>
  <w:style w:type="character" w:customStyle="1" w:styleId="FooterChar">
    <w:name w:val="Footer Char"/>
    <w:basedOn w:val="DefaultParagraphFont"/>
    <w:link w:val="Footer"/>
    <w:uiPriority w:val="99"/>
    <w:rsid w:val="00A179C8"/>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F43BA5"/>
    <w:rPr>
      <w:rFonts w:cs="Tahoma"/>
      <w:sz w:val="16"/>
      <w:szCs w:val="16"/>
    </w:rPr>
  </w:style>
  <w:style w:type="character" w:customStyle="1" w:styleId="BalloonTextChar">
    <w:name w:val="Balloon Text Char"/>
    <w:basedOn w:val="DefaultParagraphFont"/>
    <w:link w:val="BalloonText"/>
    <w:uiPriority w:val="99"/>
    <w:semiHidden/>
    <w:rsid w:val="00F43BA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B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31"/>
    <w:pPr>
      <w:ind w:left="720"/>
      <w:contextualSpacing/>
    </w:pPr>
  </w:style>
  <w:style w:type="paragraph" w:styleId="Header">
    <w:name w:val="header"/>
    <w:basedOn w:val="Normal"/>
    <w:link w:val="HeaderChar"/>
    <w:uiPriority w:val="99"/>
    <w:unhideWhenUsed/>
    <w:rsid w:val="00A179C8"/>
    <w:pPr>
      <w:tabs>
        <w:tab w:val="center" w:pos="4513"/>
        <w:tab w:val="right" w:pos="9026"/>
      </w:tabs>
    </w:pPr>
  </w:style>
  <w:style w:type="character" w:customStyle="1" w:styleId="HeaderChar">
    <w:name w:val="Header Char"/>
    <w:basedOn w:val="DefaultParagraphFont"/>
    <w:link w:val="Header"/>
    <w:uiPriority w:val="99"/>
    <w:rsid w:val="00A179C8"/>
    <w:rPr>
      <w:rFonts w:ascii="Tahoma" w:eastAsia="Times New Roman" w:hAnsi="Tahoma" w:cs="Times New Roman"/>
      <w:sz w:val="24"/>
      <w:szCs w:val="24"/>
      <w:lang w:val="en-US"/>
    </w:rPr>
  </w:style>
  <w:style w:type="paragraph" w:styleId="Footer">
    <w:name w:val="footer"/>
    <w:basedOn w:val="Normal"/>
    <w:link w:val="FooterChar"/>
    <w:uiPriority w:val="99"/>
    <w:unhideWhenUsed/>
    <w:rsid w:val="00A179C8"/>
    <w:pPr>
      <w:tabs>
        <w:tab w:val="center" w:pos="4513"/>
        <w:tab w:val="right" w:pos="9026"/>
      </w:tabs>
    </w:pPr>
  </w:style>
  <w:style w:type="character" w:customStyle="1" w:styleId="FooterChar">
    <w:name w:val="Footer Char"/>
    <w:basedOn w:val="DefaultParagraphFont"/>
    <w:link w:val="Footer"/>
    <w:uiPriority w:val="99"/>
    <w:rsid w:val="00A179C8"/>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F43BA5"/>
    <w:rPr>
      <w:rFonts w:cs="Tahoma"/>
      <w:sz w:val="16"/>
      <w:szCs w:val="16"/>
    </w:rPr>
  </w:style>
  <w:style w:type="character" w:customStyle="1" w:styleId="BalloonTextChar">
    <w:name w:val="Balloon Text Char"/>
    <w:basedOn w:val="DefaultParagraphFont"/>
    <w:link w:val="BalloonText"/>
    <w:uiPriority w:val="99"/>
    <w:semiHidden/>
    <w:rsid w:val="00F43BA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7</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74</cp:revision>
  <cp:lastPrinted>2016-09-12T12:17:00Z</cp:lastPrinted>
  <dcterms:created xsi:type="dcterms:W3CDTF">2016-08-29T06:39:00Z</dcterms:created>
  <dcterms:modified xsi:type="dcterms:W3CDTF">2016-09-14T07:45:00Z</dcterms:modified>
</cp:coreProperties>
</file>