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9A" w:rsidRDefault="004934E3" w:rsidP="004934E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MAXWELL MATSVIMBO SIBANDA</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GWYNNE ANN STEVENSON</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STEVENSON</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WINTERTONS LE</w:t>
      </w:r>
      <w:r w:rsidR="003C2988">
        <w:rPr>
          <w:rFonts w:ascii="Times New Roman" w:hAnsi="Times New Roman" w:cs="Times New Roman"/>
          <w:sz w:val="24"/>
          <w:szCs w:val="24"/>
        </w:rPr>
        <w:t>GAL</w:t>
      </w:r>
      <w:r>
        <w:rPr>
          <w:rFonts w:ascii="Times New Roman" w:hAnsi="Times New Roman" w:cs="Times New Roman"/>
          <w:sz w:val="24"/>
          <w:szCs w:val="24"/>
        </w:rPr>
        <w:t xml:space="preserve"> PRACTITIONERS</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N.M.WILSMER</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CHIMBINU OF KANTOR &amp; IMMERMAN</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MINTER TRUST</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KANTOR AND IMMERMAN LEGAL PRACTITIONERS</w:t>
      </w:r>
    </w:p>
    <w:p w:rsidR="004934E3" w:rsidRDefault="004934E3" w:rsidP="004934E3">
      <w:pPr>
        <w:spacing w:after="0" w:line="240" w:lineRule="auto"/>
        <w:jc w:val="both"/>
        <w:rPr>
          <w:rFonts w:ascii="Times New Roman" w:hAnsi="Times New Roman" w:cs="Times New Roman"/>
          <w:sz w:val="24"/>
          <w:szCs w:val="24"/>
        </w:rPr>
      </w:pPr>
    </w:p>
    <w:p w:rsidR="004934E3" w:rsidRDefault="004934E3" w:rsidP="004934E3">
      <w:pPr>
        <w:spacing w:after="0" w:line="240" w:lineRule="auto"/>
        <w:jc w:val="both"/>
        <w:rPr>
          <w:rFonts w:ascii="Times New Roman" w:hAnsi="Times New Roman" w:cs="Times New Roman"/>
          <w:sz w:val="24"/>
          <w:szCs w:val="24"/>
        </w:rPr>
      </w:pPr>
    </w:p>
    <w:p w:rsidR="004934E3" w:rsidRDefault="004934E3" w:rsidP="004934E3">
      <w:pPr>
        <w:spacing w:after="0" w:line="240" w:lineRule="auto"/>
        <w:jc w:val="both"/>
        <w:rPr>
          <w:rFonts w:ascii="Times New Roman" w:hAnsi="Times New Roman" w:cs="Times New Roman"/>
          <w:sz w:val="24"/>
          <w:szCs w:val="24"/>
        </w:rPr>
      </w:pP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B94FC1">
        <w:rPr>
          <w:rFonts w:ascii="Times New Roman" w:hAnsi="Times New Roman" w:cs="Times New Roman"/>
          <w:sz w:val="24"/>
          <w:szCs w:val="24"/>
        </w:rPr>
        <w:t>19 July 2018 and 8 August 2018</w:t>
      </w:r>
    </w:p>
    <w:p w:rsidR="004934E3" w:rsidRDefault="004934E3" w:rsidP="004934E3">
      <w:pPr>
        <w:spacing w:after="0" w:line="240" w:lineRule="auto"/>
        <w:jc w:val="both"/>
        <w:rPr>
          <w:rFonts w:ascii="Times New Roman" w:hAnsi="Times New Roman" w:cs="Times New Roman"/>
          <w:sz w:val="24"/>
          <w:szCs w:val="24"/>
        </w:rPr>
      </w:pPr>
    </w:p>
    <w:p w:rsidR="004934E3" w:rsidRDefault="004934E3" w:rsidP="004934E3">
      <w:pPr>
        <w:spacing w:after="0" w:line="240" w:lineRule="auto"/>
        <w:jc w:val="both"/>
        <w:rPr>
          <w:rFonts w:ascii="Times New Roman" w:hAnsi="Times New Roman" w:cs="Times New Roman"/>
          <w:sz w:val="24"/>
          <w:szCs w:val="24"/>
        </w:rPr>
      </w:pPr>
    </w:p>
    <w:p w:rsidR="004934E3" w:rsidRDefault="004934E3" w:rsidP="004934E3">
      <w:pPr>
        <w:spacing w:after="0" w:line="240" w:lineRule="auto"/>
        <w:jc w:val="both"/>
        <w:rPr>
          <w:rFonts w:ascii="Times New Roman" w:hAnsi="Times New Roman" w:cs="Times New Roman"/>
          <w:sz w:val="24"/>
          <w:szCs w:val="24"/>
        </w:rPr>
      </w:pPr>
    </w:p>
    <w:p w:rsidR="004934E3" w:rsidRDefault="004934E3" w:rsidP="004934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w:t>
      </w:r>
      <w:r w:rsidR="003C2988">
        <w:rPr>
          <w:rFonts w:ascii="Times New Roman" w:hAnsi="Times New Roman" w:cs="Times New Roman"/>
          <w:b/>
          <w:sz w:val="24"/>
          <w:szCs w:val="24"/>
        </w:rPr>
        <w:t>pposed</w:t>
      </w:r>
      <w:r>
        <w:rPr>
          <w:rFonts w:ascii="Times New Roman" w:hAnsi="Times New Roman" w:cs="Times New Roman"/>
          <w:b/>
          <w:sz w:val="24"/>
          <w:szCs w:val="24"/>
        </w:rPr>
        <w:t xml:space="preserve"> Application for Joinder</w:t>
      </w:r>
    </w:p>
    <w:p w:rsidR="004934E3" w:rsidRDefault="004934E3" w:rsidP="004934E3">
      <w:pPr>
        <w:spacing w:after="0" w:line="240" w:lineRule="auto"/>
        <w:jc w:val="both"/>
        <w:rPr>
          <w:rFonts w:ascii="Times New Roman" w:hAnsi="Times New Roman" w:cs="Times New Roman"/>
          <w:b/>
          <w:sz w:val="24"/>
          <w:szCs w:val="24"/>
        </w:rPr>
      </w:pPr>
    </w:p>
    <w:p w:rsidR="004934E3" w:rsidRDefault="004934E3" w:rsidP="004934E3">
      <w:pPr>
        <w:spacing w:after="0" w:line="240" w:lineRule="auto"/>
        <w:jc w:val="both"/>
        <w:rPr>
          <w:rFonts w:ascii="Times New Roman" w:hAnsi="Times New Roman" w:cs="Times New Roman"/>
          <w:b/>
          <w:sz w:val="24"/>
          <w:szCs w:val="24"/>
        </w:rPr>
      </w:pP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Plaintiff – In Person</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w:t>
      </w:r>
      <w:r w:rsidR="00F52117">
        <w:rPr>
          <w:rFonts w:ascii="Times New Roman" w:hAnsi="Times New Roman" w:cs="Times New Roman"/>
          <w:sz w:val="24"/>
          <w:szCs w:val="24"/>
        </w:rPr>
        <w:t>1</w:t>
      </w:r>
      <w:r w:rsidR="00F52117" w:rsidRPr="00F52117">
        <w:rPr>
          <w:rFonts w:ascii="Times New Roman" w:hAnsi="Times New Roman" w:cs="Times New Roman"/>
          <w:sz w:val="24"/>
          <w:szCs w:val="24"/>
          <w:vertAlign w:val="superscript"/>
        </w:rPr>
        <w:t>st</w:t>
      </w:r>
      <w:r w:rsidR="00F52117">
        <w:rPr>
          <w:rFonts w:ascii="Times New Roman" w:hAnsi="Times New Roman" w:cs="Times New Roman"/>
          <w:sz w:val="24"/>
          <w:szCs w:val="24"/>
        </w:rPr>
        <w:t>, 2</w:t>
      </w:r>
      <w:r w:rsidR="00F52117" w:rsidRPr="00F52117">
        <w:rPr>
          <w:rFonts w:ascii="Times New Roman" w:hAnsi="Times New Roman" w:cs="Times New Roman"/>
          <w:sz w:val="24"/>
          <w:szCs w:val="24"/>
          <w:vertAlign w:val="superscript"/>
        </w:rPr>
        <w:t>nd</w:t>
      </w:r>
      <w:r w:rsidR="00F52117">
        <w:rPr>
          <w:rFonts w:ascii="Times New Roman" w:hAnsi="Times New Roman" w:cs="Times New Roman"/>
          <w:sz w:val="24"/>
          <w:szCs w:val="24"/>
        </w:rPr>
        <w:t>, 3</w:t>
      </w:r>
      <w:r w:rsidR="00F52117" w:rsidRPr="00F52117">
        <w:rPr>
          <w:rFonts w:ascii="Times New Roman" w:hAnsi="Times New Roman" w:cs="Times New Roman"/>
          <w:sz w:val="24"/>
          <w:szCs w:val="24"/>
          <w:vertAlign w:val="superscript"/>
        </w:rPr>
        <w:t>rd</w:t>
      </w:r>
      <w:r w:rsidR="00F52117">
        <w:rPr>
          <w:rFonts w:ascii="Times New Roman" w:hAnsi="Times New Roman" w:cs="Times New Roman"/>
          <w:sz w:val="24"/>
          <w:szCs w:val="24"/>
        </w:rPr>
        <w:t>,4</w:t>
      </w:r>
      <w:r w:rsidR="00F52117" w:rsidRPr="00F52117">
        <w:rPr>
          <w:rFonts w:ascii="Times New Roman" w:hAnsi="Times New Roman" w:cs="Times New Roman"/>
          <w:sz w:val="24"/>
          <w:szCs w:val="24"/>
          <w:vertAlign w:val="superscript"/>
        </w:rPr>
        <w:t>th</w:t>
      </w:r>
      <w:r w:rsidR="00F52117">
        <w:rPr>
          <w:rFonts w:ascii="Times New Roman" w:hAnsi="Times New Roman" w:cs="Times New Roman"/>
          <w:sz w:val="24"/>
          <w:szCs w:val="24"/>
        </w:rPr>
        <w:t>,5</w:t>
      </w:r>
      <w:r w:rsidR="00F52117" w:rsidRPr="00F52117">
        <w:rPr>
          <w:rFonts w:ascii="Times New Roman" w:hAnsi="Times New Roman" w:cs="Times New Roman"/>
          <w:sz w:val="24"/>
          <w:szCs w:val="24"/>
          <w:vertAlign w:val="superscript"/>
        </w:rPr>
        <w:t>th</w:t>
      </w:r>
      <w:r w:rsidR="00F52117">
        <w:rPr>
          <w:rFonts w:ascii="Times New Roman" w:hAnsi="Times New Roman" w:cs="Times New Roman"/>
          <w:sz w:val="24"/>
          <w:szCs w:val="24"/>
        </w:rPr>
        <w:t xml:space="preserve"> ,6</w:t>
      </w:r>
      <w:r w:rsidR="00F52117" w:rsidRPr="00F52117">
        <w:rPr>
          <w:rFonts w:ascii="Times New Roman" w:hAnsi="Times New Roman" w:cs="Times New Roman"/>
          <w:sz w:val="24"/>
          <w:szCs w:val="24"/>
          <w:vertAlign w:val="superscript"/>
        </w:rPr>
        <w:t>th</w:t>
      </w:r>
      <w:r w:rsidR="00F52117">
        <w:rPr>
          <w:rFonts w:ascii="Times New Roman" w:hAnsi="Times New Roman" w:cs="Times New Roman"/>
          <w:sz w:val="24"/>
          <w:szCs w:val="24"/>
        </w:rPr>
        <w:t xml:space="preserve"> ,7</w:t>
      </w:r>
      <w:r w:rsidR="00F52117" w:rsidRPr="00F52117">
        <w:rPr>
          <w:rFonts w:ascii="Times New Roman" w:hAnsi="Times New Roman" w:cs="Times New Roman"/>
          <w:sz w:val="24"/>
          <w:szCs w:val="24"/>
          <w:vertAlign w:val="superscript"/>
        </w:rPr>
        <w:t>th</w:t>
      </w:r>
      <w:r w:rsidR="00F52117">
        <w:rPr>
          <w:rFonts w:ascii="Times New Roman" w:hAnsi="Times New Roman" w:cs="Times New Roman"/>
          <w:sz w:val="24"/>
          <w:szCs w:val="24"/>
        </w:rPr>
        <w:t xml:space="preserve"> </w:t>
      </w:r>
      <w:r w:rsidR="00781522">
        <w:rPr>
          <w:rFonts w:ascii="Times New Roman" w:hAnsi="Times New Roman" w:cs="Times New Roman"/>
          <w:sz w:val="24"/>
          <w:szCs w:val="24"/>
        </w:rPr>
        <w:t xml:space="preserve"> respondents</w:t>
      </w:r>
    </w:p>
    <w:p w:rsidR="004934E3" w:rsidRDefault="004934E3" w:rsidP="00493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4934E3">
        <w:rPr>
          <w:rFonts w:ascii="Times New Roman" w:hAnsi="Times New Roman" w:cs="Times New Roman"/>
          <w:i/>
          <w:sz w:val="24"/>
          <w:szCs w:val="24"/>
        </w:rPr>
        <w:t>T</w:t>
      </w:r>
      <w:r>
        <w:rPr>
          <w:rFonts w:ascii="Times New Roman" w:hAnsi="Times New Roman" w:cs="Times New Roman"/>
          <w:sz w:val="24"/>
          <w:szCs w:val="24"/>
        </w:rPr>
        <w:t xml:space="preserve"> </w:t>
      </w:r>
      <w:r>
        <w:rPr>
          <w:rFonts w:ascii="Times New Roman" w:hAnsi="Times New Roman" w:cs="Times New Roman"/>
          <w:i/>
          <w:sz w:val="24"/>
          <w:szCs w:val="24"/>
        </w:rPr>
        <w:t xml:space="preserve">Makanga, </w:t>
      </w:r>
      <w:r>
        <w:rPr>
          <w:rFonts w:ascii="Times New Roman" w:hAnsi="Times New Roman" w:cs="Times New Roman"/>
          <w:sz w:val="24"/>
          <w:szCs w:val="24"/>
        </w:rPr>
        <w:t>for the 8</w:t>
      </w:r>
      <w:r w:rsidRPr="004934E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4934E3" w:rsidRDefault="004934E3" w:rsidP="004934E3">
      <w:pPr>
        <w:spacing w:after="0" w:line="240" w:lineRule="auto"/>
        <w:jc w:val="both"/>
        <w:rPr>
          <w:rFonts w:ascii="Times New Roman" w:hAnsi="Times New Roman" w:cs="Times New Roman"/>
          <w:sz w:val="24"/>
          <w:szCs w:val="24"/>
        </w:rPr>
      </w:pPr>
    </w:p>
    <w:p w:rsidR="004934E3" w:rsidRDefault="004934E3" w:rsidP="004934E3">
      <w:pPr>
        <w:spacing w:after="0" w:line="240" w:lineRule="auto"/>
        <w:jc w:val="both"/>
        <w:rPr>
          <w:rFonts w:ascii="Times New Roman" w:hAnsi="Times New Roman" w:cs="Times New Roman"/>
          <w:sz w:val="24"/>
          <w:szCs w:val="24"/>
        </w:rPr>
      </w:pPr>
    </w:p>
    <w:p w:rsidR="004934E3" w:rsidRDefault="004934E3" w:rsidP="004934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MUZOFA J: The applicant seeks an order in the following terms, that:</w:t>
      </w:r>
    </w:p>
    <w:p w:rsidR="004934E3" w:rsidRDefault="004934E3" w:rsidP="004934E3">
      <w:pPr>
        <w:spacing w:after="0" w:line="240" w:lineRule="auto"/>
        <w:ind w:firstLine="720"/>
        <w:jc w:val="both"/>
        <w:rPr>
          <w:rFonts w:ascii="Times New Roman" w:hAnsi="Times New Roman" w:cs="Times New Roman"/>
          <w:sz w:val="24"/>
          <w:szCs w:val="24"/>
        </w:rPr>
      </w:pPr>
    </w:p>
    <w:p w:rsidR="004934E3" w:rsidRPr="004934E3" w:rsidRDefault="004934E3" w:rsidP="004934E3">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Pr="004934E3">
        <w:rPr>
          <w:rFonts w:ascii="Times New Roman" w:hAnsi="Times New Roman" w:cs="Times New Roman"/>
        </w:rPr>
        <w:t>1.</w:t>
      </w:r>
      <w:r w:rsidRPr="004934E3">
        <w:rPr>
          <w:rFonts w:ascii="Times New Roman" w:hAnsi="Times New Roman" w:cs="Times New Roman"/>
        </w:rPr>
        <w:tab/>
        <w:t>The 8</w:t>
      </w:r>
      <w:r w:rsidRPr="004934E3">
        <w:rPr>
          <w:rFonts w:ascii="Times New Roman" w:hAnsi="Times New Roman" w:cs="Times New Roman"/>
          <w:vertAlign w:val="superscript"/>
        </w:rPr>
        <w:t>th</w:t>
      </w:r>
      <w:r w:rsidRPr="004934E3">
        <w:rPr>
          <w:rFonts w:ascii="Times New Roman" w:hAnsi="Times New Roman" w:cs="Times New Roman"/>
        </w:rPr>
        <w:t xml:space="preserve"> respondent be and is hereby joined to the proceedings under case number </w:t>
      </w:r>
      <w:r w:rsidR="00F52117">
        <w:rPr>
          <w:rFonts w:ascii="Times New Roman" w:hAnsi="Times New Roman" w:cs="Times New Roman"/>
        </w:rPr>
        <w:t xml:space="preserve">HC </w:t>
      </w:r>
      <w:r w:rsidRPr="004934E3">
        <w:rPr>
          <w:rFonts w:ascii="Times New Roman" w:hAnsi="Times New Roman" w:cs="Times New Roman"/>
        </w:rPr>
        <w:t>3203/18.</w:t>
      </w:r>
    </w:p>
    <w:p w:rsidR="004934E3" w:rsidRPr="004934E3" w:rsidRDefault="004934E3" w:rsidP="004934E3">
      <w:pPr>
        <w:spacing w:after="0" w:line="240" w:lineRule="auto"/>
        <w:ind w:left="1440" w:hanging="720"/>
        <w:jc w:val="both"/>
        <w:rPr>
          <w:rFonts w:ascii="Times New Roman" w:hAnsi="Times New Roman" w:cs="Times New Roman"/>
        </w:rPr>
      </w:pPr>
    </w:p>
    <w:p w:rsidR="004934E3" w:rsidRDefault="004934E3" w:rsidP="004934E3">
      <w:pPr>
        <w:spacing w:after="0" w:line="240" w:lineRule="auto"/>
        <w:ind w:left="1440" w:hanging="720"/>
        <w:jc w:val="both"/>
        <w:rPr>
          <w:rFonts w:ascii="Times New Roman" w:hAnsi="Times New Roman" w:cs="Times New Roman"/>
        </w:rPr>
      </w:pPr>
      <w:r w:rsidRPr="004934E3">
        <w:rPr>
          <w:rFonts w:ascii="Times New Roman" w:hAnsi="Times New Roman" w:cs="Times New Roman"/>
        </w:rPr>
        <w:t>2.</w:t>
      </w:r>
      <w:r w:rsidRPr="004934E3">
        <w:rPr>
          <w:rFonts w:ascii="Times New Roman" w:hAnsi="Times New Roman" w:cs="Times New Roman"/>
        </w:rPr>
        <w:tab/>
        <w:t xml:space="preserve">Costs be in the cause.” </w:t>
      </w:r>
    </w:p>
    <w:p w:rsidR="004934E3" w:rsidRDefault="004934E3" w:rsidP="004934E3">
      <w:pPr>
        <w:spacing w:after="0" w:line="240" w:lineRule="auto"/>
        <w:ind w:left="1440" w:hanging="720"/>
        <w:jc w:val="both"/>
        <w:rPr>
          <w:rFonts w:ascii="Times New Roman" w:hAnsi="Times New Roman" w:cs="Times New Roman"/>
        </w:rPr>
      </w:pPr>
    </w:p>
    <w:p w:rsidR="003C2988" w:rsidRDefault="004934E3" w:rsidP="004934E3">
      <w:pPr>
        <w:spacing w:after="0" w:line="360" w:lineRule="auto"/>
        <w:ind w:left="1440" w:hanging="720"/>
        <w:jc w:val="both"/>
        <w:rPr>
          <w:rFonts w:ascii="Times New Roman" w:hAnsi="Times New Roman" w:cs="Times New Roman"/>
          <w:sz w:val="24"/>
          <w:szCs w:val="24"/>
        </w:rPr>
      </w:pPr>
      <w:r w:rsidRPr="00DA7B7C">
        <w:rPr>
          <w:rFonts w:ascii="Times New Roman" w:hAnsi="Times New Roman" w:cs="Times New Roman"/>
          <w:sz w:val="24"/>
          <w:szCs w:val="24"/>
        </w:rPr>
        <w:t xml:space="preserve">The applicant states that he was a lessee of a property owned by the first respondent. </w:t>
      </w:r>
    </w:p>
    <w:p w:rsidR="00054F3F" w:rsidRPr="00DA7B7C" w:rsidRDefault="004934E3" w:rsidP="004934E3">
      <w:pPr>
        <w:spacing w:after="0" w:line="360" w:lineRule="auto"/>
        <w:jc w:val="both"/>
        <w:rPr>
          <w:rFonts w:ascii="Times New Roman" w:hAnsi="Times New Roman" w:cs="Times New Roman"/>
          <w:sz w:val="24"/>
          <w:szCs w:val="24"/>
        </w:rPr>
      </w:pPr>
      <w:r w:rsidRPr="00DA7B7C">
        <w:rPr>
          <w:rFonts w:ascii="Times New Roman" w:hAnsi="Times New Roman" w:cs="Times New Roman"/>
          <w:sz w:val="24"/>
          <w:szCs w:val="24"/>
        </w:rPr>
        <w:t>The parties agreed that the applicant could effect renovations and improvements on the property</w:t>
      </w:r>
      <w:r w:rsidR="00054F3F" w:rsidRPr="00DA7B7C">
        <w:rPr>
          <w:rFonts w:ascii="Times New Roman" w:hAnsi="Times New Roman" w:cs="Times New Roman"/>
          <w:sz w:val="24"/>
          <w:szCs w:val="24"/>
        </w:rPr>
        <w:t>,</w:t>
      </w:r>
      <w:r w:rsidRPr="00DA7B7C">
        <w:rPr>
          <w:rFonts w:ascii="Times New Roman" w:hAnsi="Times New Roman" w:cs="Times New Roman"/>
          <w:sz w:val="24"/>
          <w:szCs w:val="24"/>
        </w:rPr>
        <w:t xml:space="preserve"> which he did</w:t>
      </w:r>
      <w:r w:rsidR="00054F3F" w:rsidRPr="00DA7B7C">
        <w:rPr>
          <w:rFonts w:ascii="Times New Roman" w:hAnsi="Times New Roman" w:cs="Times New Roman"/>
          <w:sz w:val="24"/>
          <w:szCs w:val="24"/>
        </w:rPr>
        <w:t>. In due course</w:t>
      </w:r>
      <w:r w:rsidRPr="00DA7B7C">
        <w:rPr>
          <w:rFonts w:ascii="Times New Roman" w:hAnsi="Times New Roman" w:cs="Times New Roman"/>
          <w:sz w:val="24"/>
          <w:szCs w:val="24"/>
        </w:rPr>
        <w:t xml:space="preserve"> sometime in August 2005</w:t>
      </w:r>
      <w:r w:rsidR="00054F3F" w:rsidRPr="00DA7B7C">
        <w:rPr>
          <w:rFonts w:ascii="Times New Roman" w:hAnsi="Times New Roman" w:cs="Times New Roman"/>
          <w:sz w:val="24"/>
          <w:szCs w:val="24"/>
        </w:rPr>
        <w:t xml:space="preserve"> the first respond</w:t>
      </w:r>
      <w:r w:rsidR="009921BF">
        <w:rPr>
          <w:rFonts w:ascii="Times New Roman" w:hAnsi="Times New Roman" w:cs="Times New Roman"/>
          <w:sz w:val="24"/>
          <w:szCs w:val="24"/>
        </w:rPr>
        <w:t xml:space="preserve">ent offered the applicant </w:t>
      </w:r>
      <w:r w:rsidR="009921BF" w:rsidRPr="00DA7B7C">
        <w:rPr>
          <w:rFonts w:ascii="Times New Roman" w:hAnsi="Times New Roman" w:cs="Times New Roman"/>
          <w:sz w:val="24"/>
          <w:szCs w:val="24"/>
        </w:rPr>
        <w:t>the</w:t>
      </w:r>
      <w:r w:rsidR="00054F3F" w:rsidRPr="00DA7B7C">
        <w:rPr>
          <w:rFonts w:ascii="Times New Roman" w:hAnsi="Times New Roman" w:cs="Times New Roman"/>
          <w:sz w:val="24"/>
          <w:szCs w:val="24"/>
        </w:rPr>
        <w:t xml:space="preserve"> property for USD 220 000. The sale did not materialise due to the first and second respondents</w:t>
      </w:r>
      <w:r w:rsidR="00F52117">
        <w:rPr>
          <w:rFonts w:ascii="Times New Roman" w:hAnsi="Times New Roman" w:cs="Times New Roman"/>
          <w:sz w:val="24"/>
          <w:szCs w:val="24"/>
        </w:rPr>
        <w:t>’ fault</w:t>
      </w:r>
      <w:r w:rsidR="00054F3F" w:rsidRPr="00DA7B7C">
        <w:rPr>
          <w:rFonts w:ascii="Times New Roman" w:hAnsi="Times New Roman" w:cs="Times New Roman"/>
          <w:sz w:val="24"/>
          <w:szCs w:val="24"/>
        </w:rPr>
        <w:t>. In 2007</w:t>
      </w:r>
      <w:r w:rsidR="00F52117">
        <w:rPr>
          <w:rFonts w:ascii="Times New Roman" w:hAnsi="Times New Roman" w:cs="Times New Roman"/>
          <w:sz w:val="24"/>
          <w:szCs w:val="24"/>
        </w:rPr>
        <w:t xml:space="preserve"> the applicant</w:t>
      </w:r>
      <w:r w:rsidR="00054F3F" w:rsidRPr="00DA7B7C">
        <w:rPr>
          <w:rFonts w:ascii="Times New Roman" w:hAnsi="Times New Roman" w:cs="Times New Roman"/>
          <w:sz w:val="24"/>
          <w:szCs w:val="24"/>
        </w:rPr>
        <w:t xml:space="preserve"> registered a caveat over the property through his </w:t>
      </w:r>
      <w:r w:rsidR="00054F3F" w:rsidRPr="00DA7B7C">
        <w:rPr>
          <w:rFonts w:ascii="Times New Roman" w:hAnsi="Times New Roman" w:cs="Times New Roman"/>
          <w:sz w:val="24"/>
          <w:szCs w:val="24"/>
        </w:rPr>
        <w:lastRenderedPageBreak/>
        <w:t xml:space="preserve">erstwhile lawyers the eighth respondent. Around October and November 2007 the eighth respondent renounced agency. In </w:t>
      </w:r>
      <w:r w:rsidR="00DA7B7C" w:rsidRPr="00DA7B7C">
        <w:rPr>
          <w:rFonts w:ascii="Times New Roman" w:hAnsi="Times New Roman" w:cs="Times New Roman"/>
          <w:sz w:val="24"/>
          <w:szCs w:val="24"/>
        </w:rPr>
        <w:t>February</w:t>
      </w:r>
      <w:r w:rsidR="00054F3F" w:rsidRPr="00DA7B7C">
        <w:rPr>
          <w:rFonts w:ascii="Times New Roman" w:hAnsi="Times New Roman" w:cs="Times New Roman"/>
          <w:sz w:val="24"/>
          <w:szCs w:val="24"/>
        </w:rPr>
        <w:t xml:space="preserve"> 2016, the applicant says he went to the Deeds Office to check on the property’s title deeds, to his surprise the caveat had b</w:t>
      </w:r>
      <w:r w:rsidR="00DA7B7C" w:rsidRPr="00DA7B7C">
        <w:rPr>
          <w:rFonts w:ascii="Times New Roman" w:hAnsi="Times New Roman" w:cs="Times New Roman"/>
          <w:sz w:val="24"/>
          <w:szCs w:val="24"/>
        </w:rPr>
        <w:t>e</w:t>
      </w:r>
      <w:r w:rsidR="00054F3F" w:rsidRPr="00DA7B7C">
        <w:rPr>
          <w:rFonts w:ascii="Times New Roman" w:hAnsi="Times New Roman" w:cs="Times New Roman"/>
          <w:sz w:val="24"/>
          <w:szCs w:val="24"/>
        </w:rPr>
        <w:t xml:space="preserve">en removed in October 2014 on the instruction of the fifth respondent who was employed by the eighth respondent. This was seven years after the eighth respondent renounced agency and the removal of the caveat was done without his knowledge. The applicant also discovered at the Deeds Office that the property had been transferred to the sixth respondent on the instruction of the </w:t>
      </w:r>
      <w:r w:rsidR="009921BF" w:rsidRPr="00DA7B7C">
        <w:rPr>
          <w:rFonts w:ascii="Times New Roman" w:hAnsi="Times New Roman" w:cs="Times New Roman"/>
          <w:sz w:val="24"/>
          <w:szCs w:val="24"/>
        </w:rPr>
        <w:t>first;</w:t>
      </w:r>
      <w:r w:rsidR="00054F3F" w:rsidRPr="00DA7B7C">
        <w:rPr>
          <w:rFonts w:ascii="Times New Roman" w:hAnsi="Times New Roman" w:cs="Times New Roman"/>
          <w:sz w:val="24"/>
          <w:szCs w:val="24"/>
        </w:rPr>
        <w:t xml:space="preserve"> second, third, fourth and fifth respondents. According to the applicant it is in the interest of justice that the eighth respond</w:t>
      </w:r>
      <w:r w:rsidR="00F52117">
        <w:rPr>
          <w:rFonts w:ascii="Times New Roman" w:hAnsi="Times New Roman" w:cs="Times New Roman"/>
          <w:sz w:val="24"/>
          <w:szCs w:val="24"/>
        </w:rPr>
        <w:t>ent be joined in the case HC 320</w:t>
      </w:r>
      <w:r w:rsidR="00054F3F" w:rsidRPr="00DA7B7C">
        <w:rPr>
          <w:rFonts w:ascii="Times New Roman" w:hAnsi="Times New Roman" w:cs="Times New Roman"/>
          <w:sz w:val="24"/>
          <w:szCs w:val="24"/>
        </w:rPr>
        <w:t>3/18 since it has a direct interest in the matter.</w:t>
      </w:r>
    </w:p>
    <w:p w:rsidR="00054F3F" w:rsidRPr="00DA7B7C" w:rsidRDefault="00054F3F" w:rsidP="004934E3">
      <w:pPr>
        <w:spacing w:after="0" w:line="360" w:lineRule="auto"/>
        <w:jc w:val="both"/>
        <w:rPr>
          <w:rFonts w:ascii="Times New Roman" w:hAnsi="Times New Roman" w:cs="Times New Roman"/>
          <w:sz w:val="24"/>
          <w:szCs w:val="24"/>
        </w:rPr>
      </w:pPr>
      <w:r w:rsidRPr="00DA7B7C">
        <w:rPr>
          <w:rFonts w:ascii="Times New Roman" w:hAnsi="Times New Roman" w:cs="Times New Roman"/>
          <w:sz w:val="24"/>
          <w:szCs w:val="24"/>
        </w:rPr>
        <w:tab/>
        <w:t xml:space="preserve">In HC 3203/18 the applicant seeks an order that he be given the first option to purchase the property, that the removal of the caveat at the instance of the fifth respondent an employee of the eighth respondent be declared null and void, that the transfer of the property to the sixth respondent be declared null and void, that the sale of the property be declared null and void and costs on an attorney and client scale. </w:t>
      </w:r>
    </w:p>
    <w:p w:rsidR="00DA7B7C" w:rsidRDefault="00054F3F" w:rsidP="004934E3">
      <w:pPr>
        <w:spacing w:after="0" w:line="360" w:lineRule="auto"/>
        <w:jc w:val="both"/>
        <w:rPr>
          <w:rFonts w:ascii="Times New Roman" w:hAnsi="Times New Roman" w:cs="Times New Roman"/>
          <w:sz w:val="24"/>
          <w:szCs w:val="24"/>
        </w:rPr>
      </w:pPr>
      <w:r w:rsidRPr="00DA7B7C">
        <w:rPr>
          <w:rFonts w:ascii="Times New Roman" w:hAnsi="Times New Roman" w:cs="Times New Roman"/>
          <w:sz w:val="24"/>
          <w:szCs w:val="24"/>
        </w:rPr>
        <w:tab/>
        <w:t xml:space="preserve">In short, the applicant seeks the eighth respondent’s joinder for the role of the fifth respondent its employee who caused the removal of the caveat on the property leading to the sale and transfer of the property to his prejudice. </w:t>
      </w:r>
    </w:p>
    <w:p w:rsidR="009B3B8D" w:rsidRDefault="00DA7B7C" w:rsidP="00493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was opposed by the eighth respondent. Precious Chakasikwa deposed to an affidavit on behalf of the eighth respondent. She states that the eighth respondent last dealt with the applicant in 2007 and is unaware of what transpired thereafter. Fifth respondent is unknown to the eighth respondent although at some point it had a Mrs Charity Chimbinyu in its employ who retired in December 2014. Further, that the applicant only referred to case HC 3203/18 but did not attach the pleadings, it is unaware of the issues in the said case. She also indicates that the applicant failed to set out what is the eighth respondent’s direct interest in the matter. On that basis there is no cause of action that arises against the eighth respondent. In any event, the applicant was aware that the caveat was to be removed and</w:t>
      </w:r>
      <w:r w:rsidR="00F52117">
        <w:rPr>
          <w:rFonts w:ascii="Times New Roman" w:hAnsi="Times New Roman" w:cs="Times New Roman"/>
          <w:sz w:val="24"/>
          <w:szCs w:val="24"/>
        </w:rPr>
        <w:t xml:space="preserve"> that</w:t>
      </w:r>
      <w:r>
        <w:rPr>
          <w:rFonts w:ascii="Times New Roman" w:hAnsi="Times New Roman" w:cs="Times New Roman"/>
          <w:sz w:val="24"/>
          <w:szCs w:val="24"/>
        </w:rPr>
        <w:t xml:space="preserve"> the property</w:t>
      </w:r>
      <w:r w:rsidR="00F52117">
        <w:rPr>
          <w:rFonts w:ascii="Times New Roman" w:hAnsi="Times New Roman" w:cs="Times New Roman"/>
          <w:sz w:val="24"/>
          <w:szCs w:val="24"/>
        </w:rPr>
        <w:t xml:space="preserve"> was</w:t>
      </w:r>
      <w:r>
        <w:rPr>
          <w:rFonts w:ascii="Times New Roman" w:hAnsi="Times New Roman" w:cs="Times New Roman"/>
          <w:sz w:val="24"/>
          <w:szCs w:val="24"/>
        </w:rPr>
        <w:t xml:space="preserve"> to be sold, he did not object. </w:t>
      </w:r>
    </w:p>
    <w:p w:rsidR="00443CDA" w:rsidRDefault="009B3B8D" w:rsidP="00493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think </w:t>
      </w:r>
      <w:r w:rsidR="009921BF">
        <w:rPr>
          <w:rFonts w:ascii="Times New Roman" w:hAnsi="Times New Roman" w:cs="Times New Roman"/>
          <w:sz w:val="24"/>
          <w:szCs w:val="24"/>
        </w:rPr>
        <w:t xml:space="preserve">the applicant’s case is with </w:t>
      </w:r>
      <w:r>
        <w:rPr>
          <w:rFonts w:ascii="Times New Roman" w:hAnsi="Times New Roman" w:cs="Times New Roman"/>
          <w:sz w:val="24"/>
          <w:szCs w:val="24"/>
        </w:rPr>
        <w:t xml:space="preserve">merit. A litigant has a right to seek joinder of a defendant at any stage of the proceedings. In terms of r 85 of the High Court Rules of Zimbabwe, 1971, two or more persons may be joined in one action as the plaintiff or defendants where if separate actions were brought against each of them some common question of law or </w:t>
      </w:r>
      <w:r>
        <w:rPr>
          <w:rFonts w:ascii="Times New Roman" w:hAnsi="Times New Roman" w:cs="Times New Roman"/>
          <w:sz w:val="24"/>
          <w:szCs w:val="24"/>
        </w:rPr>
        <w:lastRenderedPageBreak/>
        <w:t>fact would arise in those actions and also rights to relief</w:t>
      </w:r>
      <w:r w:rsidR="00443CDA">
        <w:rPr>
          <w:rFonts w:ascii="Times New Roman" w:hAnsi="Times New Roman" w:cs="Times New Roman"/>
          <w:sz w:val="24"/>
          <w:szCs w:val="24"/>
        </w:rPr>
        <w:t xml:space="preserve"> claimed arise out of the same transaction.</w:t>
      </w:r>
    </w:p>
    <w:p w:rsidR="00443CDA" w:rsidRDefault="00443CDA" w:rsidP="00493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r 87 (2)</w:t>
      </w:r>
    </w:p>
    <w:p w:rsidR="00443CDA" w:rsidRPr="00443CDA" w:rsidRDefault="00443CDA" w:rsidP="00443CDA">
      <w:pPr>
        <w:spacing w:after="0" w:line="240" w:lineRule="auto"/>
        <w:ind w:left="720"/>
        <w:jc w:val="both"/>
        <w:rPr>
          <w:rFonts w:ascii="Times New Roman" w:hAnsi="Times New Roman" w:cs="Times New Roman"/>
        </w:rPr>
      </w:pPr>
      <w:r w:rsidRPr="00443CDA">
        <w:rPr>
          <w:rFonts w:ascii="Times New Roman" w:hAnsi="Times New Roman" w:cs="Times New Roman"/>
        </w:rPr>
        <w:t xml:space="preserve">“At any stage of the proceedings in any cause or matter the court may on such terms as it thinks just and either on its own motion or on application – </w:t>
      </w:r>
    </w:p>
    <w:p w:rsidR="00443CDA" w:rsidRPr="00443CDA" w:rsidRDefault="00443CDA" w:rsidP="00443CDA">
      <w:pPr>
        <w:spacing w:after="0" w:line="240" w:lineRule="auto"/>
        <w:ind w:left="720"/>
        <w:jc w:val="both"/>
        <w:rPr>
          <w:rFonts w:ascii="Times New Roman" w:hAnsi="Times New Roman" w:cs="Times New Roman"/>
        </w:rPr>
      </w:pPr>
    </w:p>
    <w:p w:rsidR="00443CDA" w:rsidRPr="00443CDA" w:rsidRDefault="00443CDA" w:rsidP="00443CDA">
      <w:pPr>
        <w:spacing w:after="0" w:line="240" w:lineRule="auto"/>
        <w:ind w:left="1440" w:hanging="720"/>
        <w:jc w:val="both"/>
        <w:rPr>
          <w:rFonts w:ascii="Times New Roman" w:hAnsi="Times New Roman" w:cs="Times New Roman"/>
        </w:rPr>
      </w:pPr>
      <w:r w:rsidRPr="00443CDA">
        <w:rPr>
          <w:rFonts w:ascii="Times New Roman" w:hAnsi="Times New Roman" w:cs="Times New Roman"/>
        </w:rPr>
        <w:t>(b)</w:t>
      </w:r>
      <w:r w:rsidRPr="00443CDA">
        <w:rPr>
          <w:rFonts w:ascii="Times New Roman" w:hAnsi="Times New Roman" w:cs="Times New Roman"/>
        </w:rPr>
        <w:tab/>
        <w:t>order any person who ought to have been joined as a party or whose presence before the court is necessary to ensure that all matters in dispute in the cause or matter maybe effectually and completely determined and adjudicated upon, to be added as a party; but no person shall be added as a plaintiff without his consent signified in writing or in such other manner as may be authorised.”</w:t>
      </w:r>
    </w:p>
    <w:p w:rsidR="00443CDA" w:rsidRPr="00443CDA" w:rsidRDefault="00443CDA" w:rsidP="00443CDA">
      <w:pPr>
        <w:spacing w:after="0" w:line="240" w:lineRule="auto"/>
        <w:ind w:left="1440" w:hanging="720"/>
        <w:jc w:val="both"/>
        <w:rPr>
          <w:rFonts w:ascii="Times New Roman" w:hAnsi="Times New Roman" w:cs="Times New Roman"/>
        </w:rPr>
      </w:pPr>
    </w:p>
    <w:p w:rsidR="004934E3" w:rsidRPr="00DA7B7C" w:rsidRDefault="00443CDA" w:rsidP="00443CD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9B3B8D">
        <w:rPr>
          <w:rFonts w:ascii="Times New Roman" w:hAnsi="Times New Roman" w:cs="Times New Roman"/>
          <w:sz w:val="24"/>
          <w:szCs w:val="24"/>
        </w:rPr>
        <w:t xml:space="preserve">  </w:t>
      </w:r>
      <w:r w:rsidR="00DA7B7C">
        <w:rPr>
          <w:rFonts w:ascii="Times New Roman" w:hAnsi="Times New Roman" w:cs="Times New Roman"/>
          <w:sz w:val="24"/>
          <w:szCs w:val="24"/>
        </w:rPr>
        <w:t xml:space="preserve">      </w:t>
      </w:r>
      <w:r w:rsidR="00054F3F" w:rsidRPr="00DA7B7C">
        <w:rPr>
          <w:rFonts w:ascii="Times New Roman" w:hAnsi="Times New Roman" w:cs="Times New Roman"/>
          <w:sz w:val="24"/>
          <w:szCs w:val="24"/>
        </w:rPr>
        <w:t xml:space="preserve"> </w:t>
      </w:r>
    </w:p>
    <w:p w:rsidR="00F52117" w:rsidRDefault="00443CDA" w:rsidP="00443C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Joinder is therefore an exercise of discretion of the court on a proper consideration of the facts. The onus is on the applicant to show that the party sought to be joined is necessary in the resolution of the </w:t>
      </w:r>
      <w:r w:rsidR="00F52117">
        <w:rPr>
          <w:rFonts w:ascii="Times New Roman" w:hAnsi="Times New Roman" w:cs="Times New Roman"/>
          <w:sz w:val="24"/>
          <w:szCs w:val="24"/>
        </w:rPr>
        <w:t>pending matter or</w:t>
      </w:r>
      <w:r>
        <w:rPr>
          <w:rFonts w:ascii="Times New Roman" w:hAnsi="Times New Roman" w:cs="Times New Roman"/>
          <w:sz w:val="24"/>
          <w:szCs w:val="24"/>
        </w:rPr>
        <w:t xml:space="preserve"> has an interest in the matter. The order sought by the applicant </w:t>
      </w:r>
      <w:r w:rsidR="00F52117">
        <w:rPr>
          <w:rFonts w:ascii="Times New Roman" w:hAnsi="Times New Roman" w:cs="Times New Roman"/>
          <w:sz w:val="24"/>
          <w:szCs w:val="24"/>
        </w:rPr>
        <w:t>that</w:t>
      </w:r>
      <w:r>
        <w:rPr>
          <w:rFonts w:ascii="Times New Roman" w:hAnsi="Times New Roman" w:cs="Times New Roman"/>
          <w:sz w:val="24"/>
          <w:szCs w:val="24"/>
        </w:rPr>
        <w:t xml:space="preserve"> relates to the eighth res</w:t>
      </w:r>
      <w:r w:rsidR="00F52117">
        <w:rPr>
          <w:rFonts w:ascii="Times New Roman" w:hAnsi="Times New Roman" w:cs="Times New Roman"/>
          <w:sz w:val="24"/>
          <w:szCs w:val="24"/>
        </w:rPr>
        <w:t>pondent is the removal of the caveat</w:t>
      </w:r>
      <w:r>
        <w:rPr>
          <w:rFonts w:ascii="Times New Roman" w:hAnsi="Times New Roman" w:cs="Times New Roman"/>
          <w:sz w:val="24"/>
          <w:szCs w:val="24"/>
        </w:rPr>
        <w:t>. In its opposing papers the eighth respondent does not deny being i</w:t>
      </w:r>
      <w:r w:rsidR="00F52117">
        <w:rPr>
          <w:rFonts w:ascii="Times New Roman" w:hAnsi="Times New Roman" w:cs="Times New Roman"/>
          <w:sz w:val="24"/>
          <w:szCs w:val="24"/>
        </w:rPr>
        <w:t>nvolved in the removal of the caveat</w:t>
      </w:r>
      <w:r>
        <w:rPr>
          <w:rFonts w:ascii="Times New Roman" w:hAnsi="Times New Roman" w:cs="Times New Roman"/>
          <w:sz w:val="24"/>
          <w:szCs w:val="24"/>
        </w:rPr>
        <w:t>. It is explained that the applicant was aware of such intended removal. I was referred to some letters in HC 3203/18 which I could not find on perusing</w:t>
      </w:r>
      <w:r w:rsidR="002450ED">
        <w:rPr>
          <w:rFonts w:ascii="Times New Roman" w:hAnsi="Times New Roman" w:cs="Times New Roman"/>
          <w:sz w:val="24"/>
          <w:szCs w:val="24"/>
        </w:rPr>
        <w:t xml:space="preserve"> the said pleadings. It also raises the issue of prescription. </w:t>
      </w:r>
    </w:p>
    <w:p w:rsidR="00B1060C" w:rsidRDefault="00F52117" w:rsidP="00923BEA">
      <w:pPr>
        <w:spacing w:after="0" w:line="360" w:lineRule="auto"/>
        <w:ind w:firstLine="720"/>
        <w:jc w:val="both"/>
        <w:rPr>
          <w:rFonts w:ascii="Open Sans" w:eastAsia="Times New Roman" w:hAnsi="Open Sans" w:cs="Times New Roman"/>
          <w:color w:val="202020"/>
          <w:sz w:val="24"/>
          <w:szCs w:val="24"/>
          <w:lang w:eastAsia="en-ZW"/>
        </w:rPr>
      </w:pPr>
      <w:r>
        <w:rPr>
          <w:rFonts w:ascii="Times New Roman" w:hAnsi="Times New Roman" w:cs="Times New Roman"/>
          <w:sz w:val="24"/>
          <w:szCs w:val="24"/>
        </w:rPr>
        <w:t>If there is any liabi</w:t>
      </w:r>
      <w:r w:rsidR="00735A19">
        <w:rPr>
          <w:rFonts w:ascii="Times New Roman" w:hAnsi="Times New Roman" w:cs="Times New Roman"/>
          <w:sz w:val="24"/>
          <w:szCs w:val="24"/>
        </w:rPr>
        <w:t>lity that has to attach to the eighth</w:t>
      </w:r>
      <w:r w:rsidR="00B1060C">
        <w:rPr>
          <w:rFonts w:ascii="Times New Roman" w:hAnsi="Times New Roman" w:cs="Times New Roman"/>
          <w:sz w:val="24"/>
          <w:szCs w:val="24"/>
        </w:rPr>
        <w:t xml:space="preserve"> respondent it is through the work of its employee the fifth respondent</w:t>
      </w:r>
      <w:r w:rsidR="009921BF">
        <w:rPr>
          <w:rFonts w:ascii="Times New Roman" w:hAnsi="Times New Roman" w:cs="Times New Roman"/>
          <w:sz w:val="24"/>
          <w:szCs w:val="24"/>
        </w:rPr>
        <w:t>.</w:t>
      </w:r>
      <w:r w:rsidR="00CA1CE9">
        <w:rPr>
          <w:rFonts w:ascii="Times New Roman" w:hAnsi="Times New Roman" w:cs="Times New Roman"/>
          <w:sz w:val="24"/>
          <w:szCs w:val="24"/>
        </w:rPr>
        <w:t xml:space="preserve"> </w:t>
      </w:r>
      <w:r w:rsidR="00735A19">
        <w:rPr>
          <w:rFonts w:ascii="Open Sans" w:eastAsia="Times New Roman" w:hAnsi="Open Sans" w:cs="Times New Roman"/>
          <w:color w:val="202020"/>
          <w:sz w:val="24"/>
          <w:szCs w:val="24"/>
          <w:lang w:eastAsia="en-ZW"/>
        </w:rPr>
        <w:t xml:space="preserve">The sentiments by </w:t>
      </w:r>
      <w:r w:rsidR="00735A19" w:rsidRPr="00CA1CE9">
        <w:rPr>
          <w:rFonts w:ascii="Open Sans" w:eastAsia="Times New Roman" w:hAnsi="Open Sans" w:cs="Times New Roman"/>
          <w:smallCaps/>
          <w:color w:val="202020"/>
          <w:sz w:val="24"/>
          <w:szCs w:val="24"/>
          <w:lang w:eastAsia="en-ZW"/>
        </w:rPr>
        <w:t>M</w:t>
      </w:r>
      <w:r w:rsidR="00CA1CE9" w:rsidRPr="00CA1CE9">
        <w:rPr>
          <w:rFonts w:ascii="Open Sans" w:eastAsia="Times New Roman" w:hAnsi="Open Sans" w:cs="Times New Roman"/>
          <w:smallCaps/>
          <w:color w:val="202020"/>
          <w:sz w:val="24"/>
          <w:szCs w:val="24"/>
          <w:lang w:eastAsia="en-ZW"/>
        </w:rPr>
        <w:t>afusire</w:t>
      </w:r>
      <w:r w:rsidR="00735A19">
        <w:rPr>
          <w:rFonts w:ascii="Open Sans" w:eastAsia="Times New Roman" w:hAnsi="Open Sans" w:cs="Times New Roman"/>
          <w:color w:val="202020"/>
          <w:sz w:val="24"/>
          <w:szCs w:val="24"/>
          <w:lang w:eastAsia="en-ZW"/>
        </w:rPr>
        <w:t xml:space="preserve"> J</w:t>
      </w:r>
      <w:r w:rsidR="009921BF">
        <w:rPr>
          <w:rFonts w:ascii="Open Sans" w:eastAsia="Times New Roman" w:hAnsi="Open Sans" w:cs="Times New Roman"/>
          <w:color w:val="202020"/>
          <w:sz w:val="24"/>
          <w:szCs w:val="24"/>
          <w:lang w:eastAsia="en-ZW"/>
        </w:rPr>
        <w:t xml:space="preserve"> </w:t>
      </w:r>
      <w:r w:rsidR="00735A19" w:rsidRPr="009921BF">
        <w:rPr>
          <w:rFonts w:ascii="Open Sans" w:eastAsia="Times New Roman" w:hAnsi="Open Sans" w:cs="Times New Roman"/>
          <w:i/>
          <w:color w:val="202020"/>
          <w:sz w:val="24"/>
          <w:szCs w:val="24"/>
          <w:lang w:eastAsia="en-ZW"/>
        </w:rPr>
        <w:t xml:space="preserve">LAPF </w:t>
      </w:r>
      <w:r w:rsidR="00735A19" w:rsidRPr="00CA1CE9">
        <w:rPr>
          <w:rFonts w:ascii="Open Sans" w:eastAsia="Times New Roman" w:hAnsi="Open Sans" w:cs="Times New Roman"/>
          <w:color w:val="202020"/>
          <w:sz w:val="24"/>
          <w:szCs w:val="24"/>
          <w:lang w:eastAsia="en-ZW"/>
        </w:rPr>
        <w:t>v</w:t>
      </w:r>
      <w:r w:rsidR="00735A19" w:rsidRPr="009921BF">
        <w:rPr>
          <w:rFonts w:ascii="Open Sans" w:eastAsia="Times New Roman" w:hAnsi="Open Sans" w:cs="Times New Roman"/>
          <w:i/>
          <w:color w:val="202020"/>
          <w:sz w:val="24"/>
          <w:szCs w:val="24"/>
          <w:lang w:eastAsia="en-ZW"/>
        </w:rPr>
        <w:t xml:space="preserve"> Nyakawa and Others </w:t>
      </w:r>
      <w:r w:rsidR="00B1060C" w:rsidRPr="00CA1CE9">
        <w:rPr>
          <w:rFonts w:ascii="Open Sans" w:eastAsia="Times New Roman" w:hAnsi="Open Sans" w:cs="Times New Roman"/>
          <w:color w:val="202020"/>
          <w:sz w:val="24"/>
          <w:szCs w:val="24"/>
          <w:lang w:eastAsia="en-ZW"/>
        </w:rPr>
        <w:t>HH 60/ 15</w:t>
      </w:r>
      <w:r w:rsidR="00735A19">
        <w:rPr>
          <w:rFonts w:ascii="Open Sans" w:eastAsia="Times New Roman" w:hAnsi="Open Sans" w:cs="Times New Roman"/>
          <w:color w:val="202020"/>
          <w:sz w:val="24"/>
          <w:szCs w:val="24"/>
          <w:lang w:eastAsia="en-ZW"/>
        </w:rPr>
        <w:t xml:space="preserve"> on vicarious liability are apposite in this </w:t>
      </w:r>
      <w:r w:rsidR="00B1060C">
        <w:rPr>
          <w:rFonts w:ascii="Open Sans" w:eastAsia="Times New Roman" w:hAnsi="Open Sans" w:cs="Times New Roman"/>
          <w:color w:val="202020"/>
          <w:sz w:val="24"/>
          <w:szCs w:val="24"/>
          <w:lang w:eastAsia="en-ZW"/>
        </w:rPr>
        <w:t>case that</w:t>
      </w:r>
      <w:r w:rsidR="00B94FC1">
        <w:rPr>
          <w:rFonts w:ascii="Open Sans" w:eastAsia="Times New Roman" w:hAnsi="Open Sans" w:cs="Times New Roman"/>
          <w:color w:val="202020"/>
          <w:sz w:val="24"/>
          <w:szCs w:val="24"/>
          <w:lang w:eastAsia="en-ZW"/>
        </w:rPr>
        <w:t>:</w:t>
      </w:r>
    </w:p>
    <w:p w:rsidR="00B1060C" w:rsidRDefault="00923BEA" w:rsidP="00923BEA">
      <w:pPr>
        <w:spacing w:after="0" w:line="240" w:lineRule="auto"/>
        <w:ind w:left="720"/>
        <w:jc w:val="both"/>
        <w:rPr>
          <w:rFonts w:ascii="Times New Roman" w:eastAsia="Times New Roman" w:hAnsi="Times New Roman" w:cs="Times New Roman"/>
          <w:color w:val="202020"/>
          <w:lang w:eastAsia="en-ZW"/>
        </w:rPr>
      </w:pPr>
      <w:r>
        <w:rPr>
          <w:rFonts w:ascii="Times New Roman" w:eastAsia="Times New Roman" w:hAnsi="Times New Roman" w:cs="Times New Roman"/>
          <w:color w:val="202020"/>
          <w:lang w:eastAsia="en-ZW"/>
        </w:rPr>
        <w:t>“</w:t>
      </w:r>
      <w:r w:rsidR="00735A19" w:rsidRPr="00B1060C">
        <w:rPr>
          <w:rFonts w:ascii="Times New Roman" w:eastAsia="Times New Roman" w:hAnsi="Times New Roman" w:cs="Times New Roman"/>
          <w:color w:val="202020"/>
          <w:lang w:eastAsia="en-ZW"/>
        </w:rPr>
        <w:t xml:space="preserve">An employer is liable for the wrongs done by his employee to another person in the course and scope of that employee’s employment. That an innocent employer should be liable for the wrongs committed by his employee during the course and scope of that employee’s employment is a matter of public policy. The rationale is that the employer’s work is done “by the hand of the employee”. The employer creates a risk of harm to others should the employee prove to be negligent, inefficient or untrustworthy. The employer is therefore under a duty to ensure that no injury befalls others as a result of the employee’s improper or negligent conduct in carrying on his work. The employee’s wrongful act can either be </w:t>
      </w:r>
      <w:r w:rsidR="00735A19" w:rsidRPr="00B1060C">
        <w:rPr>
          <w:rFonts w:ascii="Times New Roman" w:eastAsia="Times New Roman" w:hAnsi="Times New Roman" w:cs="Times New Roman"/>
          <w:i/>
          <w:iCs/>
          <w:color w:val="202020"/>
          <w:lang w:eastAsia="en-ZW"/>
        </w:rPr>
        <w:t>culpa</w:t>
      </w:r>
      <w:r w:rsidR="00735A19" w:rsidRPr="00B1060C">
        <w:rPr>
          <w:rFonts w:ascii="Times New Roman" w:eastAsia="Times New Roman" w:hAnsi="Times New Roman" w:cs="Times New Roman"/>
          <w:color w:val="202020"/>
          <w:lang w:eastAsia="en-ZW"/>
        </w:rPr>
        <w:t xml:space="preserve"> (negligence), or </w:t>
      </w:r>
      <w:r w:rsidR="00735A19" w:rsidRPr="00B1060C">
        <w:rPr>
          <w:rFonts w:ascii="Times New Roman" w:eastAsia="Times New Roman" w:hAnsi="Times New Roman" w:cs="Times New Roman"/>
          <w:i/>
          <w:iCs/>
          <w:color w:val="202020"/>
          <w:lang w:eastAsia="en-ZW"/>
        </w:rPr>
        <w:t>dolus</w:t>
      </w:r>
      <w:r w:rsidR="00735A19" w:rsidRPr="00B1060C">
        <w:rPr>
          <w:rFonts w:ascii="Times New Roman" w:eastAsia="Times New Roman" w:hAnsi="Times New Roman" w:cs="Times New Roman"/>
          <w:color w:val="202020"/>
          <w:lang w:eastAsia="en-ZW"/>
        </w:rPr>
        <w:t xml:space="preserve"> (intention), or both</w:t>
      </w:r>
      <w:r>
        <w:rPr>
          <w:rFonts w:ascii="Times New Roman" w:eastAsia="Times New Roman" w:hAnsi="Times New Roman" w:cs="Times New Roman"/>
          <w:color w:val="202020"/>
          <w:lang w:eastAsia="en-ZW"/>
        </w:rPr>
        <w:t>”</w:t>
      </w:r>
      <w:r w:rsidR="00B1060C" w:rsidRPr="00B1060C">
        <w:rPr>
          <w:rFonts w:ascii="Times New Roman" w:eastAsia="Times New Roman" w:hAnsi="Times New Roman" w:cs="Times New Roman"/>
          <w:color w:val="202020"/>
          <w:lang w:eastAsia="en-ZW"/>
        </w:rPr>
        <w:t>.</w:t>
      </w:r>
    </w:p>
    <w:p w:rsidR="00923BEA" w:rsidRPr="00B1060C" w:rsidRDefault="00923BEA" w:rsidP="00923BEA">
      <w:pPr>
        <w:spacing w:after="0" w:line="240" w:lineRule="auto"/>
        <w:ind w:left="720"/>
        <w:jc w:val="both"/>
        <w:rPr>
          <w:rFonts w:ascii="Times New Roman" w:eastAsia="Times New Roman" w:hAnsi="Times New Roman" w:cs="Times New Roman"/>
          <w:color w:val="202020"/>
          <w:lang w:eastAsia="en-ZW"/>
        </w:rPr>
      </w:pPr>
    </w:p>
    <w:p w:rsidR="002450ED" w:rsidRDefault="00735A19" w:rsidP="00923B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1060C">
        <w:rPr>
          <w:rFonts w:ascii="Times New Roman" w:hAnsi="Times New Roman" w:cs="Times New Roman"/>
          <w:sz w:val="24"/>
          <w:szCs w:val="24"/>
        </w:rPr>
        <w:t xml:space="preserve">In the applicant’s founding affidavit there is nothing alleging </w:t>
      </w:r>
      <w:r w:rsidR="00643964">
        <w:rPr>
          <w:rFonts w:ascii="Times New Roman" w:hAnsi="Times New Roman" w:cs="Times New Roman"/>
          <w:sz w:val="24"/>
          <w:szCs w:val="24"/>
        </w:rPr>
        <w:t xml:space="preserve">any negligence on the part of the fifth respondent. In my view even if he was not advised of the removal of the caveat the proceedings between the applicant and the first and second respondent and the outcomes were clear evidence that the owners of the property were at liberty to deal with the property as they pleased. The applicant has litigated seeking transfer of the property and </w:t>
      </w:r>
      <w:r w:rsidR="00643964">
        <w:rPr>
          <w:rFonts w:ascii="Times New Roman" w:hAnsi="Times New Roman" w:cs="Times New Roman"/>
          <w:sz w:val="24"/>
          <w:szCs w:val="24"/>
        </w:rPr>
        <w:lastRenderedPageBreak/>
        <w:t>enforcement of the sale agreement he entered into with the first and second defendants</w:t>
      </w:r>
      <w:r w:rsidR="00923BEA">
        <w:rPr>
          <w:rFonts w:ascii="Times New Roman" w:hAnsi="Times New Roman" w:cs="Times New Roman"/>
          <w:sz w:val="24"/>
          <w:szCs w:val="24"/>
        </w:rPr>
        <w:t>.</w:t>
      </w:r>
      <w:r w:rsidR="00643964">
        <w:rPr>
          <w:rFonts w:ascii="Times New Roman" w:hAnsi="Times New Roman" w:cs="Times New Roman"/>
          <w:sz w:val="24"/>
          <w:szCs w:val="24"/>
        </w:rPr>
        <w:t xml:space="preserve"> He has been unsuccessful. The decision has been confirmed by the Supreme Court.</w:t>
      </w:r>
    </w:p>
    <w:p w:rsidR="002450ED" w:rsidRDefault="002450ED" w:rsidP="00245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3964">
        <w:rPr>
          <w:rFonts w:ascii="Times New Roman" w:hAnsi="Times New Roman" w:cs="Times New Roman"/>
          <w:sz w:val="24"/>
          <w:szCs w:val="24"/>
        </w:rPr>
        <w:t xml:space="preserve">I am alive to </w:t>
      </w:r>
      <w:r w:rsidRPr="002450ED">
        <w:rPr>
          <w:rFonts w:ascii="Times New Roman" w:hAnsi="Times New Roman" w:cs="Times New Roman"/>
          <w:smallCaps/>
          <w:sz w:val="24"/>
          <w:szCs w:val="24"/>
        </w:rPr>
        <w:t>Cheda</w:t>
      </w:r>
      <w:r>
        <w:rPr>
          <w:rFonts w:ascii="Times New Roman" w:hAnsi="Times New Roman" w:cs="Times New Roman"/>
          <w:sz w:val="24"/>
          <w:szCs w:val="24"/>
        </w:rPr>
        <w:t xml:space="preserve"> J’s remarks in </w:t>
      </w:r>
      <w:r w:rsidRPr="002450ED">
        <w:rPr>
          <w:rFonts w:ascii="Times New Roman" w:hAnsi="Times New Roman" w:cs="Times New Roman"/>
          <w:i/>
          <w:sz w:val="24"/>
          <w:szCs w:val="24"/>
        </w:rPr>
        <w:t>Sibanda</w:t>
      </w:r>
      <w:r>
        <w:rPr>
          <w:rFonts w:ascii="Times New Roman" w:hAnsi="Times New Roman" w:cs="Times New Roman"/>
          <w:sz w:val="24"/>
          <w:szCs w:val="24"/>
        </w:rPr>
        <w:t xml:space="preserve"> v </w:t>
      </w:r>
      <w:r>
        <w:rPr>
          <w:rFonts w:ascii="Times New Roman" w:hAnsi="Times New Roman" w:cs="Times New Roman"/>
          <w:i/>
          <w:sz w:val="24"/>
          <w:szCs w:val="24"/>
        </w:rPr>
        <w:t>Sibanda</w:t>
      </w:r>
      <w:r>
        <w:rPr>
          <w:rFonts w:ascii="Times New Roman" w:hAnsi="Times New Roman" w:cs="Times New Roman"/>
          <w:sz w:val="24"/>
          <w:szCs w:val="24"/>
        </w:rPr>
        <w:t xml:space="preserve"> </w:t>
      </w:r>
      <w:r>
        <w:rPr>
          <w:rFonts w:ascii="Times New Roman" w:hAnsi="Times New Roman" w:cs="Times New Roman"/>
          <w:i/>
          <w:sz w:val="24"/>
          <w:szCs w:val="24"/>
        </w:rPr>
        <w:t xml:space="preserve">and Anor </w:t>
      </w:r>
      <w:r>
        <w:rPr>
          <w:rFonts w:ascii="Times New Roman" w:hAnsi="Times New Roman" w:cs="Times New Roman"/>
          <w:sz w:val="24"/>
          <w:szCs w:val="24"/>
        </w:rPr>
        <w:t>2009 (1) ZLR 64 (H) at 66H-67A that:</w:t>
      </w:r>
    </w:p>
    <w:p w:rsidR="004F24D0" w:rsidRDefault="002450ED" w:rsidP="002450E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2450ED">
        <w:rPr>
          <w:rFonts w:ascii="Times New Roman" w:hAnsi="Times New Roman" w:cs="Times New Roman"/>
        </w:rPr>
        <w:t xml:space="preserve">It is therefore, pertinent to enquire as to the consequences of a non-joinder.  The prejudice is therefor anyone to see: there will be a lot of inconvenience, not only to the applicant, but to the court as well. No doubt this will result in the applicant being oppressed and, in an attempt to extricate herself therefrom, there will be a multiplicity of actions, a situation which should be avoided if possible see </w:t>
      </w:r>
      <w:r w:rsidRPr="002450ED">
        <w:rPr>
          <w:rFonts w:ascii="Times New Roman" w:hAnsi="Times New Roman" w:cs="Times New Roman"/>
          <w:i/>
        </w:rPr>
        <w:t xml:space="preserve">Mogan and Anor </w:t>
      </w:r>
      <w:r w:rsidRPr="002450ED">
        <w:rPr>
          <w:rFonts w:ascii="Times New Roman" w:hAnsi="Times New Roman" w:cs="Times New Roman"/>
        </w:rPr>
        <w:t xml:space="preserve">v </w:t>
      </w:r>
      <w:r w:rsidRPr="002450ED">
        <w:rPr>
          <w:rFonts w:ascii="Times New Roman" w:hAnsi="Times New Roman" w:cs="Times New Roman"/>
          <w:i/>
        </w:rPr>
        <w:t xml:space="preserve">Salisbury Municipality </w:t>
      </w:r>
      <w:r w:rsidRPr="002450ED">
        <w:rPr>
          <w:rFonts w:ascii="Times New Roman" w:hAnsi="Times New Roman" w:cs="Times New Roman"/>
        </w:rPr>
        <w:t xml:space="preserve">1933 AD 167.”  </w:t>
      </w:r>
    </w:p>
    <w:p w:rsidR="004F24D0" w:rsidRDefault="004F24D0" w:rsidP="002450ED">
      <w:pPr>
        <w:spacing w:after="0" w:line="240" w:lineRule="auto"/>
        <w:ind w:left="720"/>
        <w:jc w:val="both"/>
        <w:rPr>
          <w:rFonts w:ascii="Times New Roman" w:hAnsi="Times New Roman" w:cs="Times New Roman"/>
        </w:rPr>
      </w:pPr>
    </w:p>
    <w:p w:rsidR="00583D52" w:rsidRDefault="004F24D0" w:rsidP="00923B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consequence of a non-joinder of the eighth respondent</w:t>
      </w:r>
      <w:r w:rsidR="00643964">
        <w:rPr>
          <w:rFonts w:ascii="Times New Roman" w:hAnsi="Times New Roman" w:cs="Times New Roman"/>
          <w:sz w:val="24"/>
          <w:szCs w:val="24"/>
        </w:rPr>
        <w:t xml:space="preserve"> </w:t>
      </w:r>
      <w:r>
        <w:rPr>
          <w:rFonts w:ascii="Times New Roman" w:hAnsi="Times New Roman" w:cs="Times New Roman"/>
          <w:sz w:val="24"/>
          <w:szCs w:val="24"/>
        </w:rPr>
        <w:t xml:space="preserve"> are</w:t>
      </w:r>
      <w:r w:rsidR="00643964">
        <w:rPr>
          <w:rFonts w:ascii="Times New Roman" w:hAnsi="Times New Roman" w:cs="Times New Roman"/>
          <w:sz w:val="24"/>
          <w:szCs w:val="24"/>
        </w:rPr>
        <w:t xml:space="preserve"> not obvious</w:t>
      </w:r>
      <w:r w:rsidR="009921BF">
        <w:rPr>
          <w:rFonts w:ascii="Times New Roman" w:hAnsi="Times New Roman" w:cs="Times New Roman"/>
          <w:sz w:val="24"/>
          <w:szCs w:val="24"/>
        </w:rPr>
        <w:t xml:space="preserve"> </w:t>
      </w:r>
      <w:r w:rsidR="00643964">
        <w:rPr>
          <w:rFonts w:ascii="Times New Roman" w:hAnsi="Times New Roman" w:cs="Times New Roman"/>
          <w:sz w:val="24"/>
          <w:szCs w:val="24"/>
        </w:rPr>
        <w:t>in</w:t>
      </w:r>
      <w:r>
        <w:rPr>
          <w:rFonts w:ascii="Times New Roman" w:hAnsi="Times New Roman" w:cs="Times New Roman"/>
          <w:sz w:val="24"/>
          <w:szCs w:val="24"/>
        </w:rPr>
        <w:t xml:space="preserve"> </w:t>
      </w:r>
      <w:r w:rsidR="00583D52">
        <w:rPr>
          <w:rFonts w:ascii="Times New Roman" w:hAnsi="Times New Roman" w:cs="Times New Roman"/>
          <w:sz w:val="24"/>
          <w:szCs w:val="24"/>
        </w:rPr>
        <w:t xml:space="preserve">this case </w:t>
      </w:r>
      <w:r w:rsidR="00643964">
        <w:rPr>
          <w:rFonts w:ascii="Times New Roman" w:hAnsi="Times New Roman" w:cs="Times New Roman"/>
          <w:sz w:val="24"/>
          <w:szCs w:val="24"/>
        </w:rPr>
        <w:t>particularly in the absence of an allegation that shows that the fifth respondent was negligent and caused the removal of the caveat in the course of his or her duties.</w:t>
      </w:r>
    </w:p>
    <w:p w:rsidR="00583D52" w:rsidRDefault="00583D52" w:rsidP="00583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Marai and Anor </w:t>
      </w:r>
      <w:r>
        <w:rPr>
          <w:rFonts w:ascii="Times New Roman" w:hAnsi="Times New Roman" w:cs="Times New Roman"/>
          <w:sz w:val="24"/>
          <w:szCs w:val="24"/>
        </w:rPr>
        <w:t xml:space="preserve">v </w:t>
      </w:r>
      <w:r>
        <w:rPr>
          <w:rFonts w:ascii="Times New Roman" w:hAnsi="Times New Roman" w:cs="Times New Roman"/>
          <w:i/>
          <w:sz w:val="24"/>
          <w:szCs w:val="24"/>
        </w:rPr>
        <w:t>Pongola Sugar Milling Co. and Ors</w:t>
      </w:r>
      <w:r>
        <w:rPr>
          <w:rFonts w:ascii="Times New Roman" w:hAnsi="Times New Roman" w:cs="Times New Roman"/>
          <w:sz w:val="24"/>
          <w:szCs w:val="24"/>
        </w:rPr>
        <w:t xml:space="preserve"> 1961 (2) SA 698 N the court applied a two-tier approach in the determination of an application for joinder that:</w:t>
      </w:r>
    </w:p>
    <w:p w:rsidR="00583D52" w:rsidRPr="00923BEA" w:rsidRDefault="00923BEA" w:rsidP="00583D52">
      <w:pPr>
        <w:spacing w:after="0" w:line="360" w:lineRule="auto"/>
        <w:ind w:left="1440" w:hanging="720"/>
        <w:jc w:val="both"/>
        <w:rPr>
          <w:rFonts w:ascii="Times New Roman" w:hAnsi="Times New Roman" w:cs="Times New Roman"/>
        </w:rPr>
      </w:pPr>
      <w:r>
        <w:rPr>
          <w:rFonts w:ascii="Times New Roman" w:hAnsi="Times New Roman" w:cs="Times New Roman"/>
          <w:sz w:val="24"/>
          <w:szCs w:val="24"/>
        </w:rPr>
        <w:t>“</w:t>
      </w:r>
      <w:r w:rsidR="00583D52" w:rsidRPr="00923BEA">
        <w:rPr>
          <w:rFonts w:ascii="Times New Roman" w:hAnsi="Times New Roman" w:cs="Times New Roman"/>
        </w:rPr>
        <w:t>1.</w:t>
      </w:r>
      <w:r w:rsidR="00583D52" w:rsidRPr="00923BEA">
        <w:rPr>
          <w:rFonts w:ascii="Times New Roman" w:hAnsi="Times New Roman" w:cs="Times New Roman"/>
        </w:rPr>
        <w:tab/>
        <w:t xml:space="preserve">that a party must have a direct and substantial interest in the issues raised in the proceedings. </w:t>
      </w:r>
    </w:p>
    <w:p w:rsidR="00583D52" w:rsidRDefault="00583D52" w:rsidP="00583D52">
      <w:pPr>
        <w:spacing w:after="0" w:line="360" w:lineRule="auto"/>
        <w:ind w:left="1440" w:hanging="720"/>
        <w:jc w:val="both"/>
        <w:rPr>
          <w:rFonts w:ascii="Times New Roman" w:hAnsi="Times New Roman" w:cs="Times New Roman"/>
          <w:sz w:val="24"/>
          <w:szCs w:val="24"/>
        </w:rPr>
      </w:pPr>
      <w:r w:rsidRPr="00923BEA">
        <w:rPr>
          <w:rFonts w:ascii="Times New Roman" w:hAnsi="Times New Roman" w:cs="Times New Roman"/>
        </w:rPr>
        <w:t>2.</w:t>
      </w:r>
      <w:r w:rsidRPr="00923BEA">
        <w:rPr>
          <w:rFonts w:ascii="Times New Roman" w:hAnsi="Times New Roman" w:cs="Times New Roman"/>
        </w:rPr>
        <w:tab/>
        <w:t>that his right may be affected by the judgment of the court</w:t>
      </w:r>
      <w:r>
        <w:rPr>
          <w:rFonts w:ascii="Times New Roman" w:hAnsi="Times New Roman" w:cs="Times New Roman"/>
          <w:sz w:val="24"/>
          <w:szCs w:val="24"/>
        </w:rPr>
        <w:t>.</w:t>
      </w:r>
      <w:r w:rsidR="00923BEA">
        <w:rPr>
          <w:rFonts w:ascii="Times New Roman" w:hAnsi="Times New Roman" w:cs="Times New Roman"/>
          <w:sz w:val="24"/>
          <w:szCs w:val="24"/>
        </w:rPr>
        <w:t>”</w:t>
      </w:r>
    </w:p>
    <w:p w:rsidR="00583D52" w:rsidRDefault="00583D52" w:rsidP="00923B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eighth respondent </w:t>
      </w:r>
      <w:r w:rsidR="00643964">
        <w:rPr>
          <w:rFonts w:ascii="Times New Roman" w:hAnsi="Times New Roman" w:cs="Times New Roman"/>
          <w:sz w:val="24"/>
          <w:szCs w:val="24"/>
        </w:rPr>
        <w:t>neither has a direct interest in the matter nor was it shown by the applicant that it has such an interest.</w:t>
      </w:r>
      <w:r>
        <w:rPr>
          <w:rFonts w:ascii="Times New Roman" w:hAnsi="Times New Roman" w:cs="Times New Roman"/>
          <w:sz w:val="24"/>
          <w:szCs w:val="24"/>
        </w:rPr>
        <w:t xml:space="preserve"> </w:t>
      </w:r>
    </w:p>
    <w:p w:rsidR="00BC1F03" w:rsidRDefault="00643964" w:rsidP="00583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basis to order a joinder of the eight</w:t>
      </w:r>
      <w:r w:rsidR="009921BF">
        <w:rPr>
          <w:rFonts w:ascii="Times New Roman" w:hAnsi="Times New Roman" w:cs="Times New Roman"/>
          <w:sz w:val="24"/>
          <w:szCs w:val="24"/>
        </w:rPr>
        <w:t>h</w:t>
      </w:r>
      <w:r>
        <w:rPr>
          <w:rFonts w:ascii="Times New Roman" w:hAnsi="Times New Roman" w:cs="Times New Roman"/>
          <w:sz w:val="24"/>
          <w:szCs w:val="24"/>
        </w:rPr>
        <w:t xml:space="preserve"> </w:t>
      </w:r>
      <w:r w:rsidR="00125EE5">
        <w:rPr>
          <w:rFonts w:ascii="Times New Roman" w:hAnsi="Times New Roman" w:cs="Times New Roman"/>
          <w:sz w:val="24"/>
          <w:szCs w:val="24"/>
        </w:rPr>
        <w:t>respondent</w:t>
      </w:r>
      <w:r>
        <w:rPr>
          <w:rFonts w:ascii="Times New Roman" w:hAnsi="Times New Roman" w:cs="Times New Roman"/>
          <w:sz w:val="24"/>
          <w:szCs w:val="24"/>
        </w:rPr>
        <w:t xml:space="preserve"> in the main matter</w:t>
      </w:r>
      <w:r w:rsidR="00583D52">
        <w:rPr>
          <w:rFonts w:ascii="Times New Roman" w:hAnsi="Times New Roman" w:cs="Times New Roman"/>
          <w:sz w:val="24"/>
          <w:szCs w:val="24"/>
        </w:rPr>
        <w:tab/>
        <w:t>Accordingly</w:t>
      </w:r>
      <w:r w:rsidR="00BC1F03">
        <w:rPr>
          <w:rFonts w:ascii="Times New Roman" w:hAnsi="Times New Roman" w:cs="Times New Roman"/>
          <w:sz w:val="24"/>
          <w:szCs w:val="24"/>
        </w:rPr>
        <w:t>,</w:t>
      </w:r>
    </w:p>
    <w:p w:rsidR="00BC1F03" w:rsidRPr="00BC1F03" w:rsidRDefault="00BC1F03" w:rsidP="00BC1F03">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sz w:val="24"/>
          <w:szCs w:val="24"/>
        </w:rPr>
        <w:t>The application</w:t>
      </w:r>
      <w:r w:rsidR="00125EE5">
        <w:rPr>
          <w:rFonts w:ascii="Times New Roman" w:hAnsi="Times New Roman" w:cs="Times New Roman"/>
          <w:sz w:val="24"/>
          <w:szCs w:val="24"/>
        </w:rPr>
        <w:t xml:space="preserve"> be and is hereby </w:t>
      </w:r>
      <w:r w:rsidR="009921BF">
        <w:rPr>
          <w:rFonts w:ascii="Times New Roman" w:hAnsi="Times New Roman" w:cs="Times New Roman"/>
          <w:sz w:val="24"/>
          <w:szCs w:val="24"/>
        </w:rPr>
        <w:t>dismissed.</w:t>
      </w:r>
    </w:p>
    <w:p w:rsidR="00BC1F03" w:rsidRPr="00BC1F03" w:rsidRDefault="00BC1F03" w:rsidP="00BC1F03">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sz w:val="24"/>
          <w:szCs w:val="24"/>
        </w:rPr>
        <w:t>Costs be in the cause.</w:t>
      </w:r>
    </w:p>
    <w:p w:rsidR="00BC1F03" w:rsidRDefault="00BC1F03" w:rsidP="00BC1F03">
      <w:pPr>
        <w:spacing w:after="0" w:line="360" w:lineRule="auto"/>
        <w:jc w:val="both"/>
        <w:rPr>
          <w:rFonts w:ascii="Times New Roman" w:hAnsi="Times New Roman" w:cs="Times New Roman"/>
          <w:sz w:val="24"/>
          <w:szCs w:val="24"/>
        </w:rPr>
      </w:pPr>
    </w:p>
    <w:p w:rsidR="00BC1F03" w:rsidRDefault="00BC1F03" w:rsidP="00BC1F03">
      <w:pPr>
        <w:spacing w:after="0" w:line="360" w:lineRule="auto"/>
        <w:jc w:val="both"/>
        <w:rPr>
          <w:rFonts w:ascii="Times New Roman" w:hAnsi="Times New Roman" w:cs="Times New Roman"/>
          <w:sz w:val="24"/>
          <w:szCs w:val="24"/>
        </w:rPr>
      </w:pPr>
    </w:p>
    <w:p w:rsidR="00BC1F03" w:rsidRPr="002E7F52" w:rsidRDefault="002E7F52" w:rsidP="00BC1F0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Kantor and Immerman</w:t>
      </w:r>
      <w:r>
        <w:rPr>
          <w:rFonts w:ascii="Times New Roman" w:hAnsi="Times New Roman" w:cs="Times New Roman"/>
          <w:sz w:val="24"/>
          <w:szCs w:val="24"/>
        </w:rPr>
        <w:t>, 8</w:t>
      </w:r>
      <w:r w:rsidRPr="002E7F5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4934E3" w:rsidRPr="00BC1F03" w:rsidRDefault="00583D52" w:rsidP="00BC1F03">
      <w:pPr>
        <w:spacing w:after="0" w:line="360" w:lineRule="auto"/>
        <w:jc w:val="both"/>
        <w:rPr>
          <w:rFonts w:ascii="Times New Roman" w:hAnsi="Times New Roman" w:cs="Times New Roman"/>
        </w:rPr>
      </w:pPr>
      <w:r w:rsidRPr="00BC1F03">
        <w:rPr>
          <w:rFonts w:ascii="Times New Roman" w:hAnsi="Times New Roman" w:cs="Times New Roman"/>
          <w:sz w:val="24"/>
          <w:szCs w:val="24"/>
        </w:rPr>
        <w:t xml:space="preserve">  </w:t>
      </w:r>
      <w:r w:rsidR="004F24D0" w:rsidRPr="00BC1F03">
        <w:rPr>
          <w:rFonts w:ascii="Times New Roman" w:hAnsi="Times New Roman" w:cs="Times New Roman"/>
          <w:sz w:val="24"/>
          <w:szCs w:val="24"/>
        </w:rPr>
        <w:t xml:space="preserve">   </w:t>
      </w:r>
      <w:r w:rsidR="002450ED" w:rsidRPr="00BC1F03">
        <w:rPr>
          <w:rFonts w:ascii="Times New Roman" w:hAnsi="Times New Roman" w:cs="Times New Roman"/>
        </w:rPr>
        <w:t xml:space="preserve">    </w:t>
      </w:r>
      <w:r w:rsidR="00443CDA" w:rsidRPr="00BC1F03">
        <w:rPr>
          <w:rFonts w:ascii="Times New Roman" w:hAnsi="Times New Roman" w:cs="Times New Roman"/>
        </w:rPr>
        <w:t xml:space="preserve"> </w:t>
      </w:r>
      <w:r w:rsidR="004934E3" w:rsidRPr="00BC1F03">
        <w:rPr>
          <w:rFonts w:ascii="Times New Roman" w:hAnsi="Times New Roman" w:cs="Times New Roman"/>
        </w:rPr>
        <w:t xml:space="preserve">  </w:t>
      </w:r>
    </w:p>
    <w:p w:rsidR="004934E3" w:rsidRPr="002450ED" w:rsidRDefault="004934E3" w:rsidP="004934E3">
      <w:pPr>
        <w:spacing w:after="0" w:line="240" w:lineRule="auto"/>
        <w:jc w:val="both"/>
        <w:rPr>
          <w:rFonts w:ascii="Times New Roman" w:hAnsi="Times New Roman" w:cs="Times New Roman"/>
        </w:rPr>
      </w:pPr>
    </w:p>
    <w:p w:rsidR="004934E3" w:rsidRPr="002450ED" w:rsidRDefault="004934E3" w:rsidP="004934E3">
      <w:pPr>
        <w:spacing w:after="0" w:line="240" w:lineRule="auto"/>
        <w:jc w:val="both"/>
        <w:rPr>
          <w:rFonts w:ascii="Times New Roman" w:hAnsi="Times New Roman" w:cs="Times New Roman"/>
        </w:rPr>
      </w:pPr>
    </w:p>
    <w:sectPr w:rsidR="004934E3" w:rsidRPr="002450ED" w:rsidSect="004C778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282" w:rsidRDefault="00CE3282" w:rsidP="003C2988">
      <w:pPr>
        <w:spacing w:after="0" w:line="240" w:lineRule="auto"/>
      </w:pPr>
      <w:r>
        <w:separator/>
      </w:r>
    </w:p>
  </w:endnote>
  <w:endnote w:type="continuationSeparator" w:id="0">
    <w:p w:rsidR="00CE3282" w:rsidRDefault="00CE3282" w:rsidP="003C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282" w:rsidRDefault="00CE3282" w:rsidP="003C2988">
      <w:pPr>
        <w:spacing w:after="0" w:line="240" w:lineRule="auto"/>
      </w:pPr>
      <w:r>
        <w:separator/>
      </w:r>
    </w:p>
  </w:footnote>
  <w:footnote w:type="continuationSeparator" w:id="0">
    <w:p w:rsidR="00CE3282" w:rsidRDefault="00CE3282" w:rsidP="003C2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190423"/>
      <w:docPartObj>
        <w:docPartGallery w:val="Page Numbers (Top of Page)"/>
        <w:docPartUnique/>
      </w:docPartObj>
    </w:sdtPr>
    <w:sdtEndPr>
      <w:rPr>
        <w:noProof/>
      </w:rPr>
    </w:sdtEndPr>
    <w:sdtContent>
      <w:p w:rsidR="00643964" w:rsidRDefault="00CF63EB">
        <w:pPr>
          <w:pStyle w:val="Header"/>
          <w:jc w:val="right"/>
          <w:rPr>
            <w:noProof/>
          </w:rPr>
        </w:pPr>
        <w:r>
          <w:fldChar w:fldCharType="begin"/>
        </w:r>
        <w:r>
          <w:instrText xml:space="preserve"> PAGE   \* MERGEFORMAT </w:instrText>
        </w:r>
        <w:r>
          <w:fldChar w:fldCharType="separate"/>
        </w:r>
        <w:r w:rsidR="0049204D">
          <w:rPr>
            <w:noProof/>
          </w:rPr>
          <w:t>1</w:t>
        </w:r>
        <w:r>
          <w:rPr>
            <w:noProof/>
          </w:rPr>
          <w:fldChar w:fldCharType="end"/>
        </w:r>
      </w:p>
      <w:p w:rsidR="00643964" w:rsidRDefault="00643964">
        <w:pPr>
          <w:pStyle w:val="Header"/>
          <w:jc w:val="right"/>
          <w:rPr>
            <w:noProof/>
          </w:rPr>
        </w:pPr>
        <w:r>
          <w:rPr>
            <w:noProof/>
          </w:rPr>
          <w:t>HH</w:t>
        </w:r>
        <w:r w:rsidR="00537127">
          <w:rPr>
            <w:noProof/>
          </w:rPr>
          <w:t xml:space="preserve"> 474-18</w:t>
        </w:r>
      </w:p>
      <w:p w:rsidR="00643964" w:rsidRDefault="00643964">
        <w:pPr>
          <w:pStyle w:val="Header"/>
          <w:jc w:val="right"/>
          <w:rPr>
            <w:noProof/>
          </w:rPr>
        </w:pPr>
        <w:r>
          <w:rPr>
            <w:noProof/>
          </w:rPr>
          <w:t>HC 3656/18</w:t>
        </w:r>
      </w:p>
      <w:p w:rsidR="00643964" w:rsidRDefault="00643964">
        <w:pPr>
          <w:pStyle w:val="Header"/>
          <w:jc w:val="right"/>
        </w:pPr>
        <w:r>
          <w:rPr>
            <w:noProof/>
          </w:rPr>
          <w:t>Ref HC 3203/18</w:t>
        </w:r>
      </w:p>
    </w:sdtContent>
  </w:sdt>
  <w:p w:rsidR="00643964" w:rsidRDefault="006439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42C8"/>
    <w:multiLevelType w:val="hybridMultilevel"/>
    <w:tmpl w:val="FCCCB336"/>
    <w:lvl w:ilvl="0" w:tplc="B8C61B62">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E3"/>
    <w:rsid w:val="00054F3F"/>
    <w:rsid w:val="00125EE5"/>
    <w:rsid w:val="002450ED"/>
    <w:rsid w:val="002E7F52"/>
    <w:rsid w:val="003C2988"/>
    <w:rsid w:val="00443CDA"/>
    <w:rsid w:val="0049204D"/>
    <w:rsid w:val="004934E3"/>
    <w:rsid w:val="004C778E"/>
    <w:rsid w:val="004F24D0"/>
    <w:rsid w:val="00537127"/>
    <w:rsid w:val="00583D52"/>
    <w:rsid w:val="005F719B"/>
    <w:rsid w:val="00643964"/>
    <w:rsid w:val="00735A19"/>
    <w:rsid w:val="00781522"/>
    <w:rsid w:val="008E58B4"/>
    <w:rsid w:val="00923BEA"/>
    <w:rsid w:val="009921BF"/>
    <w:rsid w:val="00995C9A"/>
    <w:rsid w:val="009B3B8D"/>
    <w:rsid w:val="00B1060C"/>
    <w:rsid w:val="00B94FC1"/>
    <w:rsid w:val="00BC1F03"/>
    <w:rsid w:val="00C97B34"/>
    <w:rsid w:val="00CA1CE9"/>
    <w:rsid w:val="00CA1F43"/>
    <w:rsid w:val="00CE3282"/>
    <w:rsid w:val="00CF63EB"/>
    <w:rsid w:val="00DA7B7C"/>
    <w:rsid w:val="00F521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A5C6D-19B7-4EED-BB8A-EB5A5B4A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F03"/>
    <w:pPr>
      <w:ind w:left="720"/>
      <w:contextualSpacing/>
    </w:pPr>
  </w:style>
  <w:style w:type="paragraph" w:styleId="Header">
    <w:name w:val="header"/>
    <w:basedOn w:val="Normal"/>
    <w:link w:val="HeaderChar"/>
    <w:uiPriority w:val="99"/>
    <w:unhideWhenUsed/>
    <w:rsid w:val="003C2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988"/>
  </w:style>
  <w:style w:type="paragraph" w:styleId="Footer">
    <w:name w:val="footer"/>
    <w:basedOn w:val="Normal"/>
    <w:link w:val="FooterChar"/>
    <w:uiPriority w:val="99"/>
    <w:unhideWhenUsed/>
    <w:rsid w:val="003C2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988"/>
  </w:style>
  <w:style w:type="paragraph" w:styleId="BalloonText">
    <w:name w:val="Balloon Text"/>
    <w:basedOn w:val="Normal"/>
    <w:link w:val="BalloonTextChar"/>
    <w:uiPriority w:val="99"/>
    <w:semiHidden/>
    <w:unhideWhenUsed/>
    <w:rsid w:val="00B94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2018-08-08T06:09:00Z</cp:lastPrinted>
  <dcterms:created xsi:type="dcterms:W3CDTF">2018-08-20T06:25:00Z</dcterms:created>
  <dcterms:modified xsi:type="dcterms:W3CDTF">2018-08-20T06:25:00Z</dcterms:modified>
</cp:coreProperties>
</file>