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3688" w14:textId="77777777" w:rsidR="00CD08FE" w:rsidRDefault="00292D8B">
      <w:pPr>
        <w:pStyle w:val="Heading3"/>
        <w:spacing w:line="360" w:lineRule="auto"/>
        <w:ind w:right="24"/>
      </w:pPr>
      <w:r>
        <w:t>THE LABOUR COURT OF ZIMBABWE</w:t>
      </w:r>
      <w:r>
        <w:rPr>
          <w:spacing w:val="-52"/>
        </w:rPr>
        <w:t xml:space="preserve"> </w:t>
      </w:r>
      <w:r>
        <w:t>HARARE</w:t>
      </w:r>
      <w:r>
        <w:rPr>
          <w:spacing w:val="-2"/>
        </w:rPr>
        <w:t xml:space="preserve"> </w:t>
      </w:r>
      <w:r>
        <w:t>13 MARCH,2024</w:t>
      </w:r>
    </w:p>
    <w:p w14:paraId="2B88C551" w14:textId="77777777" w:rsidR="00CD08FE" w:rsidRDefault="00292D8B">
      <w:pPr>
        <w:ind w:left="120"/>
        <w:rPr>
          <w:b/>
        </w:rPr>
      </w:pP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15 MARCH,</w:t>
      </w:r>
      <w:r>
        <w:rPr>
          <w:b/>
          <w:spacing w:val="-1"/>
        </w:rPr>
        <w:t xml:space="preserve"> </w:t>
      </w:r>
      <w:r>
        <w:rPr>
          <w:b/>
        </w:rPr>
        <w:t>2024</w:t>
      </w:r>
    </w:p>
    <w:p w14:paraId="390679F6" w14:textId="77777777" w:rsidR="00CD08FE" w:rsidRDefault="00CD08FE">
      <w:pPr>
        <w:pStyle w:val="BodyText"/>
        <w:ind w:left="0"/>
        <w:rPr>
          <w:b/>
          <w:sz w:val="24"/>
        </w:rPr>
      </w:pPr>
    </w:p>
    <w:p w14:paraId="48819B6C" w14:textId="77777777" w:rsidR="00CD08FE" w:rsidRDefault="00CD08FE">
      <w:pPr>
        <w:pStyle w:val="BodyText"/>
        <w:spacing w:before="11"/>
        <w:ind w:left="0"/>
        <w:rPr>
          <w:b/>
        </w:rPr>
      </w:pPr>
    </w:p>
    <w:p w14:paraId="2F345BE5" w14:textId="77777777" w:rsidR="00CD08FE" w:rsidRDefault="00292D8B">
      <w:pPr>
        <w:pStyle w:val="Heading2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between: -</w:t>
      </w:r>
    </w:p>
    <w:p w14:paraId="06B63BFB" w14:textId="77777777" w:rsidR="00CD08FE" w:rsidRDefault="00292D8B">
      <w:pPr>
        <w:spacing w:before="62" w:line="360" w:lineRule="auto"/>
        <w:ind w:left="120" w:right="938"/>
        <w:rPr>
          <w:b/>
        </w:rPr>
      </w:pPr>
      <w:r>
        <w:br w:type="column"/>
      </w:r>
      <w:r>
        <w:rPr>
          <w:b/>
        </w:rPr>
        <w:t>JUDGMENT NO. LC/H/113/24</w:t>
      </w:r>
      <w:r>
        <w:rPr>
          <w:b/>
          <w:spacing w:val="-52"/>
        </w:rPr>
        <w:t xml:space="preserve"> </w:t>
      </w:r>
      <w:r>
        <w:rPr>
          <w:b/>
        </w:rPr>
        <w:t>CASE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</w:rPr>
        <w:t>LC/H/492/23</w:t>
      </w:r>
    </w:p>
    <w:p w14:paraId="1827D338" w14:textId="77777777" w:rsidR="00CD08FE" w:rsidRDefault="00CD08FE">
      <w:pPr>
        <w:spacing w:line="360" w:lineRule="auto"/>
        <w:sectPr w:rsidR="00CD08FE">
          <w:footerReference w:type="default" r:id="rId7"/>
          <w:type w:val="continuous"/>
          <w:pgSz w:w="11910" w:h="16840"/>
          <w:pgMar w:top="1360" w:right="1340" w:bottom="1180" w:left="1320" w:header="720" w:footer="992" w:gutter="0"/>
          <w:pgNumType w:start="1"/>
          <w:cols w:num="2" w:space="720" w:equalWidth="0">
            <w:col w:w="4149" w:space="1059"/>
            <w:col w:w="4042"/>
          </w:cols>
        </w:sectPr>
      </w:pPr>
    </w:p>
    <w:p w14:paraId="4ADEC650" w14:textId="77777777" w:rsidR="00CD08FE" w:rsidRDefault="00CD08FE">
      <w:pPr>
        <w:pStyle w:val="BodyText"/>
        <w:ind w:left="0"/>
        <w:rPr>
          <w:b/>
          <w:sz w:val="20"/>
        </w:rPr>
      </w:pPr>
    </w:p>
    <w:p w14:paraId="5F6AC307" w14:textId="77777777" w:rsidR="00CD08FE" w:rsidRDefault="00CD08FE">
      <w:pPr>
        <w:pStyle w:val="BodyText"/>
        <w:spacing w:before="2"/>
        <w:ind w:left="0"/>
        <w:rPr>
          <w:b/>
          <w:sz w:val="20"/>
        </w:rPr>
      </w:pPr>
    </w:p>
    <w:p w14:paraId="1DC8C6D3" w14:textId="77777777" w:rsidR="00CD08FE" w:rsidRDefault="00292D8B">
      <w:pPr>
        <w:pStyle w:val="Heading1"/>
        <w:tabs>
          <w:tab w:val="left" w:pos="6308"/>
        </w:tabs>
        <w:spacing w:before="90"/>
      </w:pPr>
      <w:r>
        <w:t>MAXWELL</w:t>
      </w:r>
      <w:r>
        <w:rPr>
          <w:spacing w:val="-2"/>
        </w:rPr>
        <w:t xml:space="preserve"> </w:t>
      </w:r>
      <w:r>
        <w:t>KASEMA</w:t>
      </w:r>
      <w:r>
        <w:tab/>
      </w:r>
      <w:r>
        <w:t>Applicant</w:t>
      </w:r>
    </w:p>
    <w:p w14:paraId="3A8059FB" w14:textId="77777777" w:rsidR="00CD08FE" w:rsidRDefault="00CD08FE">
      <w:pPr>
        <w:pStyle w:val="BodyText"/>
        <w:ind w:left="0"/>
        <w:rPr>
          <w:b/>
          <w:sz w:val="24"/>
        </w:rPr>
      </w:pPr>
    </w:p>
    <w:p w14:paraId="6908B70A" w14:textId="77777777" w:rsidR="00CD08FE" w:rsidRDefault="00292D8B">
      <w:pPr>
        <w:pStyle w:val="Heading2"/>
      </w:pPr>
      <w:r>
        <w:t>Versus</w:t>
      </w:r>
    </w:p>
    <w:p w14:paraId="0E62F811" w14:textId="77777777" w:rsidR="00CD08FE" w:rsidRDefault="00CD08FE">
      <w:pPr>
        <w:pStyle w:val="BodyText"/>
        <w:ind w:left="0"/>
        <w:rPr>
          <w:sz w:val="24"/>
        </w:rPr>
      </w:pPr>
    </w:p>
    <w:p w14:paraId="05D35A34" w14:textId="77777777" w:rsidR="00CD08FE" w:rsidRDefault="00292D8B">
      <w:pPr>
        <w:tabs>
          <w:tab w:val="left" w:pos="6322"/>
        </w:tabs>
        <w:ind w:left="120"/>
        <w:rPr>
          <w:b/>
          <w:sz w:val="24"/>
        </w:rPr>
      </w:pPr>
      <w:r>
        <w:rPr>
          <w:b/>
        </w:rPr>
        <w:t>ECONET</w:t>
      </w:r>
      <w:r>
        <w:rPr>
          <w:b/>
          <w:spacing w:val="-2"/>
        </w:rPr>
        <w:t xml:space="preserve"> </w:t>
      </w:r>
      <w:r>
        <w:rPr>
          <w:b/>
        </w:rPr>
        <w:t>WIRELESS</w:t>
      </w:r>
      <w:r>
        <w:rPr>
          <w:b/>
          <w:spacing w:val="-2"/>
        </w:rPr>
        <w:t xml:space="preserve"> </w:t>
      </w:r>
      <w:r>
        <w:rPr>
          <w:b/>
        </w:rPr>
        <w:t>(PVT) LTD</w:t>
      </w:r>
      <w:r>
        <w:rPr>
          <w:b/>
        </w:rPr>
        <w:tab/>
      </w:r>
      <w:r>
        <w:rPr>
          <w:b/>
          <w:sz w:val="24"/>
        </w:rPr>
        <w:t>Respondent</w:t>
      </w:r>
    </w:p>
    <w:p w14:paraId="18382EF2" w14:textId="77777777" w:rsidR="00CD08FE" w:rsidRDefault="00CD08FE">
      <w:pPr>
        <w:pStyle w:val="BodyText"/>
        <w:ind w:left="0"/>
        <w:rPr>
          <w:b/>
          <w:sz w:val="26"/>
        </w:rPr>
      </w:pPr>
    </w:p>
    <w:p w14:paraId="3E6DBA47" w14:textId="77777777" w:rsidR="00CD08FE" w:rsidRDefault="00CD08FE">
      <w:pPr>
        <w:pStyle w:val="BodyText"/>
        <w:spacing w:before="8"/>
        <w:ind w:left="0"/>
        <w:rPr>
          <w:b/>
          <w:sz w:val="32"/>
        </w:rPr>
      </w:pPr>
    </w:p>
    <w:p w14:paraId="129010C2" w14:textId="77777777" w:rsidR="00CD08FE" w:rsidRDefault="00292D8B">
      <w:pPr>
        <w:pStyle w:val="Heading1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L.</w:t>
      </w:r>
      <w:r>
        <w:rPr>
          <w:spacing w:val="-1"/>
        </w:rPr>
        <w:t xml:space="preserve"> </w:t>
      </w:r>
      <w:r>
        <w:t>Hove,</w:t>
      </w:r>
      <w:r>
        <w:rPr>
          <w:spacing w:val="-1"/>
        </w:rPr>
        <w:t xml:space="preserve"> </w:t>
      </w:r>
      <w:r>
        <w:t>Judge:</w:t>
      </w:r>
    </w:p>
    <w:p w14:paraId="3BDFA996" w14:textId="77777777" w:rsidR="00CD08FE" w:rsidRDefault="00CD08FE">
      <w:pPr>
        <w:pStyle w:val="BodyText"/>
        <w:spacing w:before="3"/>
        <w:ind w:left="0"/>
        <w:rPr>
          <w:b/>
          <w:sz w:val="31"/>
        </w:rPr>
      </w:pPr>
    </w:p>
    <w:p w14:paraId="0E79A16F" w14:textId="77777777" w:rsidR="00CD08FE" w:rsidRDefault="00292D8B">
      <w:pPr>
        <w:tabs>
          <w:tab w:val="left" w:pos="2554"/>
        </w:tabs>
        <w:spacing w:before="1"/>
        <w:ind w:left="12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  <w:t>Mr.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Ncube</w:t>
      </w:r>
    </w:p>
    <w:p w14:paraId="6B32CCCE" w14:textId="77777777" w:rsidR="00CD08FE" w:rsidRDefault="00292D8B">
      <w:pPr>
        <w:pStyle w:val="Heading1"/>
        <w:tabs>
          <w:tab w:val="left" w:pos="2501"/>
        </w:tabs>
        <w:spacing w:before="182"/>
      </w:pPr>
      <w:r>
        <w:t>For</w:t>
      </w:r>
      <w:r>
        <w:rPr>
          <w:spacing w:val="-1"/>
        </w:rPr>
        <w:t xml:space="preserve"> </w:t>
      </w:r>
      <w:r>
        <w:t>respondent:</w:t>
      </w:r>
      <w:r>
        <w:tab/>
        <w:t>Mr.</w:t>
      </w:r>
      <w:r>
        <w:rPr>
          <w:spacing w:val="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Chakanyuka</w:t>
      </w:r>
    </w:p>
    <w:p w14:paraId="16E7DE7E" w14:textId="77777777" w:rsidR="00CD08FE" w:rsidRDefault="00CD08FE">
      <w:pPr>
        <w:pStyle w:val="BodyText"/>
        <w:ind w:left="0"/>
        <w:rPr>
          <w:b/>
          <w:sz w:val="26"/>
        </w:rPr>
      </w:pPr>
    </w:p>
    <w:p w14:paraId="584F51BA" w14:textId="77777777" w:rsidR="00CD08FE" w:rsidRDefault="00CD08FE">
      <w:pPr>
        <w:pStyle w:val="BodyText"/>
        <w:spacing w:before="7"/>
        <w:ind w:left="0"/>
        <w:rPr>
          <w:b/>
          <w:sz w:val="27"/>
        </w:rPr>
      </w:pPr>
    </w:p>
    <w:p w14:paraId="75FF311F" w14:textId="77777777" w:rsidR="00CD08FE" w:rsidRDefault="00292D8B">
      <w:pPr>
        <w:pStyle w:val="BodyText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 review.</w:t>
      </w:r>
    </w:p>
    <w:p w14:paraId="5A0C6952" w14:textId="77777777" w:rsidR="00CD08FE" w:rsidRDefault="00292D8B">
      <w:pPr>
        <w:pStyle w:val="BodyText"/>
        <w:spacing w:before="179" w:line="259" w:lineRule="auto"/>
        <w:ind w:right="110"/>
      </w:pPr>
      <w:r>
        <w:t>The facts are common cause and are briefly that the application was employed by the respondent as a</w:t>
      </w:r>
      <w:r>
        <w:rPr>
          <w:spacing w:val="1"/>
        </w:rPr>
        <w:t xml:space="preserve"> </w:t>
      </w:r>
      <w:r>
        <w:t>sales consultant. He was charged with acts of misconduct in terms of Section 4 (a) of the Labour</w:t>
      </w:r>
      <w:r>
        <w:rPr>
          <w:spacing w:val="1"/>
        </w:rPr>
        <w:t xml:space="preserve"> </w:t>
      </w:r>
      <w:r>
        <w:t>(National Employment Code of Conduct) regulations, 2006 (SI 15/06) (National Code). It was alleged</w:t>
      </w:r>
      <w:r>
        <w:rPr>
          <w:spacing w:val="-52"/>
        </w:rPr>
        <w:t xml:space="preserve"> </w:t>
      </w:r>
      <w:r>
        <w:t>that on 29 August 2022 and 1</w:t>
      </w:r>
      <w:r>
        <w:rPr>
          <w:vertAlign w:val="superscript"/>
        </w:rPr>
        <w:t>st</w:t>
      </w:r>
      <w:r>
        <w:t xml:space="preserve"> September 2022 the applicant had allegedly accessed a customer’s call</w:t>
      </w:r>
      <w:r>
        <w:rPr>
          <w:spacing w:val="-52"/>
        </w:rPr>
        <w:t xml:space="preserve"> </w:t>
      </w:r>
      <w:r>
        <w:t>data and shared same with the customer’s husband without getting permission from the customer. It</w:t>
      </w:r>
      <w:r>
        <w:rPr>
          <w:spacing w:val="1"/>
        </w:rPr>
        <w:t xml:space="preserve"> </w:t>
      </w:r>
      <w:r>
        <w:t>was alleged further that on 29 August 2022, applicant had sent a WhatsApp message in a work group</w:t>
      </w:r>
      <w:r>
        <w:rPr>
          <w:spacing w:val="1"/>
        </w:rPr>
        <w:t xml:space="preserve"> </w:t>
      </w:r>
      <w:r>
        <w:t>chat which</w:t>
      </w:r>
      <w:r>
        <w:rPr>
          <w:spacing w:val="-2"/>
        </w:rPr>
        <w:t xml:space="preserve"> </w:t>
      </w:r>
      <w:r>
        <w:t>caused u</w:t>
      </w:r>
      <w:r>
        <w:t>nnecessary</w:t>
      </w:r>
      <w:r>
        <w:rPr>
          <w:spacing w:val="-3"/>
        </w:rPr>
        <w:t xml:space="preserve"> </w:t>
      </w:r>
      <w:r>
        <w:t>anxiety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members of</w:t>
      </w:r>
      <w:r>
        <w:rPr>
          <w:spacing w:val="-1"/>
        </w:rPr>
        <w:t xml:space="preserve"> </w:t>
      </w:r>
      <w:r>
        <w:t>staff.</w:t>
      </w:r>
    </w:p>
    <w:p w14:paraId="293160C2" w14:textId="77777777" w:rsidR="00CD08FE" w:rsidRDefault="00292D8B">
      <w:pPr>
        <w:pStyle w:val="BodyText"/>
        <w:spacing w:before="159" w:line="259" w:lineRule="auto"/>
        <w:ind w:right="184"/>
      </w:pPr>
      <w:r>
        <w:t>The applicant had challenged the conduction of the misconduct proceedings in terms of the National</w:t>
      </w:r>
      <w:r>
        <w:rPr>
          <w:spacing w:val="1"/>
        </w:rPr>
        <w:t xml:space="preserve"> </w:t>
      </w:r>
      <w:r>
        <w:t>code of conduct which objection was dismissed and on 20 September 2022 the applicant was found</w:t>
      </w:r>
      <w:r>
        <w:rPr>
          <w:spacing w:val="1"/>
        </w:rPr>
        <w:t xml:space="preserve"> </w:t>
      </w:r>
      <w:r>
        <w:t>guilty and dismissed. The applicant appealed against the decision internally but was unsuccessful. He</w:t>
      </w:r>
      <w:r>
        <w:rPr>
          <w:spacing w:val="-52"/>
        </w:rPr>
        <w:t xml:space="preserve"> </w:t>
      </w:r>
      <w:r>
        <w:t>appealed to the National Employment Council for Communications and Allied Services Industry</w:t>
      </w:r>
      <w:r>
        <w:rPr>
          <w:spacing w:val="1"/>
        </w:rPr>
        <w:t xml:space="preserve"> </w:t>
      </w:r>
      <w:r>
        <w:t>(NEC). The respondent challenged the proceedings before NEC and argued that it had no jurisdiction</w:t>
      </w:r>
      <w:r>
        <w:rPr>
          <w:spacing w:val="-52"/>
        </w:rPr>
        <w:t xml:space="preserve"> </w:t>
      </w:r>
      <w:r>
        <w:t>to deal with an appeal against a decision made in terms of the National code and that such appeal or</w:t>
      </w:r>
      <w:r>
        <w:rPr>
          <w:spacing w:val="1"/>
        </w:rPr>
        <w:t xml:space="preserve"> </w:t>
      </w:r>
      <w:r>
        <w:t>review should lie to t</w:t>
      </w:r>
      <w:r>
        <w:t>he Labour Court. The NEC ruled in favour of the applicant and respondent</w:t>
      </w:r>
      <w:r>
        <w:rPr>
          <w:spacing w:val="1"/>
        </w:rPr>
        <w:t xml:space="preserve"> </w:t>
      </w:r>
      <w:r>
        <w:t>appealed to the Labour Court. The applicant later conceded that NEC had no jurisdiction. Applicant</w:t>
      </w:r>
      <w:r>
        <w:rPr>
          <w:spacing w:val="1"/>
        </w:rPr>
        <w:t xml:space="preserve"> </w:t>
      </w:r>
      <w:r>
        <w:t>now seeks to bring an application for review before this Court. He realized that such application was</w:t>
      </w:r>
      <w:r>
        <w:rPr>
          <w:spacing w:val="1"/>
        </w:rPr>
        <w:t xml:space="preserve"> </w:t>
      </w:r>
      <w:r>
        <w:t>out of time and seeks condonation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late</w:t>
      </w:r>
      <w:r>
        <w:rPr>
          <w:spacing w:val="-2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application for</w:t>
      </w:r>
      <w:r>
        <w:rPr>
          <w:spacing w:val="-3"/>
        </w:rPr>
        <w:t xml:space="preserve"> </w:t>
      </w:r>
      <w:r>
        <w:t>review.</w:t>
      </w:r>
    </w:p>
    <w:p w14:paraId="6659B084" w14:textId="77777777" w:rsidR="00CD08FE" w:rsidRDefault="00292D8B">
      <w:pPr>
        <w:pStyle w:val="BodyText"/>
        <w:spacing w:before="158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condonation</w:t>
      </w:r>
    </w:p>
    <w:p w14:paraId="19D5A115" w14:textId="77777777" w:rsidR="00CD08FE" w:rsidRDefault="00292D8B">
      <w:pPr>
        <w:pStyle w:val="BodyText"/>
        <w:spacing w:before="181" w:line="259" w:lineRule="auto"/>
        <w:ind w:right="312"/>
      </w:pPr>
      <w:r>
        <w:t>The applicant is seeking the indulgence of the Court so that he can file an application for review out</w:t>
      </w:r>
      <w:r>
        <w:rPr>
          <w:spacing w:val="-52"/>
        </w:rPr>
        <w:t xml:space="preserve"> </w:t>
      </w:r>
      <w:r>
        <w:t>of the 21 days allowed</w:t>
      </w:r>
      <w:r>
        <w:rPr>
          <w:spacing w:val="-2"/>
        </w:rPr>
        <w:t xml:space="preserve"> </w:t>
      </w:r>
      <w:r>
        <w:t>to file</w:t>
      </w:r>
      <w:r>
        <w:rPr>
          <w:spacing w:val="-1"/>
        </w:rPr>
        <w:t xml:space="preserve"> </w:t>
      </w:r>
      <w:r>
        <w:t>such applications</w:t>
      </w:r>
      <w:r>
        <w:rPr>
          <w:spacing w:val="-2"/>
        </w:rPr>
        <w:t xml:space="preserve"> </w:t>
      </w:r>
      <w:r>
        <w:t>in terms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rules.</w:t>
      </w:r>
    </w:p>
    <w:p w14:paraId="33915009" w14:textId="77777777" w:rsidR="00CD08FE" w:rsidRDefault="00292D8B">
      <w:pPr>
        <w:pStyle w:val="BodyText"/>
        <w:spacing w:before="160"/>
      </w:pPr>
      <w:r>
        <w:t>Factors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nature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agreed between</w:t>
      </w:r>
      <w:r>
        <w:rPr>
          <w:spacing w:val="-1"/>
        </w:rPr>
        <w:t xml:space="preserve"> </w:t>
      </w:r>
      <w:r>
        <w:t>the parties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include;</w:t>
      </w:r>
    </w:p>
    <w:p w14:paraId="68B845F4" w14:textId="77777777" w:rsidR="00CD08FE" w:rsidRDefault="00292D8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77"/>
        <w:ind w:hanging="361"/>
      </w:pP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delay</w:t>
      </w:r>
    </w:p>
    <w:p w14:paraId="006095EF" w14:textId="77777777" w:rsidR="00CD08FE" w:rsidRDefault="00292D8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1"/>
        <w:ind w:hanging="361"/>
      </w:pP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non-compliance</w:t>
      </w:r>
    </w:p>
    <w:p w14:paraId="1464A1B5" w14:textId="77777777" w:rsidR="00CD08FE" w:rsidRDefault="00CD08FE">
      <w:pPr>
        <w:sectPr w:rsidR="00CD08FE">
          <w:type w:val="continuous"/>
          <w:pgSz w:w="11910" w:h="16840"/>
          <w:pgMar w:top="1360" w:right="1340" w:bottom="1180" w:left="1320" w:header="720" w:footer="720" w:gutter="0"/>
          <w:cols w:space="720"/>
        </w:sectPr>
      </w:pPr>
    </w:p>
    <w:p w14:paraId="739C52DA" w14:textId="77777777" w:rsidR="00CD08FE" w:rsidRDefault="00292D8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81"/>
        <w:ind w:hanging="361"/>
      </w:pPr>
      <w:r>
        <w:lastRenderedPageBreak/>
        <w:t>The</w:t>
      </w:r>
      <w:r>
        <w:rPr>
          <w:spacing w:val="-4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merits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granted,</w:t>
      </w:r>
      <w:r>
        <w:rPr>
          <w:spacing w:val="53"/>
        </w:rPr>
        <w:t xml:space="preserve"> </w:t>
      </w:r>
      <w:r>
        <w:t>and</w:t>
      </w:r>
    </w:p>
    <w:p w14:paraId="4F2362F2" w14:textId="77777777" w:rsidR="00CD08FE" w:rsidRDefault="00292D8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The</w:t>
      </w:r>
      <w:r>
        <w:rPr>
          <w:spacing w:val="-3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possible prejudice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other</w:t>
      </w:r>
      <w:r>
        <w:rPr>
          <w:spacing w:val="-1"/>
        </w:rPr>
        <w:t xml:space="preserve"> </w:t>
      </w:r>
      <w:r>
        <w:t>side</w:t>
      </w:r>
    </w:p>
    <w:p w14:paraId="1B97C398" w14:textId="77777777" w:rsidR="00CD08FE" w:rsidRDefault="00292D8B">
      <w:pPr>
        <w:pStyle w:val="Heading3"/>
        <w:spacing w:before="180" w:line="259" w:lineRule="auto"/>
        <w:ind w:right="646"/>
      </w:pPr>
      <w:r>
        <w:rPr>
          <w:b w:val="0"/>
        </w:rPr>
        <w:t xml:space="preserve">See the case of </w:t>
      </w:r>
      <w:r>
        <w:t>Songore v Olivine Industries (Pvt) Limited 1988 (2) ZLR 210, and Malone v</w:t>
      </w:r>
      <w:r>
        <w:rPr>
          <w:spacing w:val="-52"/>
        </w:rPr>
        <w:t xml:space="preserve"> </w:t>
      </w:r>
      <w:r>
        <w:t>Santamn</w:t>
      </w:r>
      <w:r>
        <w:rPr>
          <w:spacing w:val="-3"/>
        </w:rPr>
        <w:t xml:space="preserve"> </w:t>
      </w:r>
      <w:r>
        <w:t>Insurance Co.</w:t>
      </w:r>
      <w:r>
        <w:rPr>
          <w:spacing w:val="-2"/>
        </w:rPr>
        <w:t xml:space="preserve"> </w:t>
      </w:r>
      <w:r>
        <w:t>ltd 1962 (4)</w:t>
      </w:r>
      <w:r>
        <w:rPr>
          <w:spacing w:val="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513</w:t>
      </w:r>
      <w:r>
        <w:rPr>
          <w:spacing w:val="-3"/>
        </w:rPr>
        <w:t xml:space="preserve"> </w:t>
      </w:r>
      <w:r>
        <w:t>(A).</w:t>
      </w:r>
    </w:p>
    <w:p w14:paraId="2837645A" w14:textId="77777777" w:rsidR="00CD08FE" w:rsidRDefault="00292D8B">
      <w:pPr>
        <w:pStyle w:val="BodyText"/>
        <w:spacing w:before="162"/>
      </w:pPr>
      <w:r>
        <w:rPr>
          <w:u w:val="single"/>
        </w:rPr>
        <w:t>Prospects of</w:t>
      </w:r>
      <w:r>
        <w:rPr>
          <w:spacing w:val="-2"/>
          <w:u w:val="single"/>
        </w:rPr>
        <w:t xml:space="preserve"> </w:t>
      </w:r>
      <w:r>
        <w:rPr>
          <w:u w:val="single"/>
        </w:rPr>
        <w:t>success</w:t>
      </w:r>
    </w:p>
    <w:p w14:paraId="7011AB22" w14:textId="77777777" w:rsidR="00CD08FE" w:rsidRDefault="00292D8B">
      <w:pPr>
        <w:pStyle w:val="BodyText"/>
        <w:spacing w:before="179" w:line="259" w:lineRule="auto"/>
        <w:ind w:right="99"/>
      </w:pPr>
      <w:r>
        <w:t>The applicant in casu argues that his prospects of success are good in that the respondent failed to</w:t>
      </w:r>
      <w:r>
        <w:rPr>
          <w:spacing w:val="1"/>
        </w:rPr>
        <w:t xml:space="preserve"> </w:t>
      </w:r>
      <w:r>
        <w:t>accord him procedural fairness. He argues that the respondent used the wrong code of conduct when it</w:t>
      </w:r>
      <w:r>
        <w:rPr>
          <w:spacing w:val="-52"/>
        </w:rPr>
        <w:t xml:space="preserve"> </w:t>
      </w:r>
      <w:r>
        <w:t>disciplined him in terms of the National Code instead of the Code of conduct for the National</w:t>
      </w:r>
      <w:r>
        <w:rPr>
          <w:spacing w:val="1"/>
        </w:rPr>
        <w:t xml:space="preserve"> </w:t>
      </w:r>
      <w:r>
        <w:t>Employment Council</w:t>
      </w:r>
      <w:r>
        <w:rPr>
          <w:spacing w:val="-2"/>
        </w:rPr>
        <w:t xml:space="preserve"> </w:t>
      </w:r>
      <w:r>
        <w:t>for Communications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Allied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(NEC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conduct).</w:t>
      </w:r>
    </w:p>
    <w:p w14:paraId="70DF1A67" w14:textId="77777777" w:rsidR="00CD08FE" w:rsidRDefault="00292D8B">
      <w:pPr>
        <w:pStyle w:val="BodyText"/>
        <w:spacing w:before="160" w:line="259" w:lineRule="auto"/>
        <w:ind w:right="196"/>
      </w:pPr>
      <w:r>
        <w:t>The applicant argues on the basis of Section 2 (1) (a) of the Labour Act [chapter 28:01] (the Act) as</w:t>
      </w:r>
      <w:r>
        <w:rPr>
          <w:spacing w:val="1"/>
        </w:rPr>
        <w:t xml:space="preserve"> </w:t>
      </w:r>
      <w:r>
        <w:t>read with Section 101 of the Act that the law provides that whenever there is a registered code of</w:t>
      </w:r>
      <w:r>
        <w:rPr>
          <w:spacing w:val="1"/>
        </w:rPr>
        <w:t xml:space="preserve"> </w:t>
      </w:r>
      <w:r>
        <w:t>conduct in a particular industry, employers and employees are bound by its provisions regardless of</w:t>
      </w:r>
      <w:r>
        <w:rPr>
          <w:spacing w:val="1"/>
        </w:rPr>
        <w:t xml:space="preserve"> </w:t>
      </w:r>
      <w:r>
        <w:t>them not having been parties to the NEC code. The NEC code would still apply to them. See the case</w:t>
      </w:r>
      <w:r>
        <w:rPr>
          <w:spacing w:val="-52"/>
        </w:rPr>
        <w:t xml:space="preserve"> </w:t>
      </w:r>
      <w:r>
        <w:t xml:space="preserve">of </w:t>
      </w:r>
      <w:r>
        <w:rPr>
          <w:b/>
        </w:rPr>
        <w:t>Chikomba Rural District Council v Pasipanodya 2012 (1) ZLR 577 (SC)</w:t>
      </w:r>
      <w:r>
        <w:t>, in this case, the</w:t>
      </w:r>
      <w:r>
        <w:rPr>
          <w:spacing w:val="1"/>
        </w:rPr>
        <w:t xml:space="preserve"> </w:t>
      </w:r>
      <w:r>
        <w:t>Supreme Court was clear that the National code can only apply where there is no code of conduct for</w:t>
      </w:r>
      <w:r>
        <w:rPr>
          <w:spacing w:val="-52"/>
        </w:rPr>
        <w:t xml:space="preserve"> </w:t>
      </w:r>
      <w:r>
        <w:t xml:space="preserve">the relevant industry. </w:t>
      </w:r>
      <w:r>
        <w:t>The Supreme Court went further to state that even if the parties agree to using</w:t>
      </w:r>
      <w:r>
        <w:rPr>
          <w:spacing w:val="1"/>
        </w:rPr>
        <w:t xml:space="preserve"> </w:t>
      </w:r>
      <w:r>
        <w:t>the national code, that agreement would be against the law if there is a code of conduct for that work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industry.</w:t>
      </w:r>
    </w:p>
    <w:p w14:paraId="3A04E6B7" w14:textId="77777777" w:rsidR="00CD08FE" w:rsidRDefault="00292D8B">
      <w:pPr>
        <w:pStyle w:val="BodyText"/>
        <w:spacing w:before="158" w:line="259" w:lineRule="auto"/>
        <w:ind w:right="184"/>
      </w:pPr>
      <w:r>
        <w:t>The applicant further, argued that its prospects of success were very good because the upreme Court</w:t>
      </w:r>
      <w:r>
        <w:rPr>
          <w:spacing w:val="1"/>
        </w:rPr>
        <w:t xml:space="preserve"> </w:t>
      </w:r>
      <w:r>
        <w:t xml:space="preserve">has in the case of </w:t>
      </w:r>
      <w:r>
        <w:rPr>
          <w:b/>
        </w:rPr>
        <w:t>Econet Wireless (Pvt) Ltd v Minister of Public Service Labour and Social</w:t>
      </w:r>
      <w:r>
        <w:rPr>
          <w:b/>
          <w:spacing w:val="1"/>
        </w:rPr>
        <w:t xml:space="preserve"> </w:t>
      </w:r>
      <w:r>
        <w:rPr>
          <w:b/>
        </w:rPr>
        <w:t xml:space="preserve">Welfare and others SC 31/16 </w:t>
      </w:r>
      <w:r>
        <w:t>held that if Econet Wireless was of the view that the law, that is,</w:t>
      </w:r>
      <w:r>
        <w:rPr>
          <w:spacing w:val="1"/>
        </w:rPr>
        <w:t xml:space="preserve"> </w:t>
      </w:r>
      <w:r>
        <w:t>Section (1)(a) and as read with Section 101 of the Act was unconstitutional, they cannot approach the</w:t>
      </w:r>
      <w:r>
        <w:rPr>
          <w:spacing w:val="-52"/>
        </w:rPr>
        <w:t xml:space="preserve"> </w:t>
      </w:r>
      <w:r>
        <w:t>Courts seeking to have the law declared unconstitutional when they have not first complied. They</w:t>
      </w:r>
      <w:r>
        <w:rPr>
          <w:spacing w:val="1"/>
        </w:rPr>
        <w:t xml:space="preserve"> </w:t>
      </w:r>
      <w:r>
        <w:t>would be</w:t>
      </w:r>
      <w:r>
        <w:rPr>
          <w:spacing w:val="-2"/>
        </w:rPr>
        <w:t xml:space="preserve"> </w:t>
      </w:r>
      <w:r>
        <w:t>approaching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dirty</w:t>
      </w:r>
      <w:r>
        <w:rPr>
          <w:spacing w:val="-3"/>
        </w:rPr>
        <w:t xml:space="preserve"> </w:t>
      </w:r>
      <w:r>
        <w:t>hands.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needed to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first.</w:t>
      </w:r>
    </w:p>
    <w:p w14:paraId="6913D9B6" w14:textId="77777777" w:rsidR="00CD08FE" w:rsidRDefault="00292D8B">
      <w:pPr>
        <w:pStyle w:val="BodyText"/>
        <w:spacing w:before="158" w:line="259" w:lineRule="auto"/>
        <w:ind w:right="159"/>
      </w:pPr>
      <w:r>
        <w:t>After the Supreme Court decision in the Econet case (supra), a conscientious litigant would have</w:t>
      </w:r>
      <w:r>
        <w:rPr>
          <w:spacing w:val="1"/>
        </w:rPr>
        <w:t xml:space="preserve"> </w:t>
      </w:r>
      <w:r>
        <w:t>taken that root and regularize its need to comply first and argue whether or not it can be compelled to</w:t>
      </w:r>
      <w:r>
        <w:rPr>
          <w:spacing w:val="-52"/>
        </w:rPr>
        <w:t xml:space="preserve"> </w:t>
      </w:r>
      <w:r>
        <w:t>associate against its will. Unless the respondent merely seeks to be contemptuous and disrespectful of</w:t>
      </w:r>
      <w:r>
        <w:rPr>
          <w:spacing w:val="-52"/>
        </w:rPr>
        <w:t xml:space="preserve"> </w:t>
      </w:r>
      <w:r>
        <w:t>the legal positions enunciated by the Supreme Court, it ought to have taken the decision of the</w:t>
      </w:r>
      <w:r>
        <w:rPr>
          <w:spacing w:val="1"/>
        </w:rPr>
        <w:t xml:space="preserve"> </w:t>
      </w:r>
      <w:r>
        <w:t>Supreme Court in the Econet Wireless</w:t>
      </w:r>
      <w:r>
        <w:rPr>
          <w:spacing w:val="1"/>
        </w:rPr>
        <w:t xml:space="preserve"> </w:t>
      </w:r>
      <w:r>
        <w:t>(Pvt) Ltd case (supra) as a cue to regularize its alleged</w:t>
      </w:r>
      <w:r>
        <w:rPr>
          <w:spacing w:val="1"/>
        </w:rPr>
        <w:t xml:space="preserve"> </w:t>
      </w:r>
      <w:r>
        <w:t>constitutional rights by first complying with the law as it is and seek to argue its rights in terms of the</w:t>
      </w:r>
      <w:r>
        <w:rPr>
          <w:spacing w:val="-52"/>
        </w:rPr>
        <w:t xml:space="preserve"> </w:t>
      </w:r>
      <w:r>
        <w:t>constitution later. It cannot bring the same argument before the Labour Court when the Supreme</w:t>
      </w:r>
      <w:r>
        <w:rPr>
          <w:spacing w:val="1"/>
        </w:rPr>
        <w:t xml:space="preserve"> </w:t>
      </w:r>
      <w:r>
        <w:t>Court has already</w:t>
      </w:r>
      <w:r>
        <w:rPr>
          <w:spacing w:val="-3"/>
        </w:rPr>
        <w:t xml:space="preserve"> </w:t>
      </w:r>
      <w:r>
        <w:t>pronounced itself</w:t>
      </w:r>
      <w:r>
        <w:rPr>
          <w:spacing w:val="-1"/>
        </w:rPr>
        <w:t xml:space="preserve"> </w:t>
      </w:r>
      <w:r>
        <w:t>on the exact</w:t>
      </w:r>
      <w:r>
        <w:rPr>
          <w:spacing w:val="-2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issues.</w:t>
      </w:r>
    </w:p>
    <w:p w14:paraId="39941626" w14:textId="77777777" w:rsidR="00CD08FE" w:rsidRDefault="00292D8B">
      <w:pPr>
        <w:pStyle w:val="BodyText"/>
        <w:spacing w:before="159" w:line="259" w:lineRule="auto"/>
        <w:ind w:right="234"/>
      </w:pPr>
      <w:r>
        <w:t>It is for the above reasons and also for the fact that as far as the law now stands, the respondent is</w:t>
      </w:r>
      <w:r>
        <w:rPr>
          <w:spacing w:val="1"/>
        </w:rPr>
        <w:t xml:space="preserve"> </w:t>
      </w:r>
      <w:r>
        <w:t>obliged to use the NEC code and not the National code. I believe the respondent has an unassaible</w:t>
      </w:r>
      <w:r>
        <w:rPr>
          <w:spacing w:val="1"/>
        </w:rPr>
        <w:t xml:space="preserve"> </w:t>
      </w:r>
      <w:r>
        <w:t>case on review. The applicant’s argument that there was procedural unfairness occasioned by the use</w:t>
      </w:r>
      <w:r>
        <w:rPr>
          <w:spacing w:val="-52"/>
        </w:rPr>
        <w:t xml:space="preserve"> </w:t>
      </w:r>
      <w:r>
        <w:t>of a wrong</w:t>
      </w:r>
      <w:r>
        <w:rPr>
          <w:spacing w:val="-3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holds,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 view, very</w:t>
      </w:r>
      <w:r>
        <w:rPr>
          <w:spacing w:val="-1"/>
        </w:rPr>
        <w:t xml:space="preserve"> </w:t>
      </w:r>
      <w:r>
        <w:t>good prospects of success.</w:t>
      </w:r>
    </w:p>
    <w:p w14:paraId="01229363" w14:textId="77777777" w:rsidR="00CD08FE" w:rsidRDefault="00292D8B">
      <w:pPr>
        <w:pStyle w:val="BodyText"/>
        <w:spacing w:before="161"/>
      </w:pP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delay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explanation thereof</w:t>
      </w:r>
    </w:p>
    <w:p w14:paraId="267CFFCE" w14:textId="77777777" w:rsidR="00CD08FE" w:rsidRDefault="00292D8B">
      <w:pPr>
        <w:pStyle w:val="BodyText"/>
        <w:spacing w:before="179" w:line="259" w:lineRule="auto"/>
        <w:ind w:right="129"/>
      </w:pPr>
      <w:r>
        <w:t>The delay is 8 months. Under the circumstances of this case, the delay is not inordinate. The applicant</w:t>
      </w:r>
      <w:r>
        <w:rPr>
          <w:spacing w:val="-52"/>
        </w:rPr>
        <w:t xml:space="preserve"> </w:t>
      </w:r>
      <w:r>
        <w:t>demonstrated a clear desire to prosecute his case and what was not merely sitting on his laurels doing</w:t>
      </w:r>
      <w:r>
        <w:rPr>
          <w:spacing w:val="1"/>
        </w:rPr>
        <w:t xml:space="preserve"> </w:t>
      </w:r>
      <w:r>
        <w:t>nothing. The applicant also struck me as one who exhibited a genuine desire to have the dispute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 respondent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himself adjudicated</w:t>
      </w:r>
      <w:r>
        <w:rPr>
          <w:spacing w:val="-1"/>
        </w:rPr>
        <w:t xml:space="preserve"> </w:t>
      </w:r>
      <w:r>
        <w:t>satisfactory.</w:t>
      </w:r>
    </w:p>
    <w:p w14:paraId="246E3637" w14:textId="77777777" w:rsidR="00CD08FE" w:rsidRDefault="00292D8B">
      <w:pPr>
        <w:pStyle w:val="BodyText"/>
        <w:spacing w:before="160" w:line="259" w:lineRule="auto"/>
        <w:ind w:right="141"/>
      </w:pPr>
      <w:r>
        <w:t>The explanation given is however not reasonable. A diligent practitioner ought to have re assessed his</w:t>
      </w:r>
      <w:r>
        <w:rPr>
          <w:spacing w:val="-52"/>
        </w:rPr>
        <w:t xml:space="preserve"> </w:t>
      </w:r>
      <w:r>
        <w:t>client’s position when its appeal before NEC was challenged on the basis that an appeal from a</w:t>
      </w:r>
      <w:r>
        <w:rPr>
          <w:spacing w:val="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 terms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National code</w:t>
      </w:r>
      <w:r>
        <w:rPr>
          <w:spacing w:val="-3"/>
        </w:rPr>
        <w:t xml:space="preserve"> </w:t>
      </w:r>
      <w:r>
        <w:t>is not appealable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 Employment</w:t>
      </w:r>
      <w:r>
        <w:rPr>
          <w:spacing w:val="1"/>
        </w:rPr>
        <w:t xml:space="preserve"> </w:t>
      </w:r>
      <w:r>
        <w:t>Council</w:t>
      </w:r>
    </w:p>
    <w:p w14:paraId="332299AF" w14:textId="77777777" w:rsidR="00CD08FE" w:rsidRDefault="00CD08FE">
      <w:pPr>
        <w:spacing w:line="259" w:lineRule="auto"/>
        <w:sectPr w:rsidR="00CD08FE">
          <w:pgSz w:w="11910" w:h="16840"/>
          <w:pgMar w:top="1340" w:right="1340" w:bottom="1180" w:left="1320" w:header="0" w:footer="992" w:gutter="0"/>
          <w:cols w:space="720"/>
        </w:sectPr>
      </w:pPr>
    </w:p>
    <w:p w14:paraId="516EAB86" w14:textId="77777777" w:rsidR="00CD08FE" w:rsidRDefault="00292D8B">
      <w:pPr>
        <w:spacing w:before="62" w:line="259" w:lineRule="auto"/>
        <w:ind w:left="120" w:right="781"/>
      </w:pPr>
      <w:r>
        <w:lastRenderedPageBreak/>
        <w:t xml:space="preserve">but to the Labour Court. This position of law was clarified in the </w:t>
      </w:r>
      <w:r>
        <w:rPr>
          <w:b/>
        </w:rPr>
        <w:t>Misheck Mabeza v Sandvik</w:t>
      </w:r>
      <w:r>
        <w:rPr>
          <w:b/>
          <w:spacing w:val="-52"/>
        </w:rPr>
        <w:t xml:space="preserve"> </w:t>
      </w:r>
      <w:r>
        <w:rPr>
          <w:b/>
        </w:rPr>
        <w:t>Mining</w:t>
      </w:r>
      <w:r>
        <w:rPr>
          <w:b/>
          <w:spacing w:val="-1"/>
        </w:rPr>
        <w:t xml:space="preserve"> </w:t>
      </w:r>
      <w:r>
        <w:rPr>
          <w:b/>
        </w:rPr>
        <w:t>and anor SC</w:t>
      </w:r>
      <w:r>
        <w:rPr>
          <w:b/>
          <w:spacing w:val="-1"/>
        </w:rPr>
        <w:t xml:space="preserve"> </w:t>
      </w:r>
      <w:r>
        <w:rPr>
          <w:b/>
        </w:rPr>
        <w:t xml:space="preserve">91/19 </w:t>
      </w:r>
      <w:r>
        <w:t>case and</w:t>
      </w:r>
      <w:r>
        <w:rPr>
          <w:spacing w:val="-3"/>
        </w:rPr>
        <w:t xml:space="preserve"> </w:t>
      </w:r>
      <w:r>
        <w:t>again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other cases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</w:p>
    <w:p w14:paraId="1DB706D1" w14:textId="77777777" w:rsidR="00CD08FE" w:rsidRDefault="00292D8B">
      <w:pPr>
        <w:pStyle w:val="Heading3"/>
        <w:spacing w:before="160"/>
      </w:pPr>
      <w:r>
        <w:t>Tafadzwam</w:t>
      </w:r>
      <w:r>
        <w:rPr>
          <w:spacing w:val="-1"/>
        </w:rPr>
        <w:t xml:space="preserve"> </w:t>
      </w:r>
      <w:r>
        <w:t>Sakarombe</w:t>
      </w:r>
      <w:r>
        <w:rPr>
          <w:spacing w:val="-5"/>
        </w:rPr>
        <w:t xml:space="preserve"> </w:t>
      </w:r>
      <w:r>
        <w:t>N.O.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anor v</w:t>
      </w:r>
      <w:r>
        <w:rPr>
          <w:spacing w:val="-1"/>
        </w:rPr>
        <w:t xml:space="preserve"> </w:t>
      </w:r>
      <w:r>
        <w:t>Montana</w:t>
      </w:r>
      <w:r>
        <w:rPr>
          <w:spacing w:val="-2"/>
        </w:rPr>
        <w:t xml:space="preserve"> </w:t>
      </w:r>
      <w:r>
        <w:t>Carswell</w:t>
      </w:r>
      <w:r>
        <w:rPr>
          <w:spacing w:val="1"/>
        </w:rPr>
        <w:t xml:space="preserve"> </w:t>
      </w:r>
      <w:r>
        <w:t>Meats</w:t>
      </w:r>
      <w:r>
        <w:rPr>
          <w:spacing w:val="-1"/>
        </w:rPr>
        <w:t xml:space="preserve"> </w:t>
      </w:r>
      <w:r>
        <w:t>(Private)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44/20.</w:t>
      </w:r>
    </w:p>
    <w:p w14:paraId="118D3487" w14:textId="77777777" w:rsidR="00CD08FE" w:rsidRDefault="00292D8B">
      <w:pPr>
        <w:pStyle w:val="BodyText"/>
        <w:spacing w:before="181" w:line="256" w:lineRule="auto"/>
        <w:ind w:right="178"/>
      </w:pPr>
      <w:r>
        <w:t>The authorities were clear, I must agree with the respondent’s argument in this regard. The reason for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simply</w:t>
      </w:r>
      <w:r>
        <w:rPr>
          <w:spacing w:val="-3"/>
        </w:rPr>
        <w:t xml:space="preserve"> </w:t>
      </w:r>
      <w:r>
        <w:t>tardiness on the 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practitioner.</w:t>
      </w:r>
    </w:p>
    <w:p w14:paraId="7124E626" w14:textId="77777777" w:rsidR="00CD08FE" w:rsidRDefault="00292D8B">
      <w:pPr>
        <w:spacing w:before="165"/>
        <w:ind w:left="120"/>
      </w:pPr>
      <w:r>
        <w:t>In</w:t>
      </w:r>
      <w:r>
        <w:rPr>
          <w:spacing w:val="-1"/>
        </w:rPr>
        <w:t xml:space="preserve"> </w:t>
      </w:r>
      <w:r>
        <w:t>the case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</w:rPr>
        <w:t>Malone</w:t>
      </w:r>
      <w:r>
        <w:rPr>
          <w:b/>
          <w:spacing w:val="-1"/>
        </w:rPr>
        <w:t xml:space="preserve"> </w:t>
      </w:r>
      <w:r>
        <w:rPr>
          <w:b/>
        </w:rPr>
        <w:t>v Santamn</w:t>
      </w:r>
      <w:r>
        <w:rPr>
          <w:b/>
          <w:spacing w:val="-4"/>
        </w:rPr>
        <w:t xml:space="preserve"> </w:t>
      </w:r>
      <w:r>
        <w:rPr>
          <w:b/>
        </w:rPr>
        <w:t>Insurance</w:t>
      </w:r>
      <w:r>
        <w:rPr>
          <w:b/>
          <w:spacing w:val="1"/>
        </w:rPr>
        <w:t xml:space="preserve"> </w:t>
      </w:r>
      <w:r>
        <w:rPr>
          <w:b/>
        </w:rPr>
        <w:t>Co.</w:t>
      </w:r>
      <w:r>
        <w:rPr>
          <w:b/>
          <w:spacing w:val="-1"/>
        </w:rPr>
        <w:t xml:space="preserve"> </w:t>
      </w:r>
      <w:r>
        <w:rPr>
          <w:b/>
        </w:rPr>
        <w:t>Ltd</w:t>
      </w:r>
      <w:r>
        <w:rPr>
          <w:b/>
          <w:spacing w:val="-3"/>
        </w:rPr>
        <w:t xml:space="preserve"> </w:t>
      </w:r>
      <w:r>
        <w:rPr>
          <w:b/>
        </w:rPr>
        <w:t>1962</w:t>
      </w:r>
      <w:r>
        <w:rPr>
          <w:b/>
          <w:spacing w:val="-1"/>
        </w:rPr>
        <w:t xml:space="preserve"> </w:t>
      </w:r>
      <w:r>
        <w:rPr>
          <w:b/>
        </w:rPr>
        <w:t>(4)</w:t>
      </w:r>
      <w:r>
        <w:rPr>
          <w:b/>
          <w:spacing w:val="1"/>
        </w:rPr>
        <w:t xml:space="preserve"> </w:t>
      </w:r>
      <w:r>
        <w:rPr>
          <w:b/>
        </w:rPr>
        <w:t>SA</w:t>
      </w:r>
      <w:r>
        <w:rPr>
          <w:b/>
          <w:spacing w:val="-3"/>
        </w:rPr>
        <w:t xml:space="preserve"> </w:t>
      </w:r>
      <w:r>
        <w:rPr>
          <w:b/>
        </w:rPr>
        <w:t>531</w:t>
      </w:r>
      <w:r>
        <w:rPr>
          <w:b/>
          <w:spacing w:val="-3"/>
        </w:rPr>
        <w:t xml:space="preserve"> </w:t>
      </w:r>
      <w:r>
        <w:rPr>
          <w:b/>
        </w:rPr>
        <w:t>(A)</w:t>
      </w:r>
      <w:r>
        <w:rPr>
          <w:b/>
          <w:spacing w:val="-3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that;</w:t>
      </w:r>
    </w:p>
    <w:p w14:paraId="2F9E281B" w14:textId="77777777" w:rsidR="00CD08FE" w:rsidRDefault="00292D8B">
      <w:pPr>
        <w:pStyle w:val="BodyText"/>
        <w:spacing w:before="179" w:line="259" w:lineRule="auto"/>
        <w:ind w:left="840" w:right="130"/>
      </w:pPr>
      <w:r>
        <w:t>“in dealing with whether sufficient cause has been shown, the basic principle is that the Court</w:t>
      </w:r>
      <w:r>
        <w:rPr>
          <w:spacing w:val="-52"/>
        </w:rPr>
        <w:t xml:space="preserve"> </w:t>
      </w:r>
      <w:r>
        <w:t>has discretion to be exercised judicially upon a consideration of all facts, and in essence it is a</w:t>
      </w:r>
      <w:r>
        <w:rPr>
          <w:spacing w:val="-52"/>
        </w:rPr>
        <w:t xml:space="preserve"> </w:t>
      </w:r>
      <w:r>
        <w:t>matter of fairness on both sides, among the facts usually relevant are the degree of lateness,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 prospects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case…”</w:t>
      </w:r>
    </w:p>
    <w:p w14:paraId="617567A7" w14:textId="77777777" w:rsidR="00CD08FE" w:rsidRDefault="00292D8B">
      <w:pPr>
        <w:pStyle w:val="BodyText"/>
        <w:spacing w:before="159" w:line="410" w:lineRule="auto"/>
        <w:ind w:right="2567"/>
      </w:pPr>
      <w:r>
        <w:t>The Court must reconsider all the facts including, balance of convenience;</w:t>
      </w:r>
      <w:r>
        <w:rPr>
          <w:spacing w:val="-52"/>
        </w:rPr>
        <w:t xml:space="preserve"> </w:t>
      </w:r>
      <w:r>
        <w:rPr>
          <w:u w:val="single"/>
        </w:rPr>
        <w:t>Balance</w:t>
      </w:r>
      <w:r>
        <w:rPr>
          <w:spacing w:val="-1"/>
          <w:u w:val="single"/>
        </w:rPr>
        <w:t xml:space="preserve"> </w:t>
      </w:r>
      <w:r>
        <w:rPr>
          <w:u w:val="single"/>
        </w:rPr>
        <w:t>of convenience</w:t>
      </w:r>
    </w:p>
    <w:p w14:paraId="70165552" w14:textId="77777777" w:rsidR="00CD08FE" w:rsidRDefault="00292D8B">
      <w:pPr>
        <w:pStyle w:val="BodyText"/>
        <w:spacing w:before="2" w:line="259" w:lineRule="auto"/>
        <w:ind w:right="104"/>
      </w:pPr>
      <w:r>
        <w:t>The Court has found that the delay under the circumstances was not inordinate but the reasons for the</w:t>
      </w:r>
      <w:r>
        <w:rPr>
          <w:spacing w:val="1"/>
        </w:rPr>
        <w:t xml:space="preserve"> </w:t>
      </w:r>
      <w:r>
        <w:t>delay is not satisfactory. The Court has also found that the applicant enjoys good prospects of success.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interests of</w:t>
      </w:r>
      <w:r>
        <w:rPr>
          <w:spacing w:val="-2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weigh</w:t>
      </w:r>
      <w:r>
        <w:rPr>
          <w:spacing w:val="2"/>
        </w:rPr>
        <w:t xml:space="preserve"> </w:t>
      </w:r>
      <w:r>
        <w:t>more in</w:t>
      </w:r>
      <w:r>
        <w:rPr>
          <w:spacing w:val="2"/>
        </w:rPr>
        <w:t xml:space="preserve"> </w:t>
      </w:r>
      <w:r>
        <w:t>favour of granting</w:t>
      </w:r>
      <w:r>
        <w:rPr>
          <w:spacing w:val="-4"/>
        </w:rPr>
        <w:t xml:space="preserve"> </w:t>
      </w:r>
      <w:r>
        <w:t>the application.</w:t>
      </w:r>
    </w:p>
    <w:p w14:paraId="23D41AF5" w14:textId="77777777" w:rsidR="00CD08FE" w:rsidRDefault="00292D8B">
      <w:pPr>
        <w:spacing w:before="160"/>
        <w:ind w:left="120"/>
      </w:pPr>
      <w:r>
        <w:t>Honourable</w:t>
      </w:r>
      <w:r>
        <w:rPr>
          <w:spacing w:val="-3"/>
        </w:rPr>
        <w:t xml:space="preserve"> </w:t>
      </w:r>
      <w:r>
        <w:rPr>
          <w:b/>
        </w:rPr>
        <w:t>Mafusire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Zimba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Mining</w:t>
      </w:r>
      <w:r>
        <w:rPr>
          <w:b/>
          <w:spacing w:val="1"/>
        </w:rPr>
        <w:t xml:space="preserve"> </w:t>
      </w:r>
      <w:r>
        <w:rPr>
          <w:b/>
        </w:rPr>
        <w:t>Commissioner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others</w:t>
      </w:r>
      <w:r>
        <w:rPr>
          <w:b/>
          <w:spacing w:val="-3"/>
        </w:rPr>
        <w:t xml:space="preserve"> </w:t>
      </w:r>
      <w:r>
        <w:rPr>
          <w:b/>
        </w:rPr>
        <w:t xml:space="preserve">HH 10/16 </w:t>
      </w:r>
      <w:r>
        <w:t>stated</w:t>
      </w:r>
      <w:r>
        <w:rPr>
          <w:spacing w:val="-3"/>
        </w:rPr>
        <w:t xml:space="preserve"> </w:t>
      </w:r>
      <w:r>
        <w:t>that;</w:t>
      </w:r>
    </w:p>
    <w:p w14:paraId="1B1AFFB3" w14:textId="77777777" w:rsidR="00CD08FE" w:rsidRDefault="00292D8B">
      <w:pPr>
        <w:pStyle w:val="BodyText"/>
        <w:spacing w:before="179" w:line="259" w:lineRule="auto"/>
        <w:ind w:left="840" w:right="454"/>
      </w:pPr>
      <w:r>
        <w:t>“although the reason proffered by the applicant for non-compliance namely ignorance and</w:t>
      </w:r>
      <w:r>
        <w:rPr>
          <w:spacing w:val="-52"/>
        </w:rPr>
        <w:t xml:space="preserve"> </w:t>
      </w:r>
      <w:r>
        <w:t>indigence and for ordinate delay, namely a period of one year and one month were not</w:t>
      </w:r>
      <w:r>
        <w:rPr>
          <w:spacing w:val="1"/>
        </w:rPr>
        <w:t xml:space="preserve"> </w:t>
      </w:r>
      <w:r>
        <w:t>satisfactory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nonetheless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condonation.</w:t>
      </w:r>
    </w:p>
    <w:p w14:paraId="75D02F92" w14:textId="77777777" w:rsidR="00CD08FE" w:rsidRDefault="00292D8B">
      <w:pPr>
        <w:spacing w:line="412" w:lineRule="auto"/>
        <w:ind w:left="120" w:right="1521" w:firstLine="719"/>
      </w:pPr>
      <w:r>
        <w:t>Furthermore, it seemed that the application for review had some merit.”</w:t>
      </w:r>
      <w:r>
        <w:rPr>
          <w:spacing w:val="1"/>
        </w:rPr>
        <w:t xml:space="preserve"> </w:t>
      </w:r>
      <w:r>
        <w:t>Again,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Mahachi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Barclays</w:t>
      </w:r>
      <w:r>
        <w:rPr>
          <w:b/>
          <w:spacing w:val="-3"/>
        </w:rPr>
        <w:t xml:space="preserve"> </w:t>
      </w:r>
      <w:r>
        <w:rPr>
          <w:b/>
        </w:rPr>
        <w:t>Bank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Zimbabwe</w:t>
      </w:r>
      <w:r>
        <w:rPr>
          <w:b/>
          <w:spacing w:val="-1"/>
        </w:rPr>
        <w:t xml:space="preserve"> </w:t>
      </w:r>
      <w:r>
        <w:rPr>
          <w:b/>
        </w:rPr>
        <w:t>SC</w:t>
      </w:r>
      <w:r>
        <w:rPr>
          <w:b/>
          <w:spacing w:val="-1"/>
        </w:rPr>
        <w:t xml:space="preserve"> </w:t>
      </w:r>
      <w:r>
        <w:rPr>
          <w:b/>
        </w:rPr>
        <w:t>6/06</w:t>
      </w:r>
      <w:r>
        <w:rPr>
          <w:b/>
          <w:spacing w:val="-3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that;</w:t>
      </w:r>
    </w:p>
    <w:p w14:paraId="4EBDE10F" w14:textId="77777777" w:rsidR="00CD08FE" w:rsidRDefault="00292D8B">
      <w:pPr>
        <w:pStyle w:val="BodyText"/>
        <w:spacing w:line="259" w:lineRule="auto"/>
        <w:ind w:left="840" w:right="167"/>
      </w:pPr>
      <w:r>
        <w:t>“it is settled that where no acceptable explanation for non-compliance with the rules has been</w:t>
      </w:r>
      <w:r>
        <w:rPr>
          <w:spacing w:val="-5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an applicant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 must at</w:t>
      </w:r>
      <w:r>
        <w:rPr>
          <w:spacing w:val="1"/>
        </w:rPr>
        <w:t xml:space="preserve"> </w:t>
      </w:r>
      <w:r>
        <w:t>least show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prospects of</w:t>
      </w:r>
      <w:r>
        <w:rPr>
          <w:spacing w:val="-2"/>
        </w:rPr>
        <w:t xml:space="preserve"> </w:t>
      </w:r>
      <w:r>
        <w:t>success”</w:t>
      </w:r>
    </w:p>
    <w:p w14:paraId="656FE160" w14:textId="77777777" w:rsidR="00CD08FE" w:rsidRDefault="00292D8B">
      <w:pPr>
        <w:spacing w:before="154" w:line="259" w:lineRule="auto"/>
        <w:ind w:left="120" w:right="982"/>
      </w:pPr>
      <w:r>
        <w:t xml:space="preserve">And again, in </w:t>
      </w:r>
      <w:r>
        <w:rPr>
          <w:b/>
        </w:rPr>
        <w:t>Anjin Investments (Private) Limited v The Minister of Mines and Mining</w:t>
      </w:r>
      <w:r>
        <w:rPr>
          <w:b/>
          <w:spacing w:val="-52"/>
        </w:rPr>
        <w:t xml:space="preserve"> </w:t>
      </w:r>
      <w:r>
        <w:rPr>
          <w:b/>
        </w:rPr>
        <w:t>Development and</w:t>
      </w:r>
      <w:r>
        <w:rPr>
          <w:b/>
          <w:spacing w:val="-1"/>
        </w:rPr>
        <w:t xml:space="preserve"> </w:t>
      </w:r>
      <w:r>
        <w:rPr>
          <w:b/>
        </w:rPr>
        <w:t>others</w:t>
      </w:r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-2"/>
        </w:rPr>
        <w:t xml:space="preserve"> </w:t>
      </w:r>
      <w:r>
        <w:rPr>
          <w:b/>
        </w:rPr>
        <w:t>39/20</w:t>
      </w:r>
      <w:r>
        <w:rPr>
          <w:b/>
          <w:spacing w:val="-2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stated that;</w:t>
      </w:r>
    </w:p>
    <w:p w14:paraId="1026136B" w14:textId="77777777" w:rsidR="00CD08FE" w:rsidRDefault="00292D8B">
      <w:pPr>
        <w:spacing w:before="159" w:line="259" w:lineRule="auto"/>
        <w:ind w:left="840" w:right="86"/>
      </w:pPr>
      <w:r>
        <w:t>“I accept there was tardiness on the part of the applicant as argued by Mr Uriri but the</w:t>
      </w:r>
      <w:r>
        <w:rPr>
          <w:spacing w:val="1"/>
        </w:rPr>
        <w:t xml:space="preserve"> </w:t>
      </w:r>
      <w:r>
        <w:t>prospects of success on appeal has titled the balance in favour of the applicant as observed by</w:t>
      </w:r>
      <w:r>
        <w:rPr>
          <w:spacing w:val="1"/>
        </w:rPr>
        <w:t xml:space="preserve"> </w:t>
      </w:r>
      <w:r>
        <w:t xml:space="preserve">Chidyausiku J’ (as then was) in the case of </w:t>
      </w:r>
      <w:r>
        <w:rPr>
          <w:b/>
        </w:rPr>
        <w:t>Lovemore Sango vs Chairman of Public Service</w:t>
      </w:r>
      <w:r>
        <w:rPr>
          <w:b/>
          <w:spacing w:val="-52"/>
        </w:rPr>
        <w:t xml:space="preserve"> </w:t>
      </w:r>
      <w:r>
        <w:rPr>
          <w:b/>
        </w:rPr>
        <w:t>Commission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anor</w:t>
      </w:r>
      <w:r>
        <w:rPr>
          <w:b/>
          <w:spacing w:val="-3"/>
        </w:rPr>
        <w:t xml:space="preserve"> </w:t>
      </w:r>
      <w:r>
        <w:rPr>
          <w:b/>
        </w:rPr>
        <w:t>HH 28/96</w:t>
      </w:r>
      <w:r>
        <w:rPr>
          <w:b/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 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cyclostyled judgement;</w:t>
      </w:r>
    </w:p>
    <w:p w14:paraId="1FC3A6CC" w14:textId="77777777" w:rsidR="00CD08FE" w:rsidRDefault="00292D8B">
      <w:pPr>
        <w:pStyle w:val="BodyText"/>
        <w:spacing w:before="160" w:line="259" w:lineRule="auto"/>
        <w:ind w:left="1560" w:right="797"/>
      </w:pPr>
      <w:r>
        <w:t>‘in deciding whether to condone the delay or not two factors are of paramount</w:t>
      </w:r>
      <w:r>
        <w:rPr>
          <w:spacing w:val="-52"/>
        </w:rPr>
        <w:t xml:space="preserve"> </w:t>
      </w:r>
      <w:r>
        <w:t>importance. Firstly. The period of the delay and the reasons for such a delay.</w:t>
      </w:r>
      <w:r>
        <w:rPr>
          <w:spacing w:val="1"/>
        </w:rPr>
        <w:t xml:space="preserve"> </w:t>
      </w:r>
      <w:r>
        <w:t>Secondly,</w:t>
      </w:r>
      <w:r>
        <w:rPr>
          <w:spacing w:val="-1"/>
        </w:rPr>
        <w:t xml:space="preserve"> </w:t>
      </w:r>
      <w:r>
        <w:t>the prospects of</w:t>
      </w:r>
      <w:r>
        <w:rPr>
          <w:spacing w:val="-2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merits.’”</w:t>
      </w:r>
    </w:p>
    <w:p w14:paraId="2FE2990E" w14:textId="77777777" w:rsidR="00CD08FE" w:rsidRDefault="00292D8B">
      <w:pPr>
        <w:pStyle w:val="BodyText"/>
        <w:spacing w:before="161" w:line="259" w:lineRule="auto"/>
        <w:ind w:right="141"/>
      </w:pPr>
      <w:r>
        <w:t>In casu, the balance has been tilted in favour of the Court granting this application because though the</w:t>
      </w:r>
      <w:r>
        <w:rPr>
          <w:spacing w:val="-52"/>
        </w:rPr>
        <w:t xml:space="preserve"> </w:t>
      </w:r>
      <w:r>
        <w:t>delay has not been satisfactorily explained, the tardiness of applicant being rather extreme the</w:t>
      </w:r>
      <w:r>
        <w:rPr>
          <w:spacing w:val="1"/>
        </w:rPr>
        <w:t xml:space="preserve"> </w:t>
      </w:r>
      <w:r>
        <w:t>applicant has managed to show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enjoys good</w:t>
      </w:r>
      <w:r>
        <w:rPr>
          <w:spacing w:val="-1"/>
        </w:rPr>
        <w:t xml:space="preserve"> </w:t>
      </w:r>
      <w:r>
        <w:t>prospects of success.</w:t>
      </w:r>
    </w:p>
    <w:p w14:paraId="231689BA" w14:textId="77777777" w:rsidR="00CD08FE" w:rsidRDefault="00292D8B">
      <w:pPr>
        <w:pStyle w:val="BodyText"/>
        <w:spacing w:before="159" w:line="259" w:lineRule="auto"/>
        <w:ind w:right="361"/>
      </w:pPr>
      <w:r>
        <w:t>Where the prospects of success are good, the interest of justice, fairness and equity demand that the</w:t>
      </w:r>
      <w:r>
        <w:rPr>
          <w:spacing w:val="-52"/>
        </w:rPr>
        <w:t xml:space="preserve"> </w:t>
      </w:r>
      <w:r>
        <w:t>applicant be condoned.</w:t>
      </w:r>
    </w:p>
    <w:p w14:paraId="32AE5DAB" w14:textId="77777777" w:rsidR="00CD08FE" w:rsidRDefault="00292D8B">
      <w:pPr>
        <w:pStyle w:val="BodyText"/>
        <w:spacing w:before="159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made:</w:t>
      </w:r>
    </w:p>
    <w:p w14:paraId="664C2C54" w14:textId="77777777" w:rsidR="00CD08FE" w:rsidRDefault="00292D8B">
      <w:pPr>
        <w:spacing w:before="182"/>
        <w:ind w:left="120"/>
        <w:rPr>
          <w:b/>
        </w:rPr>
      </w:pPr>
      <w:r>
        <w:rPr>
          <w:b/>
          <w:u w:val="thick"/>
        </w:rPr>
        <w:t>Order:</w:t>
      </w:r>
    </w:p>
    <w:p w14:paraId="134D9019" w14:textId="77777777" w:rsidR="00CD08FE" w:rsidRDefault="00292D8B">
      <w:pPr>
        <w:pStyle w:val="BodyText"/>
        <w:spacing w:before="179"/>
      </w:pP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 be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 hereby</w:t>
      </w:r>
      <w:r>
        <w:rPr>
          <w:spacing w:val="-2"/>
        </w:rPr>
        <w:t xml:space="preserve"> </w:t>
      </w:r>
      <w:r>
        <w:t>granted.</w:t>
      </w:r>
    </w:p>
    <w:p w14:paraId="219DD30B" w14:textId="77777777" w:rsidR="00CD08FE" w:rsidRDefault="00CD08FE">
      <w:pPr>
        <w:sectPr w:rsidR="00CD08FE">
          <w:pgSz w:w="11910" w:h="16840"/>
          <w:pgMar w:top="1360" w:right="1340" w:bottom="1180" w:left="1320" w:header="0" w:footer="992" w:gutter="0"/>
          <w:cols w:space="720"/>
        </w:sectPr>
      </w:pPr>
    </w:p>
    <w:p w14:paraId="3EB61D2B" w14:textId="73F0219B" w:rsidR="00CD08FE" w:rsidRDefault="00292D8B">
      <w:pPr>
        <w:pStyle w:val="BodyText"/>
        <w:spacing w:before="62" w:line="259" w:lineRule="auto"/>
        <w:ind w:right="2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B89E218" wp14:editId="69581A26">
                <wp:simplePos x="0" y="0"/>
                <wp:positionH relativeFrom="page">
                  <wp:posOffset>908050</wp:posOffset>
                </wp:positionH>
                <wp:positionV relativeFrom="paragraph">
                  <wp:posOffset>432435</wp:posOffset>
                </wp:positionV>
                <wp:extent cx="3694430" cy="1335405"/>
                <wp:effectExtent l="0" t="0" r="0" b="0"/>
                <wp:wrapTopAndBottom/>
                <wp:docPr id="50933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6434F" w14:textId="77777777" w:rsidR="00CD08FE" w:rsidRDefault="00292D8B">
                            <w:pPr>
                              <w:pStyle w:val="BodyText"/>
                              <w:spacing w:before="72"/>
                              <w:ind w:left="10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bears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cost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9E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5pt;margin-top:34.05pt;width:290.9pt;height:105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" filled="f" stroked="f">
                <v:textbox inset="0,0,0,0">
                  <w:txbxContent>
                    <w:p w14:paraId="7346434F" w14:textId="77777777" w:rsidR="00CD08FE" w:rsidRDefault="00292D8B">
                      <w:pPr>
                        <w:pStyle w:val="BodyText"/>
                        <w:spacing w:before="72"/>
                        <w:ind w:left="10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bears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cost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23B3AD01" wp14:editId="3F00C3A0">
            <wp:simplePos x="0" y="0"/>
            <wp:positionH relativeFrom="page">
              <wp:posOffset>908177</wp:posOffset>
            </wp:positionH>
            <wp:positionV relativeFrom="paragraph">
              <wp:posOffset>442080</wp:posOffset>
            </wp:positionV>
            <wp:extent cx="3694176" cy="13350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applicant be and is hereby ordered to file its application for review within ten days of the date of</w:t>
      </w:r>
      <w:r>
        <w:rPr>
          <w:spacing w:val="-52"/>
        </w:rPr>
        <w:t xml:space="preserve"> </w:t>
      </w:r>
      <w:r>
        <w:t>this order.</w:t>
      </w:r>
    </w:p>
    <w:sectPr w:rsidR="00CD08FE">
      <w:pgSz w:w="11910" w:h="16840"/>
      <w:pgMar w:top="1360" w:right="1340" w:bottom="1180" w:left="132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31B6" w14:textId="77777777" w:rsidR="00292D8B" w:rsidRDefault="00292D8B">
      <w:r>
        <w:separator/>
      </w:r>
    </w:p>
  </w:endnote>
  <w:endnote w:type="continuationSeparator" w:id="0">
    <w:p w14:paraId="2EB5088F" w14:textId="77777777" w:rsidR="00292D8B" w:rsidRDefault="0029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DE4D" w14:textId="3E27A5C8" w:rsidR="00CD08FE" w:rsidRDefault="00292D8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66A48B51" wp14:editId="047957BD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68975" cy="6350"/>
              <wp:effectExtent l="0" t="0" r="0" b="0"/>
              <wp:wrapNone/>
              <wp:docPr id="60091830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4A5B8" id="Rectangle 2" o:spid="_x0000_s1026" style="position:absolute;margin-left:70.6pt;margin-top:778.3pt;width:454.25pt;height:.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51819537" wp14:editId="4A067BB9">
              <wp:simplePos x="0" y="0"/>
              <wp:positionH relativeFrom="page">
                <wp:posOffset>876300</wp:posOffset>
              </wp:positionH>
              <wp:positionV relativeFrom="page">
                <wp:posOffset>9917430</wp:posOffset>
              </wp:positionV>
              <wp:extent cx="679450" cy="165735"/>
              <wp:effectExtent l="0" t="0" r="0" b="0"/>
              <wp:wrapNone/>
              <wp:docPr id="3313508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803D4" w14:textId="77777777" w:rsidR="00CD08FE" w:rsidRDefault="00292D8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195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780.9pt;width:53.5pt;height:13.0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" filled="f" stroked="f">
              <v:textbox inset="0,0,0,0">
                <w:txbxContent>
                  <w:p w14:paraId="6DC803D4" w14:textId="77777777" w:rsidR="00CD08FE" w:rsidRDefault="00292D8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5A30" w14:textId="77777777" w:rsidR="00292D8B" w:rsidRDefault="00292D8B">
      <w:r>
        <w:separator/>
      </w:r>
    </w:p>
  </w:footnote>
  <w:footnote w:type="continuationSeparator" w:id="0">
    <w:p w14:paraId="12F743E2" w14:textId="77777777" w:rsidR="00292D8B" w:rsidRDefault="0029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4289"/>
    <w:multiLevelType w:val="hybridMultilevel"/>
    <w:tmpl w:val="A5D8DB92"/>
    <w:lvl w:ilvl="0" w:tplc="EAA673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6C68B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AB78ADE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CDBC3C6C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709CA130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 w:tplc="30B4DF36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C0089D4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2A2E7996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F892C150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142961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FE"/>
    <w:rsid w:val="00292D8B"/>
    <w:rsid w:val="00C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779C5FB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2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  <w:pPr>
      <w:spacing w:before="19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2024-03-25T10:04:00Z</dcterms:created>
  <dcterms:modified xsi:type="dcterms:W3CDTF">2024-03-25T10:04:00Z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