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0017" w14:textId="77777777" w:rsidR="00D21C6D" w:rsidRDefault="00D21C6D" w:rsidP="0095707D">
      <w:pPr>
        <w:pStyle w:val="NoSpacing"/>
        <w:spacing w:line="360" w:lineRule="auto"/>
        <w:rPr>
          <w:rFonts w:ascii="Times New Roman" w:hAnsi="Times New Roman" w:cs="Times New Roman"/>
          <w:sz w:val="24"/>
          <w:szCs w:val="24"/>
        </w:rPr>
      </w:pPr>
    </w:p>
    <w:p w14:paraId="79FE95C6" w14:textId="2B95B087" w:rsidR="0086683D"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MATTHEW ROSENFELDT</w:t>
      </w:r>
    </w:p>
    <w:p w14:paraId="380F76E3" w14:textId="77777777" w:rsidR="0086683D"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 Versus </w:t>
      </w:r>
    </w:p>
    <w:p w14:paraId="4FF7F8DA" w14:textId="36C4D440" w:rsidR="0086683D"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THE BRACKENHILLS TRUST</w:t>
      </w:r>
    </w:p>
    <w:p w14:paraId="766F7602" w14:textId="77777777" w:rsidR="005E1AA6"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 And </w:t>
      </w:r>
    </w:p>
    <w:p w14:paraId="1F5E9C9C" w14:textId="3A84098F" w:rsidR="0086683D"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M. G. LONG </w:t>
      </w:r>
    </w:p>
    <w:p w14:paraId="37737ADD" w14:textId="77777777" w:rsidR="005E1AA6"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And </w:t>
      </w:r>
    </w:p>
    <w:p w14:paraId="31AE3710" w14:textId="2D0F1A5F" w:rsidR="0086683D"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G. N. MLOTSHWA </w:t>
      </w:r>
    </w:p>
    <w:p w14:paraId="1ED89939" w14:textId="77777777" w:rsidR="005E1AA6"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And </w:t>
      </w:r>
    </w:p>
    <w:p w14:paraId="5A90BFCE" w14:textId="643D4DA5" w:rsidR="0086683D"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T. MATEMAVI</w:t>
      </w:r>
    </w:p>
    <w:p w14:paraId="60AB67C1" w14:textId="77777777" w:rsidR="005E1AA6"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 And </w:t>
      </w:r>
    </w:p>
    <w:p w14:paraId="75B8D733" w14:textId="767AD0DB" w:rsidR="0086683D" w:rsidRPr="0070609A" w:rsidRDefault="0086683D" w:rsidP="0095707D">
      <w:pPr>
        <w:pStyle w:val="NoSpacing"/>
        <w:spacing w:line="360" w:lineRule="auto"/>
        <w:rPr>
          <w:rFonts w:ascii="Times New Roman" w:hAnsi="Times New Roman" w:cs="Times New Roman"/>
          <w:sz w:val="24"/>
          <w:szCs w:val="24"/>
        </w:rPr>
      </w:pPr>
      <w:r w:rsidRPr="0070609A">
        <w:rPr>
          <w:rFonts w:ascii="Times New Roman" w:hAnsi="Times New Roman" w:cs="Times New Roman"/>
          <w:sz w:val="24"/>
          <w:szCs w:val="24"/>
        </w:rPr>
        <w:t xml:space="preserve">H. MAHACHI </w:t>
      </w:r>
    </w:p>
    <w:p w14:paraId="21C14EA6" w14:textId="77777777" w:rsidR="0086683D" w:rsidRPr="0070609A" w:rsidRDefault="0086683D" w:rsidP="0070609A">
      <w:pPr>
        <w:spacing w:line="360" w:lineRule="auto"/>
        <w:jc w:val="both"/>
        <w:rPr>
          <w:rFonts w:ascii="Times New Roman" w:hAnsi="Times New Roman" w:cs="Times New Roman"/>
          <w:sz w:val="24"/>
          <w:szCs w:val="24"/>
        </w:rPr>
      </w:pPr>
    </w:p>
    <w:p w14:paraId="4F2442F5" w14:textId="3F5B0450" w:rsidR="0086683D" w:rsidRPr="0070609A" w:rsidRDefault="0086683D" w:rsidP="0070609A">
      <w:pPr>
        <w:pStyle w:val="NoSpacing"/>
        <w:rPr>
          <w:rFonts w:ascii="Times New Roman" w:hAnsi="Times New Roman" w:cs="Times New Roman"/>
          <w:sz w:val="24"/>
          <w:szCs w:val="24"/>
        </w:rPr>
      </w:pPr>
      <w:r w:rsidRPr="0070609A">
        <w:rPr>
          <w:rFonts w:ascii="Times New Roman" w:hAnsi="Times New Roman" w:cs="Times New Roman"/>
          <w:sz w:val="24"/>
          <w:szCs w:val="24"/>
        </w:rPr>
        <w:t xml:space="preserve">HIGH COURT OF ZIMBABWE </w:t>
      </w:r>
    </w:p>
    <w:p w14:paraId="4BBEF685" w14:textId="77777777" w:rsidR="005E1AA6" w:rsidRPr="0070609A" w:rsidRDefault="0086683D" w:rsidP="0070609A">
      <w:pPr>
        <w:pStyle w:val="NoSpacing"/>
        <w:rPr>
          <w:rFonts w:ascii="Times New Roman" w:hAnsi="Times New Roman" w:cs="Times New Roman"/>
          <w:sz w:val="24"/>
          <w:szCs w:val="24"/>
        </w:rPr>
      </w:pPr>
      <w:r w:rsidRPr="0070609A">
        <w:rPr>
          <w:rFonts w:ascii="Times New Roman" w:hAnsi="Times New Roman" w:cs="Times New Roman"/>
          <w:sz w:val="24"/>
          <w:szCs w:val="24"/>
        </w:rPr>
        <w:t xml:space="preserve">CHILIMBE J </w:t>
      </w:r>
    </w:p>
    <w:p w14:paraId="5858E67B" w14:textId="6684EBA4" w:rsidR="0086683D" w:rsidRPr="0070609A" w:rsidRDefault="0086683D" w:rsidP="0070609A">
      <w:pPr>
        <w:pStyle w:val="NoSpacing"/>
        <w:rPr>
          <w:rFonts w:ascii="Times New Roman" w:hAnsi="Times New Roman" w:cs="Times New Roman"/>
          <w:sz w:val="24"/>
          <w:szCs w:val="24"/>
        </w:rPr>
      </w:pPr>
      <w:r w:rsidRPr="00C0311E">
        <w:rPr>
          <w:rFonts w:ascii="Times New Roman" w:hAnsi="Times New Roman" w:cs="Times New Roman"/>
          <w:sz w:val="24"/>
          <w:szCs w:val="24"/>
        </w:rPr>
        <w:t xml:space="preserve">HARARE </w:t>
      </w:r>
      <w:r w:rsidR="00BA72C4">
        <w:rPr>
          <w:rFonts w:ascii="Times New Roman" w:hAnsi="Times New Roman" w:cs="Times New Roman"/>
          <w:sz w:val="24"/>
          <w:szCs w:val="24"/>
        </w:rPr>
        <w:t>7</w:t>
      </w:r>
      <w:r w:rsidR="00C0311E" w:rsidRPr="00C0311E">
        <w:rPr>
          <w:rFonts w:ascii="Times New Roman" w:hAnsi="Times New Roman" w:cs="Times New Roman"/>
          <w:sz w:val="24"/>
          <w:szCs w:val="24"/>
        </w:rPr>
        <w:t xml:space="preserve"> November </w:t>
      </w:r>
      <w:r w:rsidRPr="00C0311E">
        <w:rPr>
          <w:rFonts w:ascii="Times New Roman" w:hAnsi="Times New Roman" w:cs="Times New Roman"/>
          <w:sz w:val="24"/>
          <w:szCs w:val="24"/>
        </w:rPr>
        <w:t xml:space="preserve">2023 </w:t>
      </w:r>
      <w:r w:rsidR="00C0311E" w:rsidRPr="00C0311E">
        <w:rPr>
          <w:rFonts w:ascii="Times New Roman" w:hAnsi="Times New Roman" w:cs="Times New Roman"/>
          <w:sz w:val="24"/>
          <w:szCs w:val="24"/>
        </w:rPr>
        <w:t xml:space="preserve">&amp; </w:t>
      </w:r>
      <w:r w:rsidR="002C1ECB">
        <w:rPr>
          <w:rFonts w:ascii="Times New Roman" w:hAnsi="Times New Roman" w:cs="Times New Roman"/>
          <w:sz w:val="24"/>
          <w:szCs w:val="24"/>
        </w:rPr>
        <w:t>6</w:t>
      </w:r>
      <w:r w:rsidR="00C0311E" w:rsidRPr="00C0311E">
        <w:rPr>
          <w:rFonts w:ascii="Times New Roman" w:hAnsi="Times New Roman" w:cs="Times New Roman"/>
          <w:sz w:val="24"/>
          <w:szCs w:val="24"/>
        </w:rPr>
        <w:t xml:space="preserve"> November 2024</w:t>
      </w:r>
    </w:p>
    <w:p w14:paraId="29ECE7A1" w14:textId="77777777" w:rsidR="005E1AA6" w:rsidRPr="0070609A" w:rsidRDefault="005E1AA6" w:rsidP="0070609A">
      <w:pPr>
        <w:pStyle w:val="NoSpacing"/>
        <w:spacing w:line="360" w:lineRule="auto"/>
        <w:jc w:val="both"/>
        <w:rPr>
          <w:rFonts w:ascii="Times New Roman" w:hAnsi="Times New Roman" w:cs="Times New Roman"/>
          <w:sz w:val="24"/>
          <w:szCs w:val="24"/>
        </w:rPr>
      </w:pPr>
    </w:p>
    <w:p w14:paraId="53F34A49" w14:textId="56830FE7" w:rsidR="005E1AA6" w:rsidRPr="0070609A" w:rsidRDefault="0086683D" w:rsidP="0070609A">
      <w:pPr>
        <w:spacing w:line="360" w:lineRule="auto"/>
        <w:jc w:val="both"/>
        <w:rPr>
          <w:rFonts w:ascii="Times New Roman" w:hAnsi="Times New Roman" w:cs="Times New Roman"/>
          <w:sz w:val="24"/>
          <w:szCs w:val="24"/>
        </w:rPr>
      </w:pPr>
      <w:r w:rsidRPr="0070609A">
        <w:rPr>
          <w:rFonts w:ascii="Times New Roman" w:hAnsi="Times New Roman" w:cs="Times New Roman"/>
          <w:b/>
          <w:bCs/>
          <w:sz w:val="24"/>
          <w:szCs w:val="24"/>
        </w:rPr>
        <w:t xml:space="preserve">Opposed application </w:t>
      </w:r>
      <w:r w:rsidR="0029744F">
        <w:rPr>
          <w:rFonts w:ascii="Times New Roman" w:hAnsi="Times New Roman" w:cs="Times New Roman"/>
          <w:b/>
          <w:bCs/>
          <w:sz w:val="24"/>
          <w:szCs w:val="24"/>
        </w:rPr>
        <w:t>for a declaratur</w:t>
      </w:r>
    </w:p>
    <w:p w14:paraId="7299C25A" w14:textId="780431B1" w:rsidR="0086683D" w:rsidRPr="0070609A" w:rsidRDefault="0086683D" w:rsidP="0070609A">
      <w:pPr>
        <w:pStyle w:val="NoSpacing"/>
        <w:rPr>
          <w:rFonts w:ascii="Times New Roman" w:hAnsi="Times New Roman" w:cs="Times New Roman"/>
          <w:sz w:val="24"/>
          <w:szCs w:val="24"/>
        </w:rPr>
      </w:pPr>
      <w:r w:rsidRPr="0070609A">
        <w:rPr>
          <w:rFonts w:ascii="Times New Roman" w:hAnsi="Times New Roman" w:cs="Times New Roman"/>
          <w:i/>
          <w:iCs/>
          <w:sz w:val="24"/>
          <w:szCs w:val="24"/>
        </w:rPr>
        <w:t>T. Mpofu</w:t>
      </w:r>
      <w:r w:rsidRPr="0070609A">
        <w:rPr>
          <w:rFonts w:ascii="Times New Roman" w:hAnsi="Times New Roman" w:cs="Times New Roman"/>
          <w:sz w:val="24"/>
          <w:szCs w:val="24"/>
        </w:rPr>
        <w:t xml:space="preserve"> with </w:t>
      </w:r>
      <w:r w:rsidRPr="0070609A">
        <w:rPr>
          <w:rFonts w:ascii="Times New Roman" w:hAnsi="Times New Roman" w:cs="Times New Roman"/>
          <w:i/>
          <w:iCs/>
          <w:sz w:val="24"/>
          <w:szCs w:val="24"/>
        </w:rPr>
        <w:t>I. Chagonda</w:t>
      </w:r>
      <w:r w:rsidRPr="0070609A">
        <w:rPr>
          <w:rFonts w:ascii="Times New Roman" w:hAnsi="Times New Roman" w:cs="Times New Roman"/>
          <w:sz w:val="24"/>
          <w:szCs w:val="24"/>
        </w:rPr>
        <w:t xml:space="preserve"> for applicant </w:t>
      </w:r>
    </w:p>
    <w:p w14:paraId="1D7BACD9" w14:textId="073848EA" w:rsidR="005E1AA6" w:rsidRPr="0070609A" w:rsidRDefault="0086683D" w:rsidP="0070609A">
      <w:pPr>
        <w:pStyle w:val="NoSpacing"/>
        <w:rPr>
          <w:rFonts w:ascii="Times New Roman" w:hAnsi="Times New Roman" w:cs="Times New Roman"/>
          <w:sz w:val="24"/>
          <w:szCs w:val="24"/>
        </w:rPr>
      </w:pPr>
      <w:r w:rsidRPr="0070609A">
        <w:rPr>
          <w:rFonts w:ascii="Times New Roman" w:hAnsi="Times New Roman" w:cs="Times New Roman"/>
          <w:i/>
          <w:iCs/>
          <w:sz w:val="24"/>
          <w:szCs w:val="24"/>
        </w:rPr>
        <w:t>K. Kachambwa</w:t>
      </w:r>
      <w:r w:rsidRPr="0070609A">
        <w:rPr>
          <w:rFonts w:ascii="Times New Roman" w:hAnsi="Times New Roman" w:cs="Times New Roman"/>
          <w:sz w:val="24"/>
          <w:szCs w:val="24"/>
        </w:rPr>
        <w:t xml:space="preserve"> with </w:t>
      </w:r>
      <w:r w:rsidRPr="0070609A">
        <w:rPr>
          <w:rFonts w:ascii="Times New Roman" w:hAnsi="Times New Roman" w:cs="Times New Roman"/>
          <w:i/>
          <w:iCs/>
          <w:sz w:val="24"/>
          <w:szCs w:val="24"/>
        </w:rPr>
        <w:t>S. Noormohammed</w:t>
      </w:r>
      <w:r w:rsidRPr="0070609A">
        <w:rPr>
          <w:rFonts w:ascii="Times New Roman" w:hAnsi="Times New Roman" w:cs="Times New Roman"/>
          <w:sz w:val="24"/>
          <w:szCs w:val="24"/>
        </w:rPr>
        <w:t xml:space="preserve"> for the respondents </w:t>
      </w:r>
    </w:p>
    <w:p w14:paraId="3331557F" w14:textId="77777777" w:rsidR="005E1AA6" w:rsidRPr="0070609A" w:rsidRDefault="005E1AA6" w:rsidP="0070609A">
      <w:pPr>
        <w:spacing w:line="360" w:lineRule="auto"/>
        <w:jc w:val="both"/>
        <w:rPr>
          <w:rFonts w:ascii="Times New Roman" w:hAnsi="Times New Roman" w:cs="Times New Roman"/>
          <w:sz w:val="24"/>
          <w:szCs w:val="24"/>
        </w:rPr>
      </w:pPr>
    </w:p>
    <w:p w14:paraId="7ABDC2EB" w14:textId="06A9A6D8" w:rsidR="005E1AA6" w:rsidRPr="0095707D" w:rsidRDefault="0086683D"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CHILIMBE J</w:t>
      </w:r>
    </w:p>
    <w:p w14:paraId="635967F0" w14:textId="6D196E29" w:rsidR="005E1AA6" w:rsidRPr="0095707D" w:rsidRDefault="002C1ECB"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INTRODUCTION</w:t>
      </w:r>
    </w:p>
    <w:p w14:paraId="01BD1BB9" w14:textId="20AB84F8" w:rsidR="00BA72C4" w:rsidRDefault="005E1AA6" w:rsidP="0070609A">
      <w:pPr>
        <w:spacing w:line="360" w:lineRule="auto"/>
        <w:jc w:val="both"/>
        <w:rPr>
          <w:rFonts w:ascii="Times New Roman" w:hAnsi="Times New Roman" w:cs="Times New Roman"/>
          <w:sz w:val="24"/>
          <w:szCs w:val="24"/>
        </w:rPr>
      </w:pPr>
      <w:r w:rsidRPr="0070609A">
        <w:rPr>
          <w:rFonts w:ascii="Times New Roman" w:hAnsi="Times New Roman" w:cs="Times New Roman"/>
          <w:sz w:val="24"/>
          <w:szCs w:val="24"/>
        </w:rPr>
        <w:t xml:space="preserve">[1] </w:t>
      </w:r>
      <w:r w:rsidR="0029744F">
        <w:rPr>
          <w:rFonts w:ascii="Times New Roman" w:hAnsi="Times New Roman" w:cs="Times New Roman"/>
          <w:sz w:val="24"/>
          <w:szCs w:val="24"/>
        </w:rPr>
        <w:t xml:space="preserve">This matter took unduly long to conclude. It was </w:t>
      </w:r>
      <w:r w:rsidR="00BA72C4">
        <w:rPr>
          <w:rFonts w:ascii="Times New Roman" w:hAnsi="Times New Roman" w:cs="Times New Roman"/>
          <w:sz w:val="24"/>
          <w:szCs w:val="24"/>
        </w:rPr>
        <w:t xml:space="preserve">initially </w:t>
      </w:r>
      <w:r w:rsidR="0095707D">
        <w:rPr>
          <w:rFonts w:ascii="Times New Roman" w:hAnsi="Times New Roman" w:cs="Times New Roman"/>
          <w:sz w:val="24"/>
          <w:szCs w:val="24"/>
        </w:rPr>
        <w:t xml:space="preserve">intercepted </w:t>
      </w:r>
      <w:r w:rsidR="00BA72C4">
        <w:rPr>
          <w:rFonts w:ascii="Times New Roman" w:hAnsi="Times New Roman" w:cs="Times New Roman"/>
          <w:sz w:val="24"/>
          <w:szCs w:val="24"/>
        </w:rPr>
        <w:t xml:space="preserve">by a robustly contested point </w:t>
      </w:r>
      <w:r w:rsidR="00BA72C4" w:rsidRPr="002C1ECB">
        <w:rPr>
          <w:rFonts w:ascii="Times New Roman" w:hAnsi="Times New Roman" w:cs="Times New Roman"/>
          <w:i/>
          <w:iCs/>
          <w:sz w:val="24"/>
          <w:szCs w:val="24"/>
        </w:rPr>
        <w:t>in limine</w:t>
      </w:r>
      <w:r w:rsidR="00BA72C4">
        <w:rPr>
          <w:rFonts w:ascii="Times New Roman" w:hAnsi="Times New Roman" w:cs="Times New Roman"/>
          <w:sz w:val="24"/>
          <w:szCs w:val="24"/>
        </w:rPr>
        <w:t xml:space="preserve"> </w:t>
      </w:r>
      <w:r w:rsidR="004A0EA4">
        <w:rPr>
          <w:rFonts w:ascii="Times New Roman" w:hAnsi="Times New Roman" w:cs="Times New Roman"/>
          <w:sz w:val="24"/>
          <w:szCs w:val="24"/>
        </w:rPr>
        <w:t>challeng</w:t>
      </w:r>
      <w:r w:rsidR="008939B9">
        <w:rPr>
          <w:rFonts w:ascii="Times New Roman" w:hAnsi="Times New Roman" w:cs="Times New Roman"/>
          <w:sz w:val="24"/>
          <w:szCs w:val="24"/>
        </w:rPr>
        <w:t xml:space="preserve">ing </w:t>
      </w:r>
      <w:r w:rsidR="004A0EA4">
        <w:rPr>
          <w:rFonts w:ascii="Times New Roman" w:hAnsi="Times New Roman" w:cs="Times New Roman"/>
          <w:sz w:val="24"/>
          <w:szCs w:val="24"/>
        </w:rPr>
        <w:t xml:space="preserve">the court`s </w:t>
      </w:r>
      <w:r w:rsidR="002C1ECB">
        <w:rPr>
          <w:rFonts w:ascii="Times New Roman" w:hAnsi="Times New Roman" w:cs="Times New Roman"/>
          <w:sz w:val="24"/>
          <w:szCs w:val="24"/>
        </w:rPr>
        <w:t xml:space="preserve">exercise of </w:t>
      </w:r>
      <w:r w:rsidR="00BA72C4">
        <w:rPr>
          <w:rFonts w:ascii="Times New Roman" w:hAnsi="Times New Roman" w:cs="Times New Roman"/>
          <w:sz w:val="24"/>
          <w:szCs w:val="24"/>
        </w:rPr>
        <w:t xml:space="preserve">jurisdiction. The </w:t>
      </w:r>
      <w:r w:rsidR="00D94B08">
        <w:rPr>
          <w:rFonts w:ascii="Times New Roman" w:hAnsi="Times New Roman" w:cs="Times New Roman"/>
          <w:sz w:val="24"/>
          <w:szCs w:val="24"/>
        </w:rPr>
        <w:t xml:space="preserve">ensuing </w:t>
      </w:r>
      <w:r w:rsidR="002C1ECB">
        <w:rPr>
          <w:rFonts w:ascii="Times New Roman" w:hAnsi="Times New Roman" w:cs="Times New Roman"/>
          <w:sz w:val="24"/>
          <w:szCs w:val="24"/>
        </w:rPr>
        <w:t xml:space="preserve">interlocutory arguments </w:t>
      </w:r>
      <w:r w:rsidR="00BA72C4">
        <w:rPr>
          <w:rFonts w:ascii="Times New Roman" w:hAnsi="Times New Roman" w:cs="Times New Roman"/>
          <w:sz w:val="24"/>
          <w:szCs w:val="24"/>
        </w:rPr>
        <w:t xml:space="preserve">resulted in the decision of </w:t>
      </w:r>
      <w:r w:rsidR="00BA72C4" w:rsidRPr="00BA72C4">
        <w:rPr>
          <w:rFonts w:ascii="Times New Roman" w:hAnsi="Times New Roman" w:cs="Times New Roman"/>
          <w:i/>
          <w:iCs/>
          <w:sz w:val="24"/>
          <w:szCs w:val="24"/>
        </w:rPr>
        <w:t>Matthew Rosenfeldt v The Brackenhill Trust &amp; 4 Ors</w:t>
      </w:r>
      <w:r w:rsidR="00BA72C4">
        <w:rPr>
          <w:rFonts w:ascii="Times New Roman" w:hAnsi="Times New Roman" w:cs="Times New Roman"/>
          <w:sz w:val="24"/>
          <w:szCs w:val="24"/>
        </w:rPr>
        <w:t xml:space="preserve"> HH 348-</w:t>
      </w:r>
      <w:r w:rsidR="008939B9">
        <w:rPr>
          <w:rFonts w:ascii="Times New Roman" w:hAnsi="Times New Roman" w:cs="Times New Roman"/>
          <w:sz w:val="24"/>
          <w:szCs w:val="24"/>
        </w:rPr>
        <w:t xml:space="preserve">23. </w:t>
      </w:r>
      <w:r w:rsidR="0095707D">
        <w:rPr>
          <w:rFonts w:ascii="Times New Roman" w:hAnsi="Times New Roman" w:cs="Times New Roman"/>
          <w:sz w:val="24"/>
          <w:szCs w:val="24"/>
        </w:rPr>
        <w:t>Th</w:t>
      </w:r>
      <w:r w:rsidR="00AC0248">
        <w:rPr>
          <w:rFonts w:ascii="Times New Roman" w:hAnsi="Times New Roman" w:cs="Times New Roman"/>
          <w:sz w:val="24"/>
          <w:szCs w:val="24"/>
        </w:rPr>
        <w:t>at</w:t>
      </w:r>
      <w:r w:rsidR="0095707D">
        <w:rPr>
          <w:rFonts w:ascii="Times New Roman" w:hAnsi="Times New Roman" w:cs="Times New Roman"/>
          <w:sz w:val="24"/>
          <w:szCs w:val="24"/>
        </w:rPr>
        <w:t xml:space="preserve"> matter dealt </w:t>
      </w:r>
      <w:r w:rsidR="008939B9">
        <w:rPr>
          <w:rFonts w:ascii="Times New Roman" w:hAnsi="Times New Roman" w:cs="Times New Roman"/>
          <w:sz w:val="24"/>
          <w:szCs w:val="24"/>
        </w:rPr>
        <w:t xml:space="preserve">extensively </w:t>
      </w:r>
      <w:r w:rsidR="00BA72C4">
        <w:rPr>
          <w:rFonts w:ascii="Times New Roman" w:hAnsi="Times New Roman" w:cs="Times New Roman"/>
          <w:sz w:val="24"/>
          <w:szCs w:val="24"/>
        </w:rPr>
        <w:t xml:space="preserve">with the </w:t>
      </w:r>
      <w:r w:rsidR="0095707D">
        <w:rPr>
          <w:rFonts w:ascii="Times New Roman" w:hAnsi="Times New Roman" w:cs="Times New Roman"/>
          <w:sz w:val="24"/>
          <w:szCs w:val="24"/>
        </w:rPr>
        <w:t xml:space="preserve">issue of </w:t>
      </w:r>
      <w:r w:rsidR="00BA72C4">
        <w:rPr>
          <w:rFonts w:ascii="Times New Roman" w:hAnsi="Times New Roman" w:cs="Times New Roman"/>
          <w:sz w:val="24"/>
          <w:szCs w:val="24"/>
        </w:rPr>
        <w:t xml:space="preserve">definition of a commercial dispute. </w:t>
      </w:r>
    </w:p>
    <w:p w14:paraId="233045CF" w14:textId="5EB871EC" w:rsidR="00BA72C4" w:rsidRDefault="00BA72C4"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success of the point </w:t>
      </w:r>
      <w:r w:rsidRPr="00BA72C4">
        <w:rPr>
          <w:rFonts w:ascii="Times New Roman" w:hAnsi="Times New Roman" w:cs="Times New Roman"/>
          <w:i/>
          <w:iCs/>
          <w:sz w:val="24"/>
          <w:szCs w:val="24"/>
        </w:rPr>
        <w:t>in limine</w:t>
      </w:r>
      <w:r>
        <w:rPr>
          <w:rFonts w:ascii="Times New Roman" w:hAnsi="Times New Roman" w:cs="Times New Roman"/>
          <w:sz w:val="24"/>
          <w:szCs w:val="24"/>
        </w:rPr>
        <w:t xml:space="preserve"> saw the court adjourning to hear this matter exceptionally </w:t>
      </w:r>
      <w:r w:rsidRPr="00BA72C4">
        <w:rPr>
          <w:rFonts w:ascii="Times New Roman" w:hAnsi="Times New Roman" w:cs="Times New Roman"/>
          <w:i/>
          <w:iCs/>
          <w:sz w:val="24"/>
          <w:szCs w:val="24"/>
        </w:rPr>
        <w:t>ex</w:t>
      </w:r>
      <w:r>
        <w:rPr>
          <w:rFonts w:ascii="Times New Roman" w:hAnsi="Times New Roman" w:cs="Times New Roman"/>
          <w:sz w:val="24"/>
          <w:szCs w:val="24"/>
        </w:rPr>
        <w:t xml:space="preserve"> Division. A further spirited </w:t>
      </w:r>
      <w:r w:rsidR="002C1ECB">
        <w:rPr>
          <w:rFonts w:ascii="Times New Roman" w:hAnsi="Times New Roman" w:cs="Times New Roman"/>
          <w:sz w:val="24"/>
          <w:szCs w:val="24"/>
        </w:rPr>
        <w:t xml:space="preserve">disputation </w:t>
      </w:r>
      <w:r>
        <w:rPr>
          <w:rFonts w:ascii="Times New Roman" w:hAnsi="Times New Roman" w:cs="Times New Roman"/>
          <w:sz w:val="24"/>
          <w:szCs w:val="24"/>
        </w:rPr>
        <w:t xml:space="preserve">on the merits </w:t>
      </w:r>
      <w:r w:rsidR="002C1ECB">
        <w:rPr>
          <w:rFonts w:ascii="Times New Roman" w:hAnsi="Times New Roman" w:cs="Times New Roman"/>
          <w:sz w:val="24"/>
          <w:szCs w:val="24"/>
        </w:rPr>
        <w:t xml:space="preserve">then </w:t>
      </w:r>
      <w:r w:rsidR="00D94B08">
        <w:rPr>
          <w:rFonts w:ascii="Times New Roman" w:hAnsi="Times New Roman" w:cs="Times New Roman"/>
          <w:sz w:val="24"/>
          <w:szCs w:val="24"/>
        </w:rPr>
        <w:t>followed leading to this present judgment</w:t>
      </w:r>
      <w:r>
        <w:rPr>
          <w:rFonts w:ascii="Times New Roman" w:hAnsi="Times New Roman" w:cs="Times New Roman"/>
          <w:sz w:val="24"/>
          <w:szCs w:val="24"/>
        </w:rPr>
        <w:t xml:space="preserve">. That background notwithstanding, an apology is extended to the parties for the delay </w:t>
      </w:r>
      <w:r w:rsidR="004A0EA4">
        <w:rPr>
          <w:rFonts w:ascii="Times New Roman" w:hAnsi="Times New Roman" w:cs="Times New Roman"/>
          <w:sz w:val="24"/>
          <w:szCs w:val="24"/>
        </w:rPr>
        <w:t>experienced</w:t>
      </w:r>
      <w:r>
        <w:rPr>
          <w:rFonts w:ascii="Times New Roman" w:hAnsi="Times New Roman" w:cs="Times New Roman"/>
          <w:sz w:val="24"/>
          <w:szCs w:val="24"/>
        </w:rPr>
        <w:t>.</w:t>
      </w:r>
    </w:p>
    <w:p w14:paraId="492C25C7" w14:textId="2716AEFB" w:rsidR="002C1ECB" w:rsidRPr="0095707D" w:rsidRDefault="002C1ECB"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THE DISPUTE</w:t>
      </w:r>
    </w:p>
    <w:p w14:paraId="08FE5123" w14:textId="247140F0" w:rsidR="00847715" w:rsidRDefault="002C1ECB"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E039D6" w:rsidRPr="0070609A">
        <w:rPr>
          <w:rFonts w:ascii="Times New Roman" w:hAnsi="Times New Roman" w:cs="Times New Roman"/>
          <w:sz w:val="24"/>
          <w:szCs w:val="24"/>
        </w:rPr>
        <w:t>Applicant seeks a declaratory order pronouncing him a beneficiary of first respondent</w:t>
      </w:r>
      <w:r w:rsidR="007B068D">
        <w:rPr>
          <w:rFonts w:ascii="Times New Roman" w:hAnsi="Times New Roman" w:cs="Times New Roman"/>
          <w:sz w:val="24"/>
          <w:szCs w:val="24"/>
        </w:rPr>
        <w:t>,</w:t>
      </w:r>
      <w:r w:rsidR="00E039D6" w:rsidRPr="0070609A">
        <w:rPr>
          <w:rFonts w:ascii="Times New Roman" w:hAnsi="Times New Roman" w:cs="Times New Roman"/>
          <w:sz w:val="24"/>
          <w:szCs w:val="24"/>
        </w:rPr>
        <w:t xml:space="preserve"> </w:t>
      </w:r>
      <w:r w:rsidR="007B068D">
        <w:rPr>
          <w:rFonts w:ascii="Times New Roman" w:hAnsi="Times New Roman" w:cs="Times New Roman"/>
          <w:sz w:val="24"/>
          <w:szCs w:val="24"/>
        </w:rPr>
        <w:t xml:space="preserve">a trust established at the instance of </w:t>
      </w:r>
      <w:r w:rsidR="00E039D6" w:rsidRPr="0070609A">
        <w:rPr>
          <w:rFonts w:ascii="Times New Roman" w:hAnsi="Times New Roman" w:cs="Times New Roman"/>
          <w:sz w:val="24"/>
          <w:szCs w:val="24"/>
        </w:rPr>
        <w:t xml:space="preserve">his late natural father, Mr. John Arnold Bredenkamp. </w:t>
      </w:r>
      <w:r w:rsidR="00B55E97">
        <w:rPr>
          <w:rFonts w:ascii="Times New Roman" w:hAnsi="Times New Roman" w:cs="Times New Roman"/>
          <w:sz w:val="24"/>
          <w:szCs w:val="24"/>
        </w:rPr>
        <w:t>Applicant was born on 22 February 1988 in London, England to the said Mr. Bredenkamp and a Briony Rosenfeldt.</w:t>
      </w:r>
      <w:r w:rsidR="00B55E97" w:rsidRPr="0070609A">
        <w:rPr>
          <w:rFonts w:ascii="Times New Roman" w:hAnsi="Times New Roman" w:cs="Times New Roman"/>
          <w:sz w:val="24"/>
          <w:szCs w:val="24"/>
        </w:rPr>
        <w:t xml:space="preserve"> </w:t>
      </w:r>
    </w:p>
    <w:p w14:paraId="53C5A9AE" w14:textId="6E1CF4F5" w:rsidR="00B55E97" w:rsidRDefault="00847715"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C1ECB">
        <w:rPr>
          <w:rFonts w:ascii="Times New Roman" w:hAnsi="Times New Roman" w:cs="Times New Roman"/>
          <w:sz w:val="24"/>
          <w:szCs w:val="24"/>
        </w:rPr>
        <w:t>4</w:t>
      </w:r>
      <w:r>
        <w:rPr>
          <w:rFonts w:ascii="Times New Roman" w:hAnsi="Times New Roman" w:cs="Times New Roman"/>
          <w:sz w:val="24"/>
          <w:szCs w:val="24"/>
        </w:rPr>
        <w:t xml:space="preserve">] </w:t>
      </w:r>
      <w:r w:rsidR="00D94B08">
        <w:rPr>
          <w:rFonts w:ascii="Times New Roman" w:hAnsi="Times New Roman" w:cs="Times New Roman"/>
          <w:sz w:val="24"/>
          <w:szCs w:val="24"/>
        </w:rPr>
        <w:t>In bringing this application, a</w:t>
      </w:r>
      <w:r w:rsidR="00D94B08" w:rsidRPr="0070609A">
        <w:rPr>
          <w:rFonts w:ascii="Times New Roman" w:hAnsi="Times New Roman" w:cs="Times New Roman"/>
          <w:sz w:val="24"/>
          <w:szCs w:val="24"/>
        </w:rPr>
        <w:t xml:space="preserve">pplicant </w:t>
      </w:r>
      <w:r w:rsidR="00D94B08">
        <w:rPr>
          <w:rFonts w:ascii="Times New Roman" w:hAnsi="Times New Roman" w:cs="Times New Roman"/>
          <w:sz w:val="24"/>
          <w:szCs w:val="24"/>
        </w:rPr>
        <w:t xml:space="preserve">essentially </w:t>
      </w:r>
      <w:r w:rsidR="00D94B08" w:rsidRPr="0070609A">
        <w:rPr>
          <w:rFonts w:ascii="Times New Roman" w:hAnsi="Times New Roman" w:cs="Times New Roman"/>
          <w:sz w:val="24"/>
          <w:szCs w:val="24"/>
        </w:rPr>
        <w:t xml:space="preserve">anchors his claim on </w:t>
      </w:r>
      <w:r w:rsidR="00D94B08">
        <w:rPr>
          <w:rFonts w:ascii="Times New Roman" w:hAnsi="Times New Roman" w:cs="Times New Roman"/>
          <w:sz w:val="24"/>
          <w:szCs w:val="24"/>
        </w:rPr>
        <w:t xml:space="preserve">the </w:t>
      </w:r>
      <w:r w:rsidR="00D64B62">
        <w:rPr>
          <w:rFonts w:ascii="Times New Roman" w:hAnsi="Times New Roman" w:cs="Times New Roman"/>
          <w:sz w:val="24"/>
          <w:szCs w:val="24"/>
        </w:rPr>
        <w:t>following; -</w:t>
      </w:r>
      <w:r w:rsidR="00D94B08">
        <w:rPr>
          <w:rFonts w:ascii="Times New Roman" w:hAnsi="Times New Roman" w:cs="Times New Roman"/>
          <w:sz w:val="24"/>
          <w:szCs w:val="24"/>
        </w:rPr>
        <w:t>f</w:t>
      </w:r>
      <w:r w:rsidR="00E039D6" w:rsidRPr="0070609A">
        <w:rPr>
          <w:rFonts w:ascii="Times New Roman" w:hAnsi="Times New Roman" w:cs="Times New Roman"/>
          <w:sz w:val="24"/>
          <w:szCs w:val="24"/>
        </w:rPr>
        <w:t xml:space="preserve">irstly, </w:t>
      </w:r>
      <w:r w:rsidR="007B068D">
        <w:rPr>
          <w:rFonts w:ascii="Times New Roman" w:hAnsi="Times New Roman" w:cs="Times New Roman"/>
          <w:sz w:val="24"/>
          <w:szCs w:val="24"/>
        </w:rPr>
        <w:t xml:space="preserve">he contends that he qualifies as </w:t>
      </w:r>
      <w:r w:rsidR="00E039D6" w:rsidRPr="0070609A">
        <w:rPr>
          <w:rFonts w:ascii="Times New Roman" w:hAnsi="Times New Roman" w:cs="Times New Roman"/>
          <w:sz w:val="24"/>
          <w:szCs w:val="24"/>
        </w:rPr>
        <w:t xml:space="preserve">a beneficiary </w:t>
      </w:r>
      <w:r w:rsidR="007B068D">
        <w:rPr>
          <w:rFonts w:ascii="Times New Roman" w:hAnsi="Times New Roman" w:cs="Times New Roman"/>
          <w:sz w:val="24"/>
          <w:szCs w:val="24"/>
        </w:rPr>
        <w:t xml:space="preserve">of first respondent trust </w:t>
      </w:r>
      <w:r w:rsidR="00B55E97">
        <w:rPr>
          <w:rFonts w:ascii="Times New Roman" w:hAnsi="Times New Roman" w:cs="Times New Roman"/>
          <w:sz w:val="24"/>
          <w:szCs w:val="24"/>
        </w:rPr>
        <w:t xml:space="preserve">in terms of its </w:t>
      </w:r>
      <w:r w:rsidR="007B068D">
        <w:rPr>
          <w:rFonts w:ascii="Times New Roman" w:hAnsi="Times New Roman" w:cs="Times New Roman"/>
          <w:sz w:val="24"/>
          <w:szCs w:val="24"/>
        </w:rPr>
        <w:t>trust deed</w:t>
      </w:r>
      <w:r w:rsidR="00B55E97">
        <w:rPr>
          <w:rFonts w:ascii="Times New Roman" w:hAnsi="Times New Roman" w:cs="Times New Roman"/>
          <w:sz w:val="24"/>
          <w:szCs w:val="24"/>
        </w:rPr>
        <w:t>.</w:t>
      </w:r>
      <w:r w:rsidR="007B068D" w:rsidRPr="0070609A">
        <w:rPr>
          <w:rFonts w:ascii="Times New Roman" w:hAnsi="Times New Roman" w:cs="Times New Roman"/>
          <w:sz w:val="24"/>
          <w:szCs w:val="24"/>
        </w:rPr>
        <w:t xml:space="preserve"> Secondly</w:t>
      </w:r>
      <w:r w:rsidR="00E039D6" w:rsidRPr="0070609A">
        <w:rPr>
          <w:rFonts w:ascii="Times New Roman" w:hAnsi="Times New Roman" w:cs="Times New Roman"/>
          <w:sz w:val="24"/>
          <w:szCs w:val="24"/>
        </w:rPr>
        <w:t xml:space="preserve">, applicant </w:t>
      </w:r>
      <w:r w:rsidR="004A0EA4">
        <w:rPr>
          <w:rFonts w:ascii="Times New Roman" w:hAnsi="Times New Roman" w:cs="Times New Roman"/>
          <w:sz w:val="24"/>
          <w:szCs w:val="24"/>
        </w:rPr>
        <w:t xml:space="preserve">claims </w:t>
      </w:r>
      <w:r w:rsidR="00042AE8" w:rsidRPr="0070609A">
        <w:rPr>
          <w:rFonts w:ascii="Times New Roman" w:hAnsi="Times New Roman" w:cs="Times New Roman"/>
          <w:sz w:val="24"/>
          <w:szCs w:val="24"/>
        </w:rPr>
        <w:t>that h</w:t>
      </w:r>
      <w:r w:rsidR="007B068D">
        <w:rPr>
          <w:rFonts w:ascii="Times New Roman" w:hAnsi="Times New Roman" w:cs="Times New Roman"/>
          <w:sz w:val="24"/>
          <w:szCs w:val="24"/>
        </w:rPr>
        <w:t xml:space="preserve">is status as beneficiary of the said trust </w:t>
      </w:r>
      <w:r w:rsidR="007B068D" w:rsidRPr="003F3481">
        <w:rPr>
          <w:rFonts w:ascii="Times New Roman" w:hAnsi="Times New Roman" w:cs="Times New Roman"/>
          <w:sz w:val="24"/>
          <w:szCs w:val="24"/>
        </w:rPr>
        <w:t>was</w:t>
      </w:r>
      <w:r w:rsidR="00042AE8" w:rsidRPr="003F3481">
        <w:rPr>
          <w:rFonts w:ascii="Times New Roman" w:hAnsi="Times New Roman" w:cs="Times New Roman"/>
          <w:sz w:val="24"/>
          <w:szCs w:val="24"/>
        </w:rPr>
        <w:t xml:space="preserve"> </w:t>
      </w:r>
      <w:r w:rsidR="007B068D" w:rsidRPr="003F3481">
        <w:rPr>
          <w:rFonts w:ascii="Times New Roman" w:hAnsi="Times New Roman" w:cs="Times New Roman"/>
          <w:sz w:val="24"/>
          <w:szCs w:val="24"/>
        </w:rPr>
        <w:t>further confirmed by Mr. Bredenk</w:t>
      </w:r>
      <w:r w:rsidR="004E2D9D" w:rsidRPr="003F3481">
        <w:rPr>
          <w:rFonts w:ascii="Times New Roman" w:hAnsi="Times New Roman" w:cs="Times New Roman"/>
          <w:sz w:val="24"/>
          <w:szCs w:val="24"/>
        </w:rPr>
        <w:t>a</w:t>
      </w:r>
      <w:r w:rsidR="007B068D" w:rsidRPr="003F3481">
        <w:rPr>
          <w:rFonts w:ascii="Times New Roman" w:hAnsi="Times New Roman" w:cs="Times New Roman"/>
          <w:sz w:val="24"/>
          <w:szCs w:val="24"/>
        </w:rPr>
        <w:t xml:space="preserve">mp </w:t>
      </w:r>
      <w:r w:rsidR="00B55E97">
        <w:rPr>
          <w:rFonts w:ascii="Times New Roman" w:hAnsi="Times New Roman" w:cs="Times New Roman"/>
          <w:sz w:val="24"/>
          <w:szCs w:val="24"/>
        </w:rPr>
        <w:t xml:space="preserve">himself in </w:t>
      </w:r>
      <w:r w:rsidR="007B068D" w:rsidRPr="003F3481">
        <w:rPr>
          <w:rFonts w:ascii="Times New Roman" w:hAnsi="Times New Roman" w:cs="Times New Roman"/>
          <w:sz w:val="24"/>
          <w:szCs w:val="24"/>
        </w:rPr>
        <w:t>a will, letter and minutes of a certain meeting that took place on</w:t>
      </w:r>
      <w:r w:rsidR="003F3481" w:rsidRPr="003F3481">
        <w:rPr>
          <w:rFonts w:ascii="Times New Roman" w:hAnsi="Times New Roman" w:cs="Times New Roman"/>
          <w:sz w:val="24"/>
          <w:szCs w:val="24"/>
        </w:rPr>
        <w:t xml:space="preserve"> 15 August 2019</w:t>
      </w:r>
      <w:r w:rsidR="007B068D" w:rsidRPr="003F3481">
        <w:rPr>
          <w:rFonts w:ascii="Times New Roman" w:hAnsi="Times New Roman" w:cs="Times New Roman"/>
          <w:sz w:val="24"/>
          <w:szCs w:val="24"/>
        </w:rPr>
        <w:t xml:space="preserve">. </w:t>
      </w:r>
    </w:p>
    <w:p w14:paraId="12EF1173" w14:textId="1B987E40" w:rsidR="00D21C6D" w:rsidRDefault="00B55E97"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7B068D" w:rsidRPr="003F3481">
        <w:rPr>
          <w:rFonts w:ascii="Times New Roman" w:hAnsi="Times New Roman" w:cs="Times New Roman"/>
          <w:sz w:val="24"/>
          <w:szCs w:val="24"/>
        </w:rPr>
        <w:t xml:space="preserve">Applicant </w:t>
      </w:r>
      <w:r>
        <w:rPr>
          <w:rFonts w:ascii="Times New Roman" w:hAnsi="Times New Roman" w:cs="Times New Roman"/>
          <w:sz w:val="24"/>
          <w:szCs w:val="24"/>
        </w:rPr>
        <w:t xml:space="preserve">also </w:t>
      </w:r>
      <w:r w:rsidR="007B068D" w:rsidRPr="003F3481">
        <w:rPr>
          <w:rFonts w:ascii="Times New Roman" w:hAnsi="Times New Roman" w:cs="Times New Roman"/>
          <w:sz w:val="24"/>
          <w:szCs w:val="24"/>
        </w:rPr>
        <w:t xml:space="preserve">filed a supporting affidavit </w:t>
      </w:r>
      <w:r w:rsidR="00D21C6D">
        <w:rPr>
          <w:rFonts w:ascii="Times New Roman" w:hAnsi="Times New Roman" w:cs="Times New Roman"/>
          <w:sz w:val="24"/>
          <w:szCs w:val="24"/>
        </w:rPr>
        <w:t xml:space="preserve">deposed to by </w:t>
      </w:r>
      <w:r w:rsidR="007B068D" w:rsidRPr="003F3481">
        <w:rPr>
          <w:rFonts w:ascii="Times New Roman" w:hAnsi="Times New Roman" w:cs="Times New Roman"/>
          <w:sz w:val="24"/>
          <w:szCs w:val="24"/>
        </w:rPr>
        <w:t>Mr. Lawrence Majuru</w:t>
      </w:r>
      <w:r w:rsidR="00D21C6D">
        <w:rPr>
          <w:rFonts w:ascii="Times New Roman" w:hAnsi="Times New Roman" w:cs="Times New Roman"/>
          <w:sz w:val="24"/>
          <w:szCs w:val="24"/>
        </w:rPr>
        <w:t xml:space="preserve">.I will address the </w:t>
      </w:r>
      <w:r w:rsidR="007B068D" w:rsidRPr="003F3481">
        <w:rPr>
          <w:rFonts w:ascii="Times New Roman" w:hAnsi="Times New Roman" w:cs="Times New Roman"/>
          <w:sz w:val="24"/>
          <w:szCs w:val="24"/>
        </w:rPr>
        <w:t>further</w:t>
      </w:r>
      <w:r w:rsidR="007B068D">
        <w:rPr>
          <w:rFonts w:ascii="Times New Roman" w:hAnsi="Times New Roman" w:cs="Times New Roman"/>
          <w:sz w:val="24"/>
          <w:szCs w:val="24"/>
        </w:rPr>
        <w:t xml:space="preserve"> import </w:t>
      </w:r>
      <w:r w:rsidR="00D21C6D">
        <w:rPr>
          <w:rFonts w:ascii="Times New Roman" w:hAnsi="Times New Roman" w:cs="Times New Roman"/>
          <w:sz w:val="24"/>
          <w:szCs w:val="24"/>
        </w:rPr>
        <w:t xml:space="preserve">of this affidavit </w:t>
      </w:r>
      <w:r w:rsidR="007B068D">
        <w:rPr>
          <w:rFonts w:ascii="Times New Roman" w:hAnsi="Times New Roman" w:cs="Times New Roman"/>
          <w:sz w:val="24"/>
          <w:szCs w:val="24"/>
        </w:rPr>
        <w:t xml:space="preserve">in the succeeding paragraphs. </w:t>
      </w:r>
      <w:r w:rsidR="004A0EA4">
        <w:rPr>
          <w:rFonts w:ascii="Times New Roman" w:hAnsi="Times New Roman" w:cs="Times New Roman"/>
          <w:sz w:val="24"/>
          <w:szCs w:val="24"/>
        </w:rPr>
        <w:t xml:space="preserve">Mr Majuru </w:t>
      </w:r>
      <w:r w:rsidR="00D21C6D">
        <w:rPr>
          <w:rFonts w:ascii="Times New Roman" w:hAnsi="Times New Roman" w:cs="Times New Roman"/>
          <w:sz w:val="24"/>
          <w:szCs w:val="24"/>
        </w:rPr>
        <w:t>nonetheless, endorsed</w:t>
      </w:r>
      <w:r w:rsidR="004A0EA4">
        <w:rPr>
          <w:rFonts w:ascii="Times New Roman" w:hAnsi="Times New Roman" w:cs="Times New Roman"/>
          <w:sz w:val="24"/>
          <w:szCs w:val="24"/>
        </w:rPr>
        <w:t xml:space="preserve"> applicant`s claim.</w:t>
      </w:r>
    </w:p>
    <w:p w14:paraId="1AF5A815" w14:textId="77777777" w:rsidR="00D21C6D" w:rsidRDefault="00D21C6D"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70609A">
        <w:rPr>
          <w:rFonts w:ascii="Times New Roman" w:hAnsi="Times New Roman" w:cs="Times New Roman"/>
          <w:sz w:val="24"/>
          <w:szCs w:val="24"/>
        </w:rPr>
        <w:t>The</w:t>
      </w:r>
      <w:r w:rsidR="00042AE8" w:rsidRPr="0070609A">
        <w:rPr>
          <w:rFonts w:ascii="Times New Roman" w:hAnsi="Times New Roman" w:cs="Times New Roman"/>
          <w:sz w:val="24"/>
          <w:szCs w:val="24"/>
        </w:rPr>
        <w:t xml:space="preserve"> application was opposed by the first to fifth </w:t>
      </w:r>
      <w:r w:rsidR="0012602A" w:rsidRPr="0070609A">
        <w:rPr>
          <w:rFonts w:ascii="Times New Roman" w:hAnsi="Times New Roman" w:cs="Times New Roman"/>
          <w:sz w:val="24"/>
          <w:szCs w:val="24"/>
        </w:rPr>
        <w:t>respondents.</w:t>
      </w:r>
      <w:r w:rsidR="0012602A">
        <w:rPr>
          <w:rFonts w:ascii="Times New Roman" w:hAnsi="Times New Roman" w:cs="Times New Roman"/>
          <w:sz w:val="24"/>
          <w:szCs w:val="24"/>
        </w:rPr>
        <w:t xml:space="preserve"> S</w:t>
      </w:r>
      <w:r w:rsidR="00042AE8" w:rsidRPr="0070609A">
        <w:rPr>
          <w:rFonts w:ascii="Times New Roman" w:hAnsi="Times New Roman" w:cs="Times New Roman"/>
          <w:sz w:val="24"/>
          <w:szCs w:val="24"/>
        </w:rPr>
        <w:t xml:space="preserve">econd to fifth respondents being trustees of </w:t>
      </w:r>
      <w:r w:rsidR="004A0EA4">
        <w:rPr>
          <w:rFonts w:ascii="Times New Roman" w:hAnsi="Times New Roman" w:cs="Times New Roman"/>
          <w:sz w:val="24"/>
          <w:szCs w:val="24"/>
        </w:rPr>
        <w:t>first respondent</w:t>
      </w:r>
      <w:r w:rsidR="00042AE8" w:rsidRPr="0070609A">
        <w:rPr>
          <w:rFonts w:ascii="Times New Roman" w:hAnsi="Times New Roman" w:cs="Times New Roman"/>
          <w:sz w:val="24"/>
          <w:szCs w:val="24"/>
        </w:rPr>
        <w:t xml:space="preserve">. Hazvinei Chipo Mahachi, </w:t>
      </w:r>
      <w:r w:rsidR="00993E81">
        <w:rPr>
          <w:rFonts w:ascii="Times New Roman" w:hAnsi="Times New Roman" w:cs="Times New Roman"/>
          <w:sz w:val="24"/>
          <w:szCs w:val="24"/>
        </w:rPr>
        <w:t>(“Mahachi”</w:t>
      </w:r>
      <w:r w:rsidR="003F3481">
        <w:rPr>
          <w:rFonts w:ascii="Times New Roman" w:hAnsi="Times New Roman" w:cs="Times New Roman"/>
          <w:sz w:val="24"/>
          <w:szCs w:val="24"/>
        </w:rPr>
        <w:t>), the</w:t>
      </w:r>
      <w:r w:rsidR="00042AE8" w:rsidRPr="0070609A">
        <w:rPr>
          <w:rFonts w:ascii="Times New Roman" w:hAnsi="Times New Roman" w:cs="Times New Roman"/>
          <w:sz w:val="24"/>
          <w:szCs w:val="24"/>
        </w:rPr>
        <w:t xml:space="preserve"> fifth respondent, deposed to the opposing affidavit. </w:t>
      </w:r>
      <w:r w:rsidR="00E1126A">
        <w:rPr>
          <w:rFonts w:ascii="Times New Roman" w:hAnsi="Times New Roman" w:cs="Times New Roman"/>
          <w:sz w:val="24"/>
          <w:szCs w:val="24"/>
        </w:rPr>
        <w:t xml:space="preserve">She was backed by her </w:t>
      </w:r>
      <w:r w:rsidR="00B55E97">
        <w:rPr>
          <w:rFonts w:ascii="Times New Roman" w:hAnsi="Times New Roman" w:cs="Times New Roman"/>
          <w:sz w:val="24"/>
          <w:szCs w:val="24"/>
        </w:rPr>
        <w:t xml:space="preserve">three </w:t>
      </w:r>
      <w:r w:rsidR="0012602A">
        <w:rPr>
          <w:rFonts w:ascii="Times New Roman" w:hAnsi="Times New Roman" w:cs="Times New Roman"/>
          <w:sz w:val="24"/>
          <w:szCs w:val="24"/>
        </w:rPr>
        <w:t>fellow trustees</w:t>
      </w:r>
      <w:r w:rsidR="00B55E97">
        <w:rPr>
          <w:rFonts w:ascii="Times New Roman" w:hAnsi="Times New Roman" w:cs="Times New Roman"/>
          <w:sz w:val="24"/>
          <w:szCs w:val="24"/>
        </w:rPr>
        <w:t>-</w:t>
      </w:r>
      <w:r w:rsidR="008939B9" w:rsidRPr="008939B9">
        <w:rPr>
          <w:rFonts w:ascii="Times New Roman" w:hAnsi="Times New Roman" w:cs="Times New Roman"/>
          <w:sz w:val="24"/>
          <w:szCs w:val="24"/>
        </w:rPr>
        <w:t xml:space="preserve"> </w:t>
      </w:r>
      <w:r w:rsidR="008939B9">
        <w:rPr>
          <w:rFonts w:ascii="Times New Roman" w:hAnsi="Times New Roman" w:cs="Times New Roman"/>
          <w:sz w:val="24"/>
          <w:szCs w:val="24"/>
        </w:rPr>
        <w:t>s</w:t>
      </w:r>
      <w:r w:rsidR="008939B9" w:rsidRPr="0070609A">
        <w:rPr>
          <w:rFonts w:ascii="Times New Roman" w:hAnsi="Times New Roman" w:cs="Times New Roman"/>
          <w:sz w:val="24"/>
          <w:szCs w:val="24"/>
        </w:rPr>
        <w:t>econd</w:t>
      </w:r>
      <w:r w:rsidR="008939B9">
        <w:rPr>
          <w:rFonts w:ascii="Times New Roman" w:hAnsi="Times New Roman" w:cs="Times New Roman"/>
          <w:sz w:val="24"/>
          <w:szCs w:val="24"/>
        </w:rPr>
        <w:t xml:space="preserve">, third, and fourth </w:t>
      </w:r>
      <w:r w:rsidR="008939B9" w:rsidRPr="0070609A">
        <w:rPr>
          <w:rFonts w:ascii="Times New Roman" w:hAnsi="Times New Roman" w:cs="Times New Roman"/>
          <w:sz w:val="24"/>
          <w:szCs w:val="24"/>
        </w:rPr>
        <w:t xml:space="preserve">respondents </w:t>
      </w:r>
      <w:r w:rsidR="008939B9">
        <w:rPr>
          <w:rFonts w:ascii="Times New Roman" w:hAnsi="Times New Roman" w:cs="Times New Roman"/>
          <w:sz w:val="24"/>
          <w:szCs w:val="24"/>
        </w:rPr>
        <w:t xml:space="preserve">being </w:t>
      </w:r>
      <w:r w:rsidR="00B55E97">
        <w:rPr>
          <w:rFonts w:ascii="Times New Roman" w:hAnsi="Times New Roman" w:cs="Times New Roman"/>
          <w:sz w:val="24"/>
          <w:szCs w:val="24"/>
        </w:rPr>
        <w:t>Messrs M.G. Long, G.N. Mlotshwa and T. Matemavi</w:t>
      </w:r>
      <w:r w:rsidR="00E1126A">
        <w:rPr>
          <w:rFonts w:ascii="Times New Roman" w:hAnsi="Times New Roman" w:cs="Times New Roman"/>
          <w:sz w:val="24"/>
          <w:szCs w:val="24"/>
        </w:rPr>
        <w:t xml:space="preserve"> </w:t>
      </w:r>
      <w:r w:rsidR="008939B9">
        <w:rPr>
          <w:rFonts w:ascii="Times New Roman" w:hAnsi="Times New Roman" w:cs="Times New Roman"/>
          <w:sz w:val="24"/>
          <w:szCs w:val="24"/>
        </w:rPr>
        <w:t xml:space="preserve">respectively </w:t>
      </w:r>
      <w:r w:rsidR="00E1126A">
        <w:rPr>
          <w:rFonts w:ascii="Times New Roman" w:hAnsi="Times New Roman" w:cs="Times New Roman"/>
          <w:sz w:val="24"/>
          <w:szCs w:val="24"/>
        </w:rPr>
        <w:t xml:space="preserve">who </w:t>
      </w:r>
      <w:r w:rsidR="008939B9">
        <w:rPr>
          <w:rFonts w:ascii="Times New Roman" w:hAnsi="Times New Roman" w:cs="Times New Roman"/>
          <w:sz w:val="24"/>
          <w:szCs w:val="24"/>
        </w:rPr>
        <w:t xml:space="preserve">filed </w:t>
      </w:r>
      <w:r w:rsidR="00E1126A">
        <w:rPr>
          <w:rFonts w:ascii="Times New Roman" w:hAnsi="Times New Roman" w:cs="Times New Roman"/>
          <w:sz w:val="24"/>
          <w:szCs w:val="24"/>
        </w:rPr>
        <w:t xml:space="preserve">each </w:t>
      </w:r>
      <w:r w:rsidR="008939B9">
        <w:rPr>
          <w:rFonts w:ascii="Times New Roman" w:hAnsi="Times New Roman" w:cs="Times New Roman"/>
          <w:sz w:val="24"/>
          <w:szCs w:val="24"/>
        </w:rPr>
        <w:t>a supporting</w:t>
      </w:r>
      <w:r w:rsidR="00E1126A">
        <w:rPr>
          <w:rFonts w:ascii="Times New Roman" w:hAnsi="Times New Roman" w:cs="Times New Roman"/>
          <w:sz w:val="24"/>
          <w:szCs w:val="24"/>
        </w:rPr>
        <w:t xml:space="preserve"> affidavit</w:t>
      </w:r>
      <w:r w:rsidR="0012602A">
        <w:rPr>
          <w:rFonts w:ascii="Times New Roman" w:hAnsi="Times New Roman" w:cs="Times New Roman"/>
          <w:sz w:val="24"/>
          <w:szCs w:val="24"/>
        </w:rPr>
        <w:t xml:space="preserve">. </w:t>
      </w:r>
    </w:p>
    <w:p w14:paraId="10546585" w14:textId="51E2407B" w:rsidR="0070609A" w:rsidRPr="0070609A" w:rsidRDefault="00D21C6D"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12602A">
        <w:rPr>
          <w:rFonts w:ascii="Times New Roman" w:hAnsi="Times New Roman" w:cs="Times New Roman"/>
          <w:sz w:val="24"/>
          <w:szCs w:val="24"/>
        </w:rPr>
        <w:t xml:space="preserve">Further, </w:t>
      </w:r>
      <w:r w:rsidR="00042AE8" w:rsidRPr="0070609A">
        <w:rPr>
          <w:rFonts w:ascii="Times New Roman" w:hAnsi="Times New Roman" w:cs="Times New Roman"/>
          <w:sz w:val="24"/>
          <w:szCs w:val="24"/>
        </w:rPr>
        <w:t xml:space="preserve">Mrs </w:t>
      </w:r>
      <w:r w:rsidR="0070609A" w:rsidRPr="0070609A">
        <w:rPr>
          <w:rFonts w:ascii="Times New Roman" w:hAnsi="Times New Roman" w:cs="Times New Roman"/>
          <w:sz w:val="24"/>
          <w:szCs w:val="24"/>
        </w:rPr>
        <w:t xml:space="preserve">Jennifer Lee </w:t>
      </w:r>
      <w:r w:rsidR="00053032" w:rsidRPr="0070609A">
        <w:rPr>
          <w:rFonts w:ascii="Times New Roman" w:hAnsi="Times New Roman" w:cs="Times New Roman"/>
          <w:sz w:val="24"/>
          <w:szCs w:val="24"/>
        </w:rPr>
        <w:t>Bredenkamp,</w:t>
      </w:r>
      <w:r w:rsidR="00053032">
        <w:rPr>
          <w:rFonts w:ascii="Times New Roman" w:hAnsi="Times New Roman" w:cs="Times New Roman"/>
          <w:sz w:val="24"/>
          <w:szCs w:val="24"/>
        </w:rPr>
        <w:t xml:space="preserve"> (</w:t>
      </w:r>
      <w:r w:rsidR="00843156">
        <w:rPr>
          <w:rFonts w:ascii="Times New Roman" w:hAnsi="Times New Roman" w:cs="Times New Roman"/>
          <w:sz w:val="24"/>
          <w:szCs w:val="24"/>
        </w:rPr>
        <w:t>“Mrs Bredenkamp”),</w:t>
      </w:r>
      <w:r w:rsidR="0070609A" w:rsidRPr="0070609A">
        <w:rPr>
          <w:rFonts w:ascii="Times New Roman" w:hAnsi="Times New Roman" w:cs="Times New Roman"/>
          <w:sz w:val="24"/>
          <w:szCs w:val="24"/>
        </w:rPr>
        <w:t xml:space="preserve"> the surviving widow of the late Mr. Bredenkamp</w:t>
      </w:r>
      <w:r w:rsidR="007B068D">
        <w:rPr>
          <w:rFonts w:ascii="Times New Roman" w:hAnsi="Times New Roman" w:cs="Times New Roman"/>
          <w:sz w:val="24"/>
          <w:szCs w:val="24"/>
        </w:rPr>
        <w:t>,</w:t>
      </w:r>
      <w:r w:rsidR="0012602A">
        <w:rPr>
          <w:rFonts w:ascii="Times New Roman" w:hAnsi="Times New Roman" w:cs="Times New Roman"/>
          <w:sz w:val="24"/>
          <w:szCs w:val="24"/>
        </w:rPr>
        <w:t xml:space="preserve"> </w:t>
      </w:r>
      <w:r w:rsidR="00E1126A">
        <w:rPr>
          <w:rFonts w:ascii="Times New Roman" w:hAnsi="Times New Roman" w:cs="Times New Roman"/>
          <w:sz w:val="24"/>
          <w:szCs w:val="24"/>
        </w:rPr>
        <w:t xml:space="preserve">also </w:t>
      </w:r>
      <w:r w:rsidR="0012602A">
        <w:rPr>
          <w:rFonts w:ascii="Times New Roman" w:hAnsi="Times New Roman" w:cs="Times New Roman"/>
          <w:sz w:val="24"/>
          <w:szCs w:val="24"/>
        </w:rPr>
        <w:t>filed a</w:t>
      </w:r>
      <w:r w:rsidR="00E1126A">
        <w:rPr>
          <w:rFonts w:ascii="Times New Roman" w:hAnsi="Times New Roman" w:cs="Times New Roman"/>
          <w:sz w:val="24"/>
          <w:szCs w:val="24"/>
        </w:rPr>
        <w:t>n affidavit endorsing the opposition</w:t>
      </w:r>
      <w:r w:rsidR="0012602A">
        <w:rPr>
          <w:rFonts w:ascii="Times New Roman" w:hAnsi="Times New Roman" w:cs="Times New Roman"/>
          <w:sz w:val="24"/>
          <w:szCs w:val="24"/>
        </w:rPr>
        <w:t xml:space="preserve">. So too did </w:t>
      </w:r>
      <w:r w:rsidR="008D65AE">
        <w:rPr>
          <w:rFonts w:ascii="Times New Roman" w:hAnsi="Times New Roman" w:cs="Times New Roman"/>
          <w:sz w:val="24"/>
          <w:szCs w:val="24"/>
        </w:rPr>
        <w:t xml:space="preserve">a Mr Colin Richard Blythe-Wood, a former trustee </w:t>
      </w:r>
      <w:r w:rsidR="00E1126A">
        <w:rPr>
          <w:rFonts w:ascii="Times New Roman" w:hAnsi="Times New Roman" w:cs="Times New Roman"/>
          <w:sz w:val="24"/>
          <w:szCs w:val="24"/>
        </w:rPr>
        <w:t xml:space="preserve">of </w:t>
      </w:r>
      <w:r w:rsidR="002C1ECB">
        <w:rPr>
          <w:rFonts w:ascii="Times New Roman" w:hAnsi="Times New Roman" w:cs="Times New Roman"/>
          <w:sz w:val="24"/>
          <w:szCs w:val="24"/>
        </w:rPr>
        <w:t xml:space="preserve">first respondent </w:t>
      </w:r>
      <w:r w:rsidR="008D65AE">
        <w:rPr>
          <w:rFonts w:ascii="Times New Roman" w:hAnsi="Times New Roman" w:cs="Times New Roman"/>
          <w:sz w:val="24"/>
          <w:szCs w:val="24"/>
        </w:rPr>
        <w:t>who held office from 1998 to 2016</w:t>
      </w:r>
      <w:r w:rsidR="0070609A" w:rsidRPr="0070609A">
        <w:rPr>
          <w:rFonts w:ascii="Times New Roman" w:hAnsi="Times New Roman" w:cs="Times New Roman"/>
          <w:sz w:val="24"/>
          <w:szCs w:val="24"/>
        </w:rPr>
        <w:t>.</w:t>
      </w:r>
    </w:p>
    <w:p w14:paraId="73CCA64C" w14:textId="315C8876" w:rsidR="00E1126A" w:rsidRDefault="0070609A" w:rsidP="0070609A">
      <w:pPr>
        <w:spacing w:line="360" w:lineRule="auto"/>
        <w:jc w:val="both"/>
        <w:rPr>
          <w:rFonts w:ascii="Times New Roman" w:hAnsi="Times New Roman" w:cs="Times New Roman"/>
          <w:sz w:val="24"/>
          <w:szCs w:val="24"/>
        </w:rPr>
      </w:pPr>
      <w:r w:rsidRPr="0070609A">
        <w:rPr>
          <w:rFonts w:ascii="Times New Roman" w:hAnsi="Times New Roman" w:cs="Times New Roman"/>
          <w:sz w:val="24"/>
          <w:szCs w:val="24"/>
        </w:rPr>
        <w:t>[</w:t>
      </w:r>
      <w:r w:rsidR="00D21C6D">
        <w:rPr>
          <w:rFonts w:ascii="Times New Roman" w:hAnsi="Times New Roman" w:cs="Times New Roman"/>
          <w:sz w:val="24"/>
          <w:szCs w:val="24"/>
        </w:rPr>
        <w:t>8</w:t>
      </w:r>
      <w:r w:rsidRPr="0070609A">
        <w:rPr>
          <w:rFonts w:ascii="Times New Roman" w:hAnsi="Times New Roman" w:cs="Times New Roman"/>
          <w:sz w:val="24"/>
          <w:szCs w:val="24"/>
        </w:rPr>
        <w:t xml:space="preserve">] The </w:t>
      </w:r>
      <w:r w:rsidR="00AC0248" w:rsidRPr="0070609A">
        <w:rPr>
          <w:rFonts w:ascii="Times New Roman" w:hAnsi="Times New Roman" w:cs="Times New Roman"/>
          <w:sz w:val="24"/>
          <w:szCs w:val="24"/>
        </w:rPr>
        <w:t xml:space="preserve">respondents </w:t>
      </w:r>
      <w:r w:rsidR="00AC0248">
        <w:rPr>
          <w:rFonts w:ascii="Times New Roman" w:hAnsi="Times New Roman" w:cs="Times New Roman"/>
          <w:sz w:val="24"/>
          <w:szCs w:val="24"/>
        </w:rPr>
        <w:t>disputed</w:t>
      </w:r>
      <w:r w:rsidRPr="0070609A">
        <w:rPr>
          <w:rFonts w:ascii="Times New Roman" w:hAnsi="Times New Roman" w:cs="Times New Roman"/>
          <w:sz w:val="24"/>
          <w:szCs w:val="24"/>
        </w:rPr>
        <w:t xml:space="preserve"> applicant`s entitlement </w:t>
      </w:r>
      <w:r w:rsidR="002C1ECB">
        <w:rPr>
          <w:rFonts w:ascii="Times New Roman" w:hAnsi="Times New Roman" w:cs="Times New Roman"/>
          <w:sz w:val="24"/>
          <w:szCs w:val="24"/>
        </w:rPr>
        <w:t xml:space="preserve">to the donation </w:t>
      </w:r>
      <w:r w:rsidRPr="0070609A">
        <w:rPr>
          <w:rFonts w:ascii="Times New Roman" w:hAnsi="Times New Roman" w:cs="Times New Roman"/>
          <w:sz w:val="24"/>
          <w:szCs w:val="24"/>
        </w:rPr>
        <w:t xml:space="preserve">as claimed. Their position </w:t>
      </w:r>
      <w:r w:rsidR="008D65AE">
        <w:rPr>
          <w:rFonts w:ascii="Times New Roman" w:hAnsi="Times New Roman" w:cs="Times New Roman"/>
          <w:sz w:val="24"/>
          <w:szCs w:val="24"/>
        </w:rPr>
        <w:t xml:space="preserve">was </w:t>
      </w:r>
      <w:r w:rsidRPr="0070609A">
        <w:rPr>
          <w:rFonts w:ascii="Times New Roman" w:hAnsi="Times New Roman" w:cs="Times New Roman"/>
          <w:sz w:val="24"/>
          <w:szCs w:val="24"/>
        </w:rPr>
        <w:t xml:space="preserve">that firstly, applicant </w:t>
      </w:r>
      <w:r w:rsidR="002C1ECB">
        <w:rPr>
          <w:rFonts w:ascii="Times New Roman" w:hAnsi="Times New Roman" w:cs="Times New Roman"/>
          <w:sz w:val="24"/>
          <w:szCs w:val="24"/>
        </w:rPr>
        <w:t xml:space="preserve">was in fact </w:t>
      </w:r>
      <w:r w:rsidRPr="0070609A">
        <w:rPr>
          <w:rFonts w:ascii="Times New Roman" w:hAnsi="Times New Roman" w:cs="Times New Roman"/>
          <w:sz w:val="24"/>
          <w:szCs w:val="24"/>
        </w:rPr>
        <w:t xml:space="preserve">deliberately excluded </w:t>
      </w:r>
      <w:r w:rsidR="002C1ECB">
        <w:rPr>
          <w:rFonts w:ascii="Times New Roman" w:hAnsi="Times New Roman" w:cs="Times New Roman"/>
          <w:sz w:val="24"/>
          <w:szCs w:val="24"/>
        </w:rPr>
        <w:t>as a beneficiary of first respondent trust</w:t>
      </w:r>
      <w:r w:rsidR="00B55E97">
        <w:rPr>
          <w:rFonts w:ascii="Times New Roman" w:hAnsi="Times New Roman" w:cs="Times New Roman"/>
          <w:sz w:val="24"/>
          <w:szCs w:val="24"/>
        </w:rPr>
        <w:t xml:space="preserve"> in the trust deed.</w:t>
      </w:r>
      <w:r w:rsidRPr="0070609A">
        <w:rPr>
          <w:rFonts w:ascii="Times New Roman" w:hAnsi="Times New Roman" w:cs="Times New Roman"/>
          <w:sz w:val="24"/>
          <w:szCs w:val="24"/>
        </w:rPr>
        <w:t xml:space="preserve"> Secondly, the</w:t>
      </w:r>
      <w:r w:rsidR="00B55E97">
        <w:rPr>
          <w:rFonts w:ascii="Times New Roman" w:hAnsi="Times New Roman" w:cs="Times New Roman"/>
          <w:sz w:val="24"/>
          <w:szCs w:val="24"/>
        </w:rPr>
        <w:t xml:space="preserve">y </w:t>
      </w:r>
      <w:r w:rsidR="00E1126A">
        <w:rPr>
          <w:rFonts w:ascii="Times New Roman" w:hAnsi="Times New Roman" w:cs="Times New Roman"/>
          <w:sz w:val="24"/>
          <w:szCs w:val="24"/>
        </w:rPr>
        <w:t xml:space="preserve">dismissed as otiose, the </w:t>
      </w:r>
      <w:r w:rsidR="00B55E97" w:rsidRPr="0070609A">
        <w:rPr>
          <w:rFonts w:ascii="Times New Roman" w:hAnsi="Times New Roman" w:cs="Times New Roman"/>
          <w:sz w:val="24"/>
          <w:szCs w:val="24"/>
        </w:rPr>
        <w:t>wills</w:t>
      </w:r>
      <w:r w:rsidR="002C1ECB">
        <w:rPr>
          <w:rFonts w:ascii="Times New Roman" w:hAnsi="Times New Roman" w:cs="Times New Roman"/>
          <w:sz w:val="24"/>
          <w:szCs w:val="24"/>
        </w:rPr>
        <w:t xml:space="preserve">, letters and other documents attributed to </w:t>
      </w:r>
      <w:r w:rsidRPr="0070609A">
        <w:rPr>
          <w:rFonts w:ascii="Times New Roman" w:hAnsi="Times New Roman" w:cs="Times New Roman"/>
          <w:sz w:val="24"/>
          <w:szCs w:val="24"/>
        </w:rPr>
        <w:t xml:space="preserve">Mr Bredenkamp </w:t>
      </w:r>
      <w:r w:rsidR="00E1126A">
        <w:rPr>
          <w:rFonts w:ascii="Times New Roman" w:hAnsi="Times New Roman" w:cs="Times New Roman"/>
          <w:sz w:val="24"/>
          <w:szCs w:val="24"/>
        </w:rPr>
        <w:t xml:space="preserve">and relied upon by applicant. </w:t>
      </w:r>
    </w:p>
    <w:p w14:paraId="052628FD" w14:textId="7D1D9AE8" w:rsidR="00B077E4" w:rsidRPr="0095707D" w:rsidRDefault="00847715"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FACTUAL BACKGROUND</w:t>
      </w:r>
    </w:p>
    <w:p w14:paraId="4A3BB06A" w14:textId="0632B08F" w:rsidR="0012602A" w:rsidRDefault="00847715"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21C6D">
        <w:rPr>
          <w:rFonts w:ascii="Times New Roman" w:hAnsi="Times New Roman" w:cs="Times New Roman"/>
          <w:sz w:val="24"/>
          <w:szCs w:val="24"/>
        </w:rPr>
        <w:t>9</w:t>
      </w:r>
      <w:r>
        <w:rPr>
          <w:rFonts w:ascii="Times New Roman" w:hAnsi="Times New Roman" w:cs="Times New Roman"/>
          <w:sz w:val="24"/>
          <w:szCs w:val="24"/>
        </w:rPr>
        <w:t xml:space="preserve">] I </w:t>
      </w:r>
      <w:r w:rsidR="00B55E97">
        <w:rPr>
          <w:rFonts w:ascii="Times New Roman" w:hAnsi="Times New Roman" w:cs="Times New Roman"/>
          <w:sz w:val="24"/>
          <w:szCs w:val="24"/>
        </w:rPr>
        <w:t xml:space="preserve">now </w:t>
      </w:r>
      <w:r>
        <w:rPr>
          <w:rFonts w:ascii="Times New Roman" w:hAnsi="Times New Roman" w:cs="Times New Roman"/>
          <w:sz w:val="24"/>
          <w:szCs w:val="24"/>
        </w:rPr>
        <w:t>set out the fuller background to the matter hereunder</w:t>
      </w:r>
      <w:r w:rsidR="0012602A">
        <w:rPr>
          <w:rFonts w:ascii="Times New Roman" w:hAnsi="Times New Roman" w:cs="Times New Roman"/>
          <w:sz w:val="24"/>
          <w:szCs w:val="24"/>
        </w:rPr>
        <w:t>. Mrs</w:t>
      </w:r>
      <w:r w:rsidR="00843156">
        <w:rPr>
          <w:rFonts w:ascii="Times New Roman" w:hAnsi="Times New Roman" w:cs="Times New Roman"/>
          <w:sz w:val="24"/>
          <w:szCs w:val="24"/>
        </w:rPr>
        <w:t xml:space="preserve"> </w:t>
      </w:r>
      <w:r w:rsidR="007B068D">
        <w:rPr>
          <w:rFonts w:ascii="Times New Roman" w:hAnsi="Times New Roman" w:cs="Times New Roman"/>
          <w:sz w:val="24"/>
          <w:szCs w:val="24"/>
        </w:rPr>
        <w:t>Bredenkamp</w:t>
      </w:r>
      <w:r w:rsidR="004A0EA4">
        <w:rPr>
          <w:rFonts w:ascii="Times New Roman" w:hAnsi="Times New Roman" w:cs="Times New Roman"/>
          <w:sz w:val="24"/>
          <w:szCs w:val="24"/>
        </w:rPr>
        <w:t xml:space="preserve">, </w:t>
      </w:r>
      <w:r w:rsidR="0012602A">
        <w:rPr>
          <w:rFonts w:ascii="Times New Roman" w:hAnsi="Times New Roman" w:cs="Times New Roman"/>
          <w:sz w:val="24"/>
          <w:szCs w:val="24"/>
        </w:rPr>
        <w:t xml:space="preserve">deposed, on 22 January 2022, to an affidavit in </w:t>
      </w:r>
      <w:r w:rsidR="007B068D">
        <w:rPr>
          <w:rFonts w:ascii="Times New Roman" w:hAnsi="Times New Roman" w:cs="Times New Roman"/>
          <w:sz w:val="24"/>
          <w:szCs w:val="24"/>
        </w:rPr>
        <w:t xml:space="preserve">case number HC </w:t>
      </w:r>
      <w:r w:rsidR="000318AD">
        <w:rPr>
          <w:rFonts w:ascii="Times New Roman" w:hAnsi="Times New Roman" w:cs="Times New Roman"/>
          <w:sz w:val="24"/>
          <w:szCs w:val="24"/>
        </w:rPr>
        <w:t>540/22</w:t>
      </w:r>
      <w:r w:rsidR="004A0EA4">
        <w:rPr>
          <w:rFonts w:ascii="Times New Roman" w:hAnsi="Times New Roman" w:cs="Times New Roman"/>
          <w:sz w:val="24"/>
          <w:szCs w:val="24"/>
        </w:rPr>
        <w:t xml:space="preserve">.This matter </w:t>
      </w:r>
      <w:r w:rsidR="00D21C6D">
        <w:rPr>
          <w:rFonts w:ascii="Times New Roman" w:hAnsi="Times New Roman" w:cs="Times New Roman"/>
          <w:sz w:val="24"/>
          <w:szCs w:val="24"/>
        </w:rPr>
        <w:t xml:space="preserve">HC 540/22 though related, is not </w:t>
      </w:r>
      <w:r w:rsidR="004A0EA4">
        <w:rPr>
          <w:rFonts w:ascii="Times New Roman" w:hAnsi="Times New Roman" w:cs="Times New Roman"/>
          <w:sz w:val="24"/>
          <w:szCs w:val="24"/>
        </w:rPr>
        <w:t>immediate</w:t>
      </w:r>
      <w:r w:rsidR="00D21C6D">
        <w:rPr>
          <w:rFonts w:ascii="Times New Roman" w:hAnsi="Times New Roman" w:cs="Times New Roman"/>
          <w:sz w:val="24"/>
          <w:szCs w:val="24"/>
        </w:rPr>
        <w:t>ly</w:t>
      </w:r>
      <w:r w:rsidR="004A0EA4">
        <w:rPr>
          <w:rFonts w:ascii="Times New Roman" w:hAnsi="Times New Roman" w:cs="Times New Roman"/>
          <w:sz w:val="24"/>
          <w:szCs w:val="24"/>
        </w:rPr>
        <w:t xml:space="preserve"> </w:t>
      </w:r>
      <w:r w:rsidR="00D21C6D">
        <w:rPr>
          <w:rFonts w:ascii="Times New Roman" w:hAnsi="Times New Roman" w:cs="Times New Roman"/>
          <w:sz w:val="24"/>
          <w:szCs w:val="24"/>
        </w:rPr>
        <w:t>relevance to</w:t>
      </w:r>
      <w:r w:rsidR="004A0EA4">
        <w:rPr>
          <w:rFonts w:ascii="Times New Roman" w:hAnsi="Times New Roman" w:cs="Times New Roman"/>
          <w:sz w:val="24"/>
          <w:szCs w:val="24"/>
        </w:rPr>
        <w:t xml:space="preserve"> the</w:t>
      </w:r>
      <w:r w:rsidR="00D21C6D">
        <w:rPr>
          <w:rFonts w:ascii="Times New Roman" w:hAnsi="Times New Roman" w:cs="Times New Roman"/>
          <w:sz w:val="24"/>
          <w:szCs w:val="24"/>
        </w:rPr>
        <w:t xml:space="preserve"> present proceedings. But</w:t>
      </w:r>
      <w:r w:rsidR="004A0EA4">
        <w:rPr>
          <w:rFonts w:ascii="Times New Roman" w:hAnsi="Times New Roman" w:cs="Times New Roman"/>
          <w:sz w:val="24"/>
          <w:szCs w:val="24"/>
        </w:rPr>
        <w:t xml:space="preserve"> the contents of Mrs</w:t>
      </w:r>
      <w:r w:rsidR="000318AD">
        <w:rPr>
          <w:rFonts w:ascii="Times New Roman" w:hAnsi="Times New Roman" w:cs="Times New Roman"/>
          <w:sz w:val="24"/>
          <w:szCs w:val="24"/>
        </w:rPr>
        <w:t xml:space="preserve"> Bredenkamp`s </w:t>
      </w:r>
      <w:r w:rsidR="0012602A">
        <w:rPr>
          <w:rFonts w:ascii="Times New Roman" w:hAnsi="Times New Roman" w:cs="Times New Roman"/>
          <w:sz w:val="24"/>
          <w:szCs w:val="24"/>
        </w:rPr>
        <w:t xml:space="preserve">affidavit </w:t>
      </w:r>
      <w:r w:rsidR="00D21C6D">
        <w:rPr>
          <w:rFonts w:ascii="Times New Roman" w:hAnsi="Times New Roman" w:cs="Times New Roman"/>
          <w:sz w:val="24"/>
          <w:szCs w:val="24"/>
        </w:rPr>
        <w:t>are</w:t>
      </w:r>
      <w:r w:rsidR="00E1126A">
        <w:rPr>
          <w:rFonts w:ascii="Times New Roman" w:hAnsi="Times New Roman" w:cs="Times New Roman"/>
          <w:sz w:val="24"/>
          <w:szCs w:val="24"/>
        </w:rPr>
        <w:t>. The</w:t>
      </w:r>
      <w:r w:rsidR="00D21C6D">
        <w:rPr>
          <w:rFonts w:ascii="Times New Roman" w:hAnsi="Times New Roman" w:cs="Times New Roman"/>
          <w:sz w:val="24"/>
          <w:szCs w:val="24"/>
        </w:rPr>
        <w:t xml:space="preserve"> facts deposed therein </w:t>
      </w:r>
      <w:r w:rsidR="004A0EA4">
        <w:rPr>
          <w:rFonts w:ascii="Times New Roman" w:hAnsi="Times New Roman" w:cs="Times New Roman"/>
          <w:sz w:val="24"/>
          <w:szCs w:val="24"/>
        </w:rPr>
        <w:t xml:space="preserve">were largely accepted by both </w:t>
      </w:r>
      <w:r w:rsidR="0012602A">
        <w:rPr>
          <w:rFonts w:ascii="Times New Roman" w:hAnsi="Times New Roman" w:cs="Times New Roman"/>
          <w:sz w:val="24"/>
          <w:szCs w:val="24"/>
        </w:rPr>
        <w:t>sides</w:t>
      </w:r>
      <w:r w:rsidR="004A0EA4">
        <w:rPr>
          <w:rFonts w:ascii="Times New Roman" w:hAnsi="Times New Roman" w:cs="Times New Roman"/>
          <w:sz w:val="24"/>
          <w:szCs w:val="24"/>
        </w:rPr>
        <w:t xml:space="preserve"> as a</w:t>
      </w:r>
      <w:r w:rsidR="00E1126A">
        <w:rPr>
          <w:rFonts w:ascii="Times New Roman" w:hAnsi="Times New Roman" w:cs="Times New Roman"/>
          <w:sz w:val="24"/>
          <w:szCs w:val="24"/>
        </w:rPr>
        <w:t xml:space="preserve">n accurate account of the </w:t>
      </w:r>
      <w:r w:rsidR="004A0EA4">
        <w:rPr>
          <w:rFonts w:ascii="Times New Roman" w:hAnsi="Times New Roman" w:cs="Times New Roman"/>
          <w:sz w:val="24"/>
          <w:szCs w:val="24"/>
        </w:rPr>
        <w:t xml:space="preserve">background to present dispute. </w:t>
      </w:r>
      <w:r w:rsidR="0012602A" w:rsidRPr="0012602A">
        <w:rPr>
          <w:rFonts w:ascii="Times New Roman" w:hAnsi="Times New Roman" w:cs="Times New Roman"/>
          <w:sz w:val="24"/>
          <w:szCs w:val="24"/>
        </w:rPr>
        <w:t xml:space="preserve"> </w:t>
      </w:r>
    </w:p>
    <w:p w14:paraId="256BE7DC" w14:textId="77777777" w:rsidR="00512A72" w:rsidRDefault="0012602A" w:rsidP="001260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21C6D">
        <w:rPr>
          <w:rFonts w:ascii="Times New Roman" w:hAnsi="Times New Roman" w:cs="Times New Roman"/>
          <w:sz w:val="24"/>
          <w:szCs w:val="24"/>
        </w:rPr>
        <w:t>10</w:t>
      </w:r>
      <w:r>
        <w:rPr>
          <w:rFonts w:ascii="Times New Roman" w:hAnsi="Times New Roman" w:cs="Times New Roman"/>
          <w:sz w:val="24"/>
          <w:szCs w:val="24"/>
        </w:rPr>
        <w:t xml:space="preserve">] It is common cause that Mr and Mrs Bredenkamp got married </w:t>
      </w:r>
      <w:r w:rsidR="000318AD">
        <w:rPr>
          <w:rFonts w:ascii="Times New Roman" w:hAnsi="Times New Roman" w:cs="Times New Roman"/>
          <w:sz w:val="24"/>
          <w:szCs w:val="24"/>
        </w:rPr>
        <w:t xml:space="preserve">at Que-Que, Rhodesia </w:t>
      </w:r>
      <w:r>
        <w:rPr>
          <w:rFonts w:ascii="Times New Roman" w:hAnsi="Times New Roman" w:cs="Times New Roman"/>
          <w:sz w:val="24"/>
          <w:szCs w:val="24"/>
        </w:rPr>
        <w:t>in 1962.The marriage was blessed with three children; - Caro</w:t>
      </w:r>
      <w:r w:rsidR="008D65AE">
        <w:rPr>
          <w:rFonts w:ascii="Times New Roman" w:hAnsi="Times New Roman" w:cs="Times New Roman"/>
          <w:sz w:val="24"/>
          <w:szCs w:val="24"/>
        </w:rPr>
        <w:t>n</w:t>
      </w:r>
      <w:r>
        <w:rPr>
          <w:rFonts w:ascii="Times New Roman" w:hAnsi="Times New Roman" w:cs="Times New Roman"/>
          <w:sz w:val="24"/>
          <w:szCs w:val="24"/>
        </w:rPr>
        <w:t xml:space="preserve"> Lee Palmer (nee Bredenkamp), Sarah Lee Lambourne (also nee Bredenkamp) and Gavin Scott Bredenkamp</w:t>
      </w:r>
      <w:r w:rsidR="00512A72">
        <w:rPr>
          <w:rFonts w:ascii="Times New Roman" w:hAnsi="Times New Roman" w:cs="Times New Roman"/>
          <w:sz w:val="24"/>
          <w:szCs w:val="24"/>
        </w:rPr>
        <w:t xml:space="preserve"> (referred to hereinafter as “Caron”, “Sarah”, and “John”)</w:t>
      </w:r>
      <w:r>
        <w:rPr>
          <w:rFonts w:ascii="Times New Roman" w:hAnsi="Times New Roman" w:cs="Times New Roman"/>
          <w:sz w:val="24"/>
          <w:szCs w:val="24"/>
        </w:rPr>
        <w:t>. To these children were born 7 grandchildren.</w:t>
      </w:r>
    </w:p>
    <w:p w14:paraId="0D6949F0" w14:textId="5FF7325C" w:rsidR="0012602A" w:rsidRDefault="00512A72" w:rsidP="0012602A">
      <w:pPr>
        <w:spacing w:line="360" w:lineRule="auto"/>
        <w:jc w:val="both"/>
        <w:rPr>
          <w:rFonts w:ascii="Times New Roman" w:hAnsi="Times New Roman" w:cs="Times New Roman"/>
          <w:sz w:val="24"/>
          <w:szCs w:val="24"/>
        </w:rPr>
      </w:pPr>
      <w:r>
        <w:rPr>
          <w:rFonts w:ascii="Times New Roman" w:hAnsi="Times New Roman" w:cs="Times New Roman"/>
          <w:sz w:val="24"/>
          <w:szCs w:val="24"/>
        </w:rPr>
        <w:t>[11] As</w:t>
      </w:r>
      <w:r w:rsidR="0012602A">
        <w:rPr>
          <w:rFonts w:ascii="Times New Roman" w:hAnsi="Times New Roman" w:cs="Times New Roman"/>
          <w:sz w:val="24"/>
          <w:szCs w:val="24"/>
        </w:rPr>
        <w:t xml:space="preserve"> at 27 January </w:t>
      </w:r>
      <w:r w:rsidR="00E1126A">
        <w:rPr>
          <w:rFonts w:ascii="Times New Roman" w:hAnsi="Times New Roman" w:cs="Times New Roman"/>
          <w:sz w:val="24"/>
          <w:szCs w:val="24"/>
        </w:rPr>
        <w:t>2022, (when Mrs Bredenkamp swore to her affidavit),</w:t>
      </w:r>
      <w:r w:rsidR="0012602A">
        <w:rPr>
          <w:rFonts w:ascii="Times New Roman" w:hAnsi="Times New Roman" w:cs="Times New Roman"/>
          <w:sz w:val="24"/>
          <w:szCs w:val="24"/>
        </w:rPr>
        <w:t xml:space="preserve"> two of the</w:t>
      </w:r>
      <w:r w:rsidR="00E1126A">
        <w:rPr>
          <w:rFonts w:ascii="Times New Roman" w:hAnsi="Times New Roman" w:cs="Times New Roman"/>
          <w:sz w:val="24"/>
          <w:szCs w:val="24"/>
        </w:rPr>
        <w:t xml:space="preserve"> grandchildren,</w:t>
      </w:r>
      <w:r w:rsidR="0012602A">
        <w:rPr>
          <w:rFonts w:ascii="Times New Roman" w:hAnsi="Times New Roman" w:cs="Times New Roman"/>
          <w:sz w:val="24"/>
          <w:szCs w:val="24"/>
        </w:rPr>
        <w:t xml:space="preserve"> Victoria Jennifer Vickerman and Ella Clara Vickerman had attained majority status whilst 5 others were still minors. Applicant wishes to join the</w:t>
      </w:r>
      <w:r w:rsidR="00E1126A">
        <w:rPr>
          <w:rFonts w:ascii="Times New Roman" w:hAnsi="Times New Roman" w:cs="Times New Roman"/>
          <w:sz w:val="24"/>
          <w:szCs w:val="24"/>
        </w:rPr>
        <w:t xml:space="preserve"> children and grandchildren of </w:t>
      </w:r>
      <w:r w:rsidR="00270FB4">
        <w:rPr>
          <w:rFonts w:ascii="Times New Roman" w:hAnsi="Times New Roman" w:cs="Times New Roman"/>
          <w:sz w:val="24"/>
          <w:szCs w:val="24"/>
        </w:rPr>
        <w:t>Mr. Bredenkamp</w:t>
      </w:r>
      <w:r w:rsidR="00E1126A">
        <w:rPr>
          <w:rFonts w:ascii="Times New Roman" w:hAnsi="Times New Roman" w:cs="Times New Roman"/>
          <w:sz w:val="24"/>
          <w:szCs w:val="24"/>
        </w:rPr>
        <w:t xml:space="preserve"> and lay claim to the (presumably) </w:t>
      </w:r>
      <w:r w:rsidR="0012602A">
        <w:rPr>
          <w:rFonts w:ascii="Times New Roman" w:hAnsi="Times New Roman" w:cs="Times New Roman"/>
          <w:sz w:val="24"/>
          <w:szCs w:val="24"/>
        </w:rPr>
        <w:t xml:space="preserve">munificent bequeathments </w:t>
      </w:r>
      <w:r w:rsidR="00E1126A">
        <w:rPr>
          <w:rFonts w:ascii="Times New Roman" w:hAnsi="Times New Roman" w:cs="Times New Roman"/>
          <w:sz w:val="24"/>
          <w:szCs w:val="24"/>
        </w:rPr>
        <w:t>due from first respondent trust.</w:t>
      </w:r>
    </w:p>
    <w:p w14:paraId="63E8B7BD" w14:textId="1260FD79" w:rsidR="008E2482" w:rsidRDefault="0012602A"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D6B3C">
        <w:rPr>
          <w:rFonts w:ascii="Times New Roman" w:hAnsi="Times New Roman" w:cs="Times New Roman"/>
          <w:sz w:val="24"/>
          <w:szCs w:val="24"/>
        </w:rPr>
        <w:t>1</w:t>
      </w:r>
      <w:r w:rsidR="00512A72">
        <w:rPr>
          <w:rFonts w:ascii="Times New Roman" w:hAnsi="Times New Roman" w:cs="Times New Roman"/>
          <w:sz w:val="24"/>
          <w:szCs w:val="24"/>
        </w:rPr>
        <w:t>2</w:t>
      </w:r>
      <w:r>
        <w:rPr>
          <w:rFonts w:ascii="Times New Roman" w:hAnsi="Times New Roman" w:cs="Times New Roman"/>
          <w:sz w:val="24"/>
          <w:szCs w:val="24"/>
        </w:rPr>
        <w:t>] Mr. Bredenkamp died on 18 June 2020.</w:t>
      </w:r>
      <w:r w:rsidR="00E1126A">
        <w:rPr>
          <w:rFonts w:ascii="Times New Roman" w:hAnsi="Times New Roman" w:cs="Times New Roman"/>
          <w:sz w:val="24"/>
          <w:szCs w:val="24"/>
        </w:rPr>
        <w:t xml:space="preserve">One may safely describe him as having been a wealthy man during his lifetime. He </w:t>
      </w:r>
      <w:r w:rsidR="007B068D">
        <w:rPr>
          <w:rFonts w:ascii="Times New Roman" w:hAnsi="Times New Roman" w:cs="Times New Roman"/>
          <w:sz w:val="24"/>
          <w:szCs w:val="24"/>
        </w:rPr>
        <w:t xml:space="preserve">had </w:t>
      </w:r>
      <w:r w:rsidR="00847715">
        <w:rPr>
          <w:rFonts w:ascii="Times New Roman" w:hAnsi="Times New Roman" w:cs="Times New Roman"/>
          <w:sz w:val="24"/>
          <w:szCs w:val="24"/>
        </w:rPr>
        <w:t xml:space="preserve">established </w:t>
      </w:r>
      <w:r>
        <w:rPr>
          <w:rFonts w:ascii="Times New Roman" w:hAnsi="Times New Roman" w:cs="Times New Roman"/>
          <w:sz w:val="24"/>
          <w:szCs w:val="24"/>
        </w:rPr>
        <w:t>first respondent trust</w:t>
      </w:r>
      <w:r w:rsidR="00E1126A">
        <w:rPr>
          <w:rFonts w:ascii="Times New Roman" w:hAnsi="Times New Roman" w:cs="Times New Roman"/>
          <w:sz w:val="24"/>
          <w:szCs w:val="24"/>
        </w:rPr>
        <w:t xml:space="preserve"> </w:t>
      </w:r>
      <w:r w:rsidR="00847715">
        <w:rPr>
          <w:rFonts w:ascii="Times New Roman" w:hAnsi="Times New Roman" w:cs="Times New Roman"/>
          <w:sz w:val="24"/>
          <w:szCs w:val="24"/>
        </w:rPr>
        <w:t xml:space="preserve">on 9 August 1989 by a notarial deed of donation settled by one Christopher John Strong. Mahachi </w:t>
      </w:r>
      <w:r w:rsidR="00270FB4">
        <w:rPr>
          <w:rFonts w:ascii="Times New Roman" w:hAnsi="Times New Roman" w:cs="Times New Roman"/>
          <w:sz w:val="24"/>
          <w:szCs w:val="24"/>
        </w:rPr>
        <w:t>attempted to make an issue out the creation of first respondent trust. She dismissed as incorrect</w:t>
      </w:r>
      <w:r w:rsidR="008E2482">
        <w:rPr>
          <w:rFonts w:ascii="Times New Roman" w:hAnsi="Times New Roman" w:cs="Times New Roman"/>
          <w:sz w:val="24"/>
          <w:szCs w:val="24"/>
        </w:rPr>
        <w:t>, applicant`s averment that the trust was “formed at the instance and initiative of my late father John Arnold Bredenkamp</w:t>
      </w:r>
      <w:r w:rsidR="00270FB4">
        <w:rPr>
          <w:rFonts w:ascii="Times New Roman" w:hAnsi="Times New Roman" w:cs="Times New Roman"/>
          <w:sz w:val="24"/>
          <w:szCs w:val="24"/>
        </w:rPr>
        <w:t xml:space="preserve">”. </w:t>
      </w:r>
    </w:p>
    <w:p w14:paraId="2D312F98" w14:textId="12157110" w:rsidR="00270FB4" w:rsidRDefault="008E2482"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70FB4">
        <w:rPr>
          <w:rFonts w:ascii="Times New Roman" w:hAnsi="Times New Roman" w:cs="Times New Roman"/>
          <w:sz w:val="24"/>
          <w:szCs w:val="24"/>
        </w:rPr>
        <w:t>1</w:t>
      </w:r>
      <w:r w:rsidR="00512A72">
        <w:rPr>
          <w:rFonts w:ascii="Times New Roman" w:hAnsi="Times New Roman" w:cs="Times New Roman"/>
          <w:sz w:val="24"/>
          <w:szCs w:val="24"/>
        </w:rPr>
        <w:t>3</w:t>
      </w:r>
      <w:r>
        <w:rPr>
          <w:rFonts w:ascii="Times New Roman" w:hAnsi="Times New Roman" w:cs="Times New Roman"/>
          <w:sz w:val="24"/>
          <w:szCs w:val="24"/>
        </w:rPr>
        <w:t xml:space="preserve">] </w:t>
      </w:r>
      <w:r w:rsidR="00270FB4">
        <w:rPr>
          <w:rFonts w:ascii="Times New Roman" w:hAnsi="Times New Roman" w:cs="Times New Roman"/>
          <w:sz w:val="24"/>
          <w:szCs w:val="24"/>
        </w:rPr>
        <w:t xml:space="preserve">Mahachi`s objection on this aspect was ill taken. </w:t>
      </w:r>
      <w:r>
        <w:rPr>
          <w:rFonts w:ascii="Times New Roman" w:hAnsi="Times New Roman" w:cs="Times New Roman"/>
          <w:sz w:val="24"/>
          <w:szCs w:val="24"/>
        </w:rPr>
        <w:t xml:space="preserve">A reading of the trust deed does confirm that </w:t>
      </w:r>
      <w:r w:rsidR="00270FB4">
        <w:rPr>
          <w:rFonts w:ascii="Times New Roman" w:hAnsi="Times New Roman" w:cs="Times New Roman"/>
          <w:sz w:val="24"/>
          <w:szCs w:val="24"/>
        </w:rPr>
        <w:t xml:space="preserve">first respondent </w:t>
      </w:r>
      <w:r>
        <w:rPr>
          <w:rFonts w:ascii="Times New Roman" w:hAnsi="Times New Roman" w:cs="Times New Roman"/>
          <w:sz w:val="24"/>
          <w:szCs w:val="24"/>
        </w:rPr>
        <w:t xml:space="preserve">was </w:t>
      </w:r>
      <w:r w:rsidR="00270FB4">
        <w:rPr>
          <w:rFonts w:ascii="Times New Roman" w:hAnsi="Times New Roman" w:cs="Times New Roman"/>
          <w:sz w:val="24"/>
          <w:szCs w:val="24"/>
        </w:rPr>
        <w:t>set up in the interest of the late Mr. Bredenkamp, his wife, children, grandchildren and other persons and concerns associated with him.</w:t>
      </w:r>
      <w:r>
        <w:rPr>
          <w:rFonts w:ascii="Times New Roman" w:hAnsi="Times New Roman" w:cs="Times New Roman"/>
          <w:sz w:val="24"/>
          <w:szCs w:val="24"/>
        </w:rPr>
        <w:t xml:space="preserve"> </w:t>
      </w:r>
      <w:r w:rsidR="00193184">
        <w:rPr>
          <w:rFonts w:ascii="Times New Roman" w:hAnsi="Times New Roman" w:cs="Times New Roman"/>
          <w:sz w:val="24"/>
          <w:szCs w:val="24"/>
        </w:rPr>
        <w:t xml:space="preserve">Apart from the original donation of $1000 </w:t>
      </w:r>
      <w:r w:rsidR="004C3A34">
        <w:rPr>
          <w:rFonts w:ascii="Times New Roman" w:hAnsi="Times New Roman" w:cs="Times New Roman"/>
          <w:sz w:val="24"/>
          <w:szCs w:val="24"/>
        </w:rPr>
        <w:t xml:space="preserve">from Mr Strong </w:t>
      </w:r>
      <w:r w:rsidR="00193184">
        <w:rPr>
          <w:rFonts w:ascii="Times New Roman" w:hAnsi="Times New Roman" w:cs="Times New Roman"/>
          <w:sz w:val="24"/>
          <w:szCs w:val="24"/>
        </w:rPr>
        <w:t xml:space="preserve">upon inception, </w:t>
      </w:r>
      <w:r w:rsidR="00270FB4">
        <w:rPr>
          <w:rFonts w:ascii="Times New Roman" w:hAnsi="Times New Roman" w:cs="Times New Roman"/>
          <w:sz w:val="24"/>
          <w:szCs w:val="24"/>
        </w:rPr>
        <w:t xml:space="preserve">it </w:t>
      </w:r>
      <w:r w:rsidR="00512A72">
        <w:rPr>
          <w:rFonts w:ascii="Times New Roman" w:hAnsi="Times New Roman" w:cs="Times New Roman"/>
          <w:sz w:val="24"/>
          <w:szCs w:val="24"/>
        </w:rPr>
        <w:t xml:space="preserve">may be safely inferred from the </w:t>
      </w:r>
      <w:r w:rsidR="00270FB4">
        <w:rPr>
          <w:rFonts w:ascii="Times New Roman" w:hAnsi="Times New Roman" w:cs="Times New Roman"/>
          <w:sz w:val="24"/>
          <w:szCs w:val="24"/>
        </w:rPr>
        <w:t xml:space="preserve">papers that </w:t>
      </w:r>
      <w:r w:rsidR="00193184">
        <w:rPr>
          <w:rFonts w:ascii="Times New Roman" w:hAnsi="Times New Roman" w:cs="Times New Roman"/>
          <w:sz w:val="24"/>
          <w:szCs w:val="24"/>
        </w:rPr>
        <w:t xml:space="preserve">the trust subsequently </w:t>
      </w:r>
      <w:r>
        <w:rPr>
          <w:rFonts w:ascii="Times New Roman" w:hAnsi="Times New Roman" w:cs="Times New Roman"/>
          <w:sz w:val="24"/>
          <w:szCs w:val="24"/>
        </w:rPr>
        <w:t xml:space="preserve">received </w:t>
      </w:r>
      <w:r w:rsidR="0012602A">
        <w:rPr>
          <w:rFonts w:ascii="Times New Roman" w:hAnsi="Times New Roman" w:cs="Times New Roman"/>
          <w:sz w:val="24"/>
          <w:szCs w:val="24"/>
        </w:rPr>
        <w:t>further donation</w:t>
      </w:r>
      <w:r w:rsidR="00512A72">
        <w:rPr>
          <w:rFonts w:ascii="Times New Roman" w:hAnsi="Times New Roman" w:cs="Times New Roman"/>
          <w:sz w:val="24"/>
          <w:szCs w:val="24"/>
        </w:rPr>
        <w:t>s</w:t>
      </w:r>
      <w:r w:rsidR="0012602A">
        <w:rPr>
          <w:rFonts w:ascii="Times New Roman" w:hAnsi="Times New Roman" w:cs="Times New Roman"/>
          <w:sz w:val="24"/>
          <w:szCs w:val="24"/>
        </w:rPr>
        <w:t xml:space="preserve"> from Mr. Bredenk</w:t>
      </w:r>
      <w:r w:rsidR="004E2D9D">
        <w:rPr>
          <w:rFonts w:ascii="Times New Roman" w:hAnsi="Times New Roman" w:cs="Times New Roman"/>
          <w:sz w:val="24"/>
          <w:szCs w:val="24"/>
        </w:rPr>
        <w:t>a</w:t>
      </w:r>
      <w:r w:rsidR="0012602A">
        <w:rPr>
          <w:rFonts w:ascii="Times New Roman" w:hAnsi="Times New Roman" w:cs="Times New Roman"/>
          <w:sz w:val="24"/>
          <w:szCs w:val="24"/>
        </w:rPr>
        <w:t xml:space="preserve">mp. </w:t>
      </w:r>
    </w:p>
    <w:p w14:paraId="11B0021D" w14:textId="0444AE48" w:rsidR="008E2482" w:rsidRDefault="00270FB4"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12A72">
        <w:rPr>
          <w:rFonts w:ascii="Times New Roman" w:hAnsi="Times New Roman" w:cs="Times New Roman"/>
          <w:sz w:val="24"/>
          <w:szCs w:val="24"/>
        </w:rPr>
        <w:t>4</w:t>
      </w:r>
      <w:r>
        <w:rPr>
          <w:rFonts w:ascii="Times New Roman" w:hAnsi="Times New Roman" w:cs="Times New Roman"/>
          <w:sz w:val="24"/>
          <w:szCs w:val="24"/>
        </w:rPr>
        <w:t xml:space="preserve">] </w:t>
      </w:r>
      <w:r w:rsidR="00993E81">
        <w:rPr>
          <w:rFonts w:ascii="Times New Roman" w:hAnsi="Times New Roman" w:cs="Times New Roman"/>
          <w:sz w:val="24"/>
          <w:szCs w:val="24"/>
        </w:rPr>
        <w:t>The contestation by Mahachi that Mr. Bredenk</w:t>
      </w:r>
      <w:r w:rsidR="004E2D9D">
        <w:rPr>
          <w:rFonts w:ascii="Times New Roman" w:hAnsi="Times New Roman" w:cs="Times New Roman"/>
          <w:sz w:val="24"/>
          <w:szCs w:val="24"/>
        </w:rPr>
        <w:t>a</w:t>
      </w:r>
      <w:r w:rsidR="00993E81">
        <w:rPr>
          <w:rFonts w:ascii="Times New Roman" w:hAnsi="Times New Roman" w:cs="Times New Roman"/>
          <w:sz w:val="24"/>
          <w:szCs w:val="24"/>
        </w:rPr>
        <w:t xml:space="preserve">mp was not </w:t>
      </w:r>
      <w:r>
        <w:rPr>
          <w:rFonts w:ascii="Times New Roman" w:hAnsi="Times New Roman" w:cs="Times New Roman"/>
          <w:sz w:val="24"/>
          <w:szCs w:val="24"/>
        </w:rPr>
        <w:t>first respondent`s “de facto” settlor</w:t>
      </w:r>
      <w:r w:rsidR="00993E81">
        <w:rPr>
          <w:rFonts w:ascii="Times New Roman" w:hAnsi="Times New Roman" w:cs="Times New Roman"/>
          <w:sz w:val="24"/>
          <w:szCs w:val="24"/>
        </w:rPr>
        <w:t xml:space="preserve"> was </w:t>
      </w:r>
      <w:r w:rsidR="00512A72">
        <w:rPr>
          <w:rFonts w:ascii="Times New Roman" w:hAnsi="Times New Roman" w:cs="Times New Roman"/>
          <w:sz w:val="24"/>
          <w:szCs w:val="24"/>
        </w:rPr>
        <w:t xml:space="preserve">however, </w:t>
      </w:r>
      <w:r w:rsidR="00993E81">
        <w:rPr>
          <w:rFonts w:ascii="Times New Roman" w:hAnsi="Times New Roman" w:cs="Times New Roman"/>
          <w:sz w:val="24"/>
          <w:szCs w:val="24"/>
        </w:rPr>
        <w:t>effectively abandoned</w:t>
      </w:r>
      <w:r w:rsidR="00512A72">
        <w:rPr>
          <w:rFonts w:ascii="Times New Roman" w:hAnsi="Times New Roman" w:cs="Times New Roman"/>
          <w:sz w:val="24"/>
          <w:szCs w:val="24"/>
        </w:rPr>
        <w:t xml:space="preserve"> by the respondents.</w:t>
      </w:r>
      <w:r w:rsidR="00993E81">
        <w:rPr>
          <w:rFonts w:ascii="Times New Roman" w:hAnsi="Times New Roman" w:cs="Times New Roman"/>
          <w:sz w:val="24"/>
          <w:szCs w:val="24"/>
        </w:rPr>
        <w:t xml:space="preserve"> I will thus accept, as the parties clearly did, that materially, the court is concerned with a trust established by </w:t>
      </w:r>
      <w:r w:rsidR="004E2D9D">
        <w:rPr>
          <w:rFonts w:ascii="Times New Roman" w:hAnsi="Times New Roman" w:cs="Times New Roman"/>
          <w:sz w:val="24"/>
          <w:szCs w:val="24"/>
        </w:rPr>
        <w:t>Mr. Bredenkamp</w:t>
      </w:r>
      <w:r w:rsidR="00993E81">
        <w:rPr>
          <w:rFonts w:ascii="Times New Roman" w:hAnsi="Times New Roman" w:cs="Times New Roman"/>
          <w:sz w:val="24"/>
          <w:szCs w:val="24"/>
        </w:rPr>
        <w:t xml:space="preserve">. </w:t>
      </w:r>
      <w:r>
        <w:rPr>
          <w:rFonts w:ascii="Times New Roman" w:hAnsi="Times New Roman" w:cs="Times New Roman"/>
          <w:sz w:val="24"/>
          <w:szCs w:val="24"/>
        </w:rPr>
        <w:t xml:space="preserve">In fact, both parties liberally referred to Mr. Bredenkamp as the </w:t>
      </w:r>
      <w:r w:rsidR="00843156">
        <w:rPr>
          <w:rFonts w:ascii="Times New Roman" w:hAnsi="Times New Roman" w:cs="Times New Roman"/>
          <w:sz w:val="24"/>
          <w:szCs w:val="24"/>
        </w:rPr>
        <w:t>settlor. I will also, on the basis of that consensus, apply that appellation to him.</w:t>
      </w:r>
    </w:p>
    <w:p w14:paraId="07430371" w14:textId="5DB0C725" w:rsidR="00512A72" w:rsidRDefault="003048E5"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43156">
        <w:rPr>
          <w:rFonts w:ascii="Times New Roman" w:hAnsi="Times New Roman" w:cs="Times New Roman"/>
          <w:sz w:val="24"/>
          <w:szCs w:val="24"/>
        </w:rPr>
        <w:t>1</w:t>
      </w:r>
      <w:r w:rsidR="00512A72">
        <w:rPr>
          <w:rFonts w:ascii="Times New Roman" w:hAnsi="Times New Roman" w:cs="Times New Roman"/>
          <w:sz w:val="24"/>
          <w:szCs w:val="24"/>
        </w:rPr>
        <w:t>5</w:t>
      </w:r>
      <w:r>
        <w:rPr>
          <w:rFonts w:ascii="Times New Roman" w:hAnsi="Times New Roman" w:cs="Times New Roman"/>
          <w:sz w:val="24"/>
          <w:szCs w:val="24"/>
        </w:rPr>
        <w:t xml:space="preserve">] </w:t>
      </w:r>
      <w:r w:rsidR="004B09D9">
        <w:rPr>
          <w:rFonts w:ascii="Times New Roman" w:hAnsi="Times New Roman" w:cs="Times New Roman"/>
          <w:sz w:val="24"/>
          <w:szCs w:val="24"/>
        </w:rPr>
        <w:t xml:space="preserve">Mrs Bredenkamp </w:t>
      </w:r>
      <w:r w:rsidR="00512A72">
        <w:rPr>
          <w:rFonts w:ascii="Times New Roman" w:hAnsi="Times New Roman" w:cs="Times New Roman"/>
          <w:sz w:val="24"/>
          <w:szCs w:val="24"/>
        </w:rPr>
        <w:t xml:space="preserve">also confirmed in her affidavit that </w:t>
      </w:r>
      <w:r w:rsidR="004B09D9">
        <w:rPr>
          <w:rFonts w:ascii="Times New Roman" w:hAnsi="Times New Roman" w:cs="Times New Roman"/>
          <w:sz w:val="24"/>
          <w:szCs w:val="24"/>
        </w:rPr>
        <w:t xml:space="preserve">first respondent trust was created </w:t>
      </w:r>
      <w:r w:rsidR="00512A72">
        <w:rPr>
          <w:rFonts w:ascii="Times New Roman" w:hAnsi="Times New Roman" w:cs="Times New Roman"/>
          <w:sz w:val="24"/>
          <w:szCs w:val="24"/>
        </w:rPr>
        <w:t xml:space="preserve">to address </w:t>
      </w:r>
      <w:r w:rsidR="004B09D9">
        <w:rPr>
          <w:rFonts w:ascii="Times New Roman" w:hAnsi="Times New Roman" w:cs="Times New Roman"/>
          <w:sz w:val="24"/>
          <w:szCs w:val="24"/>
        </w:rPr>
        <w:t xml:space="preserve">the financial needs of Mr and Mrs Bredenkamp, their children and grandchildren. Applicant </w:t>
      </w:r>
      <w:r w:rsidR="00512A72">
        <w:rPr>
          <w:rFonts w:ascii="Times New Roman" w:hAnsi="Times New Roman" w:cs="Times New Roman"/>
          <w:sz w:val="24"/>
          <w:szCs w:val="24"/>
        </w:rPr>
        <w:t xml:space="preserve">agreed with that averment save where the deponent excluded him from the list of Mr. Bredenkamp`s children-beneficiaries. Applicant insisted, instead, that he was also a child of Mr. Bredenkamp.In that respect, he belonged to the </w:t>
      </w:r>
      <w:r w:rsidR="004B09D9">
        <w:rPr>
          <w:rFonts w:ascii="Times New Roman" w:hAnsi="Times New Roman" w:cs="Times New Roman"/>
          <w:sz w:val="24"/>
          <w:szCs w:val="24"/>
        </w:rPr>
        <w:t>second category</w:t>
      </w:r>
      <w:r w:rsidR="00512A72">
        <w:rPr>
          <w:rFonts w:ascii="Times New Roman" w:hAnsi="Times New Roman" w:cs="Times New Roman"/>
          <w:sz w:val="24"/>
          <w:szCs w:val="24"/>
        </w:rPr>
        <w:t xml:space="preserve"> of beneficiaries comprising of his half-siblings Caron, Sarah and John</w:t>
      </w:r>
      <w:r w:rsidR="004B09D9">
        <w:rPr>
          <w:rFonts w:ascii="Times New Roman" w:hAnsi="Times New Roman" w:cs="Times New Roman"/>
          <w:sz w:val="24"/>
          <w:szCs w:val="24"/>
        </w:rPr>
        <w:t>.</w:t>
      </w:r>
    </w:p>
    <w:p w14:paraId="6F51CE69" w14:textId="0E6708E4" w:rsidR="004B09D9" w:rsidRDefault="00512A72"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3B1DF8">
        <w:rPr>
          <w:rFonts w:ascii="Times New Roman" w:hAnsi="Times New Roman" w:cs="Times New Roman"/>
          <w:sz w:val="24"/>
          <w:szCs w:val="24"/>
        </w:rPr>
        <w:t>] The</w:t>
      </w:r>
      <w:r w:rsidR="00843156">
        <w:rPr>
          <w:rFonts w:ascii="Times New Roman" w:hAnsi="Times New Roman" w:cs="Times New Roman"/>
          <w:sz w:val="24"/>
          <w:szCs w:val="24"/>
        </w:rPr>
        <w:t xml:space="preserve"> definition and formula to identify “beneficiaries” to first respondent trust are found in clause 5 of the trust deed. This clause is important. </w:t>
      </w:r>
      <w:r w:rsidR="008939B9">
        <w:rPr>
          <w:rFonts w:ascii="Times New Roman" w:hAnsi="Times New Roman" w:cs="Times New Roman"/>
          <w:sz w:val="24"/>
          <w:szCs w:val="24"/>
        </w:rPr>
        <w:t>The disposal of this dispute will depend on the interpretation of this clause.</w:t>
      </w:r>
      <w:r w:rsidR="00843156">
        <w:rPr>
          <w:rFonts w:ascii="Times New Roman" w:hAnsi="Times New Roman" w:cs="Times New Roman"/>
          <w:sz w:val="24"/>
          <w:szCs w:val="24"/>
        </w:rPr>
        <w:t xml:space="preserve"> It </w:t>
      </w:r>
      <w:r w:rsidR="004B09D9">
        <w:rPr>
          <w:rFonts w:ascii="Times New Roman" w:hAnsi="Times New Roman" w:cs="Times New Roman"/>
          <w:sz w:val="24"/>
          <w:szCs w:val="24"/>
        </w:rPr>
        <w:t>provides as follows: -</w:t>
      </w:r>
    </w:p>
    <w:p w14:paraId="5EB9DE33" w14:textId="333A6EE5" w:rsidR="004E298B" w:rsidRDefault="004C3A34" w:rsidP="004C3A34">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004B09D9">
        <w:rPr>
          <w:rFonts w:ascii="Times New Roman" w:hAnsi="Times New Roman" w:cs="Times New Roman"/>
          <w:sz w:val="24"/>
          <w:szCs w:val="24"/>
        </w:rPr>
        <w:t>That after declaring all costs and expenses incurred in the operation and administration of the Trust and after making such provisions and establishing such reserves as they in their discretion may determine the Trustees shall, until the capital of the Trust has been finally and completely paid over to the beneficiaries entitled thereto in accordance with this Deed, distribute so much of the income and/or capital of the Trust among the beneficiaries and in such amounts or proportions as they may determine in their absolute discretion</w:t>
      </w:r>
      <w:r w:rsidR="004B09D9" w:rsidRPr="00193184">
        <w:rPr>
          <w:rFonts w:ascii="Times New Roman" w:hAnsi="Times New Roman" w:cs="Times New Roman"/>
          <w:sz w:val="24"/>
          <w:szCs w:val="24"/>
          <w:u w:val="single"/>
        </w:rPr>
        <w:t xml:space="preserve">. For the purposes of this settlement </w:t>
      </w:r>
      <w:bookmarkStart w:id="0" w:name="_Hlk181771408"/>
      <w:r w:rsidR="004B09D9" w:rsidRPr="00193184">
        <w:rPr>
          <w:rFonts w:ascii="Times New Roman" w:hAnsi="Times New Roman" w:cs="Times New Roman"/>
          <w:sz w:val="24"/>
          <w:szCs w:val="24"/>
          <w:u w:val="single"/>
        </w:rPr>
        <w:t xml:space="preserve">the </w:t>
      </w:r>
      <w:r w:rsidR="004E298B" w:rsidRPr="00193184">
        <w:rPr>
          <w:rFonts w:ascii="Times New Roman" w:hAnsi="Times New Roman" w:cs="Times New Roman"/>
          <w:sz w:val="24"/>
          <w:szCs w:val="24"/>
          <w:u w:val="single"/>
        </w:rPr>
        <w:t>term “</w:t>
      </w:r>
      <w:r w:rsidR="004B09D9" w:rsidRPr="00193184">
        <w:rPr>
          <w:rFonts w:ascii="Times New Roman" w:hAnsi="Times New Roman" w:cs="Times New Roman"/>
          <w:sz w:val="24"/>
          <w:szCs w:val="24"/>
          <w:u w:val="single"/>
        </w:rPr>
        <w:t xml:space="preserve">the beneficiaries” shall include all or any of the following persons </w:t>
      </w:r>
      <w:r w:rsidR="004E298B" w:rsidRPr="00193184">
        <w:rPr>
          <w:rFonts w:ascii="Times New Roman" w:hAnsi="Times New Roman" w:cs="Times New Roman"/>
          <w:sz w:val="24"/>
          <w:szCs w:val="24"/>
          <w:u w:val="single"/>
        </w:rPr>
        <w:t xml:space="preserve">or classes of persons </w:t>
      </w:r>
      <w:bookmarkEnd w:id="0"/>
      <w:r w:rsidR="004E298B" w:rsidRPr="00193184">
        <w:rPr>
          <w:rFonts w:ascii="Times New Roman" w:hAnsi="Times New Roman" w:cs="Times New Roman"/>
          <w:sz w:val="24"/>
          <w:szCs w:val="24"/>
          <w:u w:val="single"/>
        </w:rPr>
        <w:t>provided that they reside in Zimbabwe</w:t>
      </w:r>
      <w:r w:rsidR="004E298B">
        <w:rPr>
          <w:rFonts w:ascii="Times New Roman" w:hAnsi="Times New Roman" w:cs="Times New Roman"/>
          <w:sz w:val="24"/>
          <w:szCs w:val="24"/>
        </w:rPr>
        <w:t xml:space="preserve"> and/or any of the following charities in respect of their operations in Zimbabwe;</w:t>
      </w:r>
      <w:r w:rsidR="00D94B08">
        <w:rPr>
          <w:rFonts w:ascii="Times New Roman" w:hAnsi="Times New Roman" w:cs="Times New Roman"/>
          <w:sz w:val="24"/>
          <w:szCs w:val="24"/>
        </w:rPr>
        <w:t xml:space="preserve"> </w:t>
      </w:r>
    </w:p>
    <w:p w14:paraId="330BBCD0" w14:textId="0982AFB0" w:rsidR="004B09D9" w:rsidRPr="004C3A34" w:rsidRDefault="004E298B" w:rsidP="004C3A34">
      <w:pPr>
        <w:pStyle w:val="ListParagraph"/>
        <w:numPr>
          <w:ilvl w:val="0"/>
          <w:numId w:val="2"/>
        </w:numPr>
        <w:spacing w:line="360" w:lineRule="auto"/>
        <w:ind w:left="851"/>
        <w:jc w:val="both"/>
        <w:rPr>
          <w:rFonts w:ascii="Times New Roman" w:hAnsi="Times New Roman" w:cs="Times New Roman"/>
          <w:sz w:val="24"/>
          <w:szCs w:val="24"/>
        </w:rPr>
      </w:pPr>
      <w:bookmarkStart w:id="1" w:name="_Hlk181623659"/>
      <w:r w:rsidRPr="004C3A34">
        <w:rPr>
          <w:rFonts w:ascii="Times New Roman" w:hAnsi="Times New Roman" w:cs="Times New Roman"/>
          <w:sz w:val="20"/>
          <w:szCs w:val="20"/>
        </w:rPr>
        <w:t>JOHN ARNOLD BREDENKAMP</w:t>
      </w:r>
      <w:r w:rsidRPr="004C3A34">
        <w:rPr>
          <w:rFonts w:ascii="Times New Roman" w:hAnsi="Times New Roman" w:cs="Times New Roman"/>
          <w:sz w:val="24"/>
          <w:szCs w:val="24"/>
        </w:rPr>
        <w:t xml:space="preserve"> </w:t>
      </w:r>
      <w:bookmarkEnd w:id="1"/>
      <w:r w:rsidRPr="004C3A34">
        <w:rPr>
          <w:rFonts w:ascii="Times New Roman" w:hAnsi="Times New Roman" w:cs="Times New Roman"/>
          <w:sz w:val="24"/>
          <w:szCs w:val="24"/>
        </w:rPr>
        <w:t xml:space="preserve">and his wife </w:t>
      </w:r>
      <w:r w:rsidRPr="004C3A34">
        <w:rPr>
          <w:rFonts w:ascii="Times New Roman" w:hAnsi="Times New Roman" w:cs="Times New Roman"/>
          <w:sz w:val="20"/>
          <w:szCs w:val="20"/>
        </w:rPr>
        <w:t>JENNIFER LEE BREDENKAMP</w:t>
      </w:r>
      <w:r w:rsidRPr="004C3A34">
        <w:rPr>
          <w:rFonts w:ascii="Times New Roman" w:hAnsi="Times New Roman" w:cs="Times New Roman"/>
          <w:sz w:val="24"/>
          <w:szCs w:val="24"/>
        </w:rPr>
        <w:t>;</w:t>
      </w:r>
    </w:p>
    <w:p w14:paraId="6589EF72" w14:textId="75D8E137" w:rsidR="004E298B" w:rsidRPr="004C3A34" w:rsidRDefault="004E298B" w:rsidP="004C3A34">
      <w:pPr>
        <w:pStyle w:val="ListParagraph"/>
        <w:numPr>
          <w:ilvl w:val="0"/>
          <w:numId w:val="2"/>
        </w:numPr>
        <w:spacing w:line="360" w:lineRule="auto"/>
        <w:ind w:left="851"/>
        <w:jc w:val="both"/>
        <w:rPr>
          <w:rFonts w:ascii="Times New Roman" w:hAnsi="Times New Roman" w:cs="Times New Roman"/>
          <w:sz w:val="24"/>
          <w:szCs w:val="24"/>
        </w:rPr>
      </w:pPr>
      <w:r w:rsidRPr="004C3A34">
        <w:rPr>
          <w:rFonts w:ascii="Times New Roman" w:hAnsi="Times New Roman" w:cs="Times New Roman"/>
          <w:sz w:val="24"/>
          <w:szCs w:val="24"/>
        </w:rPr>
        <w:t xml:space="preserve">the children of the said </w:t>
      </w:r>
      <w:r w:rsidRPr="004C3A34">
        <w:rPr>
          <w:rFonts w:ascii="Times New Roman" w:hAnsi="Times New Roman" w:cs="Times New Roman"/>
          <w:sz w:val="20"/>
          <w:szCs w:val="20"/>
        </w:rPr>
        <w:t>JOHN ARNOLD BREDENKAMP;</w:t>
      </w:r>
    </w:p>
    <w:p w14:paraId="2E3B8D17" w14:textId="66831AE7" w:rsidR="004E298B" w:rsidRPr="00193184" w:rsidRDefault="004E298B" w:rsidP="004C3A34">
      <w:pPr>
        <w:pStyle w:val="ListParagraph"/>
        <w:numPr>
          <w:ilvl w:val="0"/>
          <w:numId w:val="3"/>
        </w:numPr>
        <w:spacing w:line="360" w:lineRule="auto"/>
        <w:jc w:val="both"/>
        <w:rPr>
          <w:rFonts w:ascii="Times New Roman" w:hAnsi="Times New Roman" w:cs="Times New Roman"/>
          <w:sz w:val="24"/>
          <w:szCs w:val="24"/>
        </w:rPr>
      </w:pPr>
      <w:r w:rsidRPr="00193184">
        <w:rPr>
          <w:rFonts w:ascii="Times New Roman" w:hAnsi="Times New Roman" w:cs="Times New Roman"/>
          <w:sz w:val="24"/>
          <w:szCs w:val="24"/>
        </w:rPr>
        <w:t>Caro</w:t>
      </w:r>
      <w:r w:rsidR="008D65AE">
        <w:rPr>
          <w:rFonts w:ascii="Times New Roman" w:hAnsi="Times New Roman" w:cs="Times New Roman"/>
          <w:sz w:val="24"/>
          <w:szCs w:val="24"/>
        </w:rPr>
        <w:t>n</w:t>
      </w:r>
      <w:r w:rsidRPr="00193184">
        <w:rPr>
          <w:rFonts w:ascii="Times New Roman" w:hAnsi="Times New Roman" w:cs="Times New Roman"/>
          <w:sz w:val="24"/>
          <w:szCs w:val="24"/>
        </w:rPr>
        <w:t xml:space="preserve"> Lee Bredenkamp</w:t>
      </w:r>
    </w:p>
    <w:p w14:paraId="686EF658" w14:textId="24BA1D6D" w:rsidR="004E298B" w:rsidRPr="00193184" w:rsidRDefault="004E298B" w:rsidP="004C3A34">
      <w:pPr>
        <w:pStyle w:val="ListParagraph"/>
        <w:numPr>
          <w:ilvl w:val="0"/>
          <w:numId w:val="3"/>
        </w:numPr>
        <w:spacing w:line="360" w:lineRule="auto"/>
        <w:jc w:val="both"/>
        <w:rPr>
          <w:rFonts w:ascii="Times New Roman" w:hAnsi="Times New Roman" w:cs="Times New Roman"/>
          <w:sz w:val="24"/>
          <w:szCs w:val="24"/>
        </w:rPr>
      </w:pPr>
      <w:r w:rsidRPr="00193184">
        <w:rPr>
          <w:rFonts w:ascii="Times New Roman" w:hAnsi="Times New Roman" w:cs="Times New Roman"/>
          <w:sz w:val="24"/>
          <w:szCs w:val="24"/>
        </w:rPr>
        <w:t>Sarah Lee Bredenkamp</w:t>
      </w:r>
    </w:p>
    <w:p w14:paraId="2478D4B5" w14:textId="2ACE3C7C" w:rsidR="004E298B" w:rsidRPr="00193184" w:rsidRDefault="004E298B" w:rsidP="004C3A34">
      <w:pPr>
        <w:pStyle w:val="ListParagraph"/>
        <w:numPr>
          <w:ilvl w:val="0"/>
          <w:numId w:val="3"/>
        </w:numPr>
        <w:spacing w:line="360" w:lineRule="auto"/>
        <w:jc w:val="both"/>
        <w:rPr>
          <w:rFonts w:ascii="Times New Roman" w:hAnsi="Times New Roman" w:cs="Times New Roman"/>
          <w:sz w:val="24"/>
          <w:szCs w:val="24"/>
        </w:rPr>
      </w:pPr>
      <w:r w:rsidRPr="00193184">
        <w:rPr>
          <w:rFonts w:ascii="Times New Roman" w:hAnsi="Times New Roman" w:cs="Times New Roman"/>
          <w:sz w:val="24"/>
          <w:szCs w:val="24"/>
        </w:rPr>
        <w:t>John Scott Bredenkamp</w:t>
      </w:r>
    </w:p>
    <w:p w14:paraId="420189D1" w14:textId="7FCE2A71" w:rsidR="004E298B" w:rsidRPr="004C3A34" w:rsidRDefault="004E298B" w:rsidP="004C3A34">
      <w:pPr>
        <w:pStyle w:val="ListParagraph"/>
        <w:numPr>
          <w:ilvl w:val="0"/>
          <w:numId w:val="2"/>
        </w:numPr>
        <w:spacing w:line="360" w:lineRule="auto"/>
        <w:ind w:left="851"/>
        <w:jc w:val="both"/>
        <w:rPr>
          <w:rFonts w:ascii="Times New Roman" w:hAnsi="Times New Roman" w:cs="Times New Roman"/>
          <w:sz w:val="24"/>
          <w:szCs w:val="24"/>
        </w:rPr>
      </w:pPr>
      <w:r w:rsidRPr="004C3A34">
        <w:rPr>
          <w:rFonts w:ascii="Times New Roman" w:hAnsi="Times New Roman" w:cs="Times New Roman"/>
          <w:sz w:val="24"/>
          <w:szCs w:val="24"/>
        </w:rPr>
        <w:t xml:space="preserve">the grandchildren (including adopted grandchildren) of the said </w:t>
      </w:r>
      <w:r w:rsidRPr="004C3A34">
        <w:rPr>
          <w:rFonts w:ascii="Times New Roman" w:hAnsi="Times New Roman" w:cs="Times New Roman"/>
          <w:sz w:val="20"/>
          <w:szCs w:val="20"/>
        </w:rPr>
        <w:t>JOHN ARNOLD BREDENKAMP</w:t>
      </w:r>
      <w:r w:rsidRPr="004C3A34">
        <w:rPr>
          <w:rFonts w:ascii="Times New Roman" w:hAnsi="Times New Roman" w:cs="Times New Roman"/>
          <w:sz w:val="24"/>
          <w:szCs w:val="24"/>
        </w:rPr>
        <w:t xml:space="preserve"> now born or to be born hereafter;</w:t>
      </w:r>
    </w:p>
    <w:p w14:paraId="490C8B0C" w14:textId="3E47865F" w:rsidR="004E298B" w:rsidRPr="004C3A34" w:rsidRDefault="004E298B" w:rsidP="004C3A34">
      <w:pPr>
        <w:pStyle w:val="ListParagraph"/>
        <w:numPr>
          <w:ilvl w:val="0"/>
          <w:numId w:val="2"/>
        </w:numPr>
        <w:spacing w:line="360" w:lineRule="auto"/>
        <w:ind w:left="851"/>
        <w:jc w:val="both"/>
        <w:rPr>
          <w:rFonts w:ascii="Times New Roman" w:hAnsi="Times New Roman" w:cs="Times New Roman"/>
          <w:sz w:val="24"/>
          <w:szCs w:val="24"/>
        </w:rPr>
      </w:pPr>
      <w:r w:rsidRPr="004C3A34">
        <w:rPr>
          <w:rFonts w:ascii="Times New Roman" w:hAnsi="Times New Roman" w:cs="Times New Roman"/>
          <w:sz w:val="24"/>
          <w:szCs w:val="24"/>
        </w:rPr>
        <w:t xml:space="preserve">such further person or persons, charitable, religious, sporting, educational health, welfare or conservation organisations or institutions as the </w:t>
      </w:r>
      <w:r w:rsidR="00193184" w:rsidRPr="004C3A34">
        <w:rPr>
          <w:rFonts w:ascii="Times New Roman" w:hAnsi="Times New Roman" w:cs="Times New Roman"/>
          <w:sz w:val="24"/>
          <w:szCs w:val="24"/>
        </w:rPr>
        <w:t xml:space="preserve">said </w:t>
      </w:r>
      <w:r w:rsidR="00193184" w:rsidRPr="004C3A34">
        <w:rPr>
          <w:rFonts w:ascii="Times New Roman" w:hAnsi="Times New Roman" w:cs="Times New Roman"/>
          <w:sz w:val="20"/>
          <w:szCs w:val="20"/>
        </w:rPr>
        <w:t>JOHN</w:t>
      </w:r>
      <w:r w:rsidRPr="004C3A34">
        <w:rPr>
          <w:rFonts w:ascii="Times New Roman" w:hAnsi="Times New Roman" w:cs="Times New Roman"/>
          <w:sz w:val="20"/>
          <w:szCs w:val="20"/>
        </w:rPr>
        <w:t xml:space="preserve"> ARNOLD BREDENKAMP </w:t>
      </w:r>
      <w:r w:rsidR="00193184" w:rsidRPr="004C3A34">
        <w:rPr>
          <w:rFonts w:ascii="Times New Roman" w:hAnsi="Times New Roman" w:cs="Times New Roman"/>
          <w:sz w:val="24"/>
          <w:szCs w:val="24"/>
        </w:rPr>
        <w:t>shall by will or deed executed before his death declare to be amongst the beneficiaries under this settlement.”</w:t>
      </w:r>
      <w:r w:rsidR="00D94B08">
        <w:rPr>
          <w:rFonts w:ascii="Times New Roman" w:hAnsi="Times New Roman" w:cs="Times New Roman"/>
          <w:sz w:val="24"/>
          <w:szCs w:val="24"/>
        </w:rPr>
        <w:t xml:space="preserve"> [ underlined for emphasis].</w:t>
      </w:r>
    </w:p>
    <w:p w14:paraId="5E61C3B1" w14:textId="7128F3A6" w:rsidR="00CF6159" w:rsidRPr="0095707D" w:rsidRDefault="00CF6159"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 xml:space="preserve">APPLICANT`S CASE </w:t>
      </w:r>
    </w:p>
    <w:p w14:paraId="00C9E8F3" w14:textId="505E3138" w:rsidR="00A0742E" w:rsidRDefault="004C3A34"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B1DF8">
        <w:rPr>
          <w:rFonts w:ascii="Times New Roman" w:hAnsi="Times New Roman" w:cs="Times New Roman"/>
          <w:sz w:val="24"/>
          <w:szCs w:val="24"/>
        </w:rPr>
        <w:t>7</w:t>
      </w:r>
      <w:r>
        <w:rPr>
          <w:rFonts w:ascii="Times New Roman" w:hAnsi="Times New Roman" w:cs="Times New Roman"/>
          <w:sz w:val="24"/>
          <w:szCs w:val="24"/>
        </w:rPr>
        <w:t>] Applicant</w:t>
      </w:r>
      <w:r w:rsidR="00BC5E51">
        <w:rPr>
          <w:rFonts w:ascii="Times New Roman" w:hAnsi="Times New Roman" w:cs="Times New Roman"/>
          <w:sz w:val="24"/>
          <w:szCs w:val="24"/>
        </w:rPr>
        <w:t xml:space="preserve">`s </w:t>
      </w:r>
      <w:r w:rsidR="00CD6B3C">
        <w:rPr>
          <w:rFonts w:ascii="Times New Roman" w:hAnsi="Times New Roman" w:cs="Times New Roman"/>
          <w:sz w:val="24"/>
          <w:szCs w:val="24"/>
        </w:rPr>
        <w:t xml:space="preserve">case in summary went thus; -the </w:t>
      </w:r>
      <w:r w:rsidR="00843156">
        <w:rPr>
          <w:rFonts w:ascii="Times New Roman" w:hAnsi="Times New Roman" w:cs="Times New Roman"/>
          <w:sz w:val="24"/>
          <w:szCs w:val="24"/>
        </w:rPr>
        <w:t>interpretation of paragraph</w:t>
      </w:r>
      <w:r w:rsidR="00A0742E">
        <w:rPr>
          <w:rFonts w:ascii="Times New Roman" w:hAnsi="Times New Roman" w:cs="Times New Roman"/>
          <w:sz w:val="24"/>
          <w:szCs w:val="24"/>
        </w:rPr>
        <w:t xml:space="preserve"> 5 </w:t>
      </w:r>
      <w:r w:rsidR="00BC5E51">
        <w:rPr>
          <w:rFonts w:ascii="Times New Roman" w:hAnsi="Times New Roman" w:cs="Times New Roman"/>
          <w:sz w:val="24"/>
          <w:szCs w:val="24"/>
        </w:rPr>
        <w:t xml:space="preserve">of the trust deed </w:t>
      </w:r>
      <w:r w:rsidR="00843156">
        <w:rPr>
          <w:rFonts w:ascii="Times New Roman" w:hAnsi="Times New Roman" w:cs="Times New Roman"/>
          <w:sz w:val="24"/>
          <w:szCs w:val="24"/>
        </w:rPr>
        <w:t xml:space="preserve">was that it </w:t>
      </w:r>
      <w:r w:rsidR="00A0742E">
        <w:rPr>
          <w:rFonts w:ascii="Times New Roman" w:hAnsi="Times New Roman" w:cs="Times New Roman"/>
          <w:sz w:val="24"/>
          <w:szCs w:val="24"/>
        </w:rPr>
        <w:t>cluster</w:t>
      </w:r>
      <w:r w:rsidR="00BC5E51">
        <w:rPr>
          <w:rFonts w:ascii="Times New Roman" w:hAnsi="Times New Roman" w:cs="Times New Roman"/>
          <w:sz w:val="24"/>
          <w:szCs w:val="24"/>
        </w:rPr>
        <w:t>ed</w:t>
      </w:r>
      <w:r w:rsidR="00A0742E">
        <w:rPr>
          <w:rFonts w:ascii="Times New Roman" w:hAnsi="Times New Roman" w:cs="Times New Roman"/>
          <w:sz w:val="24"/>
          <w:szCs w:val="24"/>
        </w:rPr>
        <w:t xml:space="preserve"> beneficiaries into two </w:t>
      </w:r>
      <w:r w:rsidR="00BC5E51">
        <w:rPr>
          <w:rFonts w:ascii="Times New Roman" w:hAnsi="Times New Roman" w:cs="Times New Roman"/>
          <w:sz w:val="24"/>
          <w:szCs w:val="24"/>
        </w:rPr>
        <w:t>categories</w:t>
      </w:r>
      <w:r w:rsidR="00A0742E">
        <w:rPr>
          <w:rFonts w:ascii="Times New Roman" w:hAnsi="Times New Roman" w:cs="Times New Roman"/>
          <w:sz w:val="24"/>
          <w:szCs w:val="24"/>
        </w:rPr>
        <w:t xml:space="preserve">; - </w:t>
      </w:r>
      <w:r w:rsidR="00BC5E51">
        <w:rPr>
          <w:rFonts w:ascii="Times New Roman" w:hAnsi="Times New Roman" w:cs="Times New Roman"/>
          <w:sz w:val="24"/>
          <w:szCs w:val="24"/>
        </w:rPr>
        <w:t xml:space="preserve">named </w:t>
      </w:r>
      <w:r w:rsidR="00A0742E">
        <w:rPr>
          <w:rFonts w:ascii="Times New Roman" w:hAnsi="Times New Roman" w:cs="Times New Roman"/>
          <w:sz w:val="24"/>
          <w:szCs w:val="24"/>
        </w:rPr>
        <w:t xml:space="preserve">persons </w:t>
      </w:r>
      <w:r w:rsidR="00BC5E51">
        <w:rPr>
          <w:rFonts w:ascii="Times New Roman" w:hAnsi="Times New Roman" w:cs="Times New Roman"/>
          <w:sz w:val="24"/>
          <w:szCs w:val="24"/>
        </w:rPr>
        <w:t xml:space="preserve">and unnamed </w:t>
      </w:r>
      <w:r w:rsidR="00A0742E">
        <w:rPr>
          <w:rFonts w:ascii="Times New Roman" w:hAnsi="Times New Roman" w:cs="Times New Roman"/>
          <w:sz w:val="24"/>
          <w:szCs w:val="24"/>
        </w:rPr>
        <w:t xml:space="preserve">classes of persons. </w:t>
      </w:r>
      <w:r w:rsidR="00BC5E51">
        <w:rPr>
          <w:rFonts w:ascii="Times New Roman" w:hAnsi="Times New Roman" w:cs="Times New Roman"/>
          <w:sz w:val="24"/>
          <w:szCs w:val="24"/>
        </w:rPr>
        <w:t>The named b</w:t>
      </w:r>
      <w:r w:rsidR="00A0742E">
        <w:rPr>
          <w:rFonts w:ascii="Times New Roman" w:hAnsi="Times New Roman" w:cs="Times New Roman"/>
          <w:sz w:val="24"/>
          <w:szCs w:val="24"/>
        </w:rPr>
        <w:t>eneficiaries</w:t>
      </w:r>
      <w:r w:rsidR="00BC5E51">
        <w:rPr>
          <w:rFonts w:ascii="Times New Roman" w:hAnsi="Times New Roman" w:cs="Times New Roman"/>
          <w:sz w:val="24"/>
          <w:szCs w:val="24"/>
        </w:rPr>
        <w:t xml:space="preserve"> included Mrs Bredenkamp t</w:t>
      </w:r>
      <w:r w:rsidR="00A0742E">
        <w:rPr>
          <w:rFonts w:ascii="Times New Roman" w:hAnsi="Times New Roman" w:cs="Times New Roman"/>
          <w:sz w:val="24"/>
          <w:szCs w:val="24"/>
        </w:rPr>
        <w:t>he spouse</w:t>
      </w:r>
      <w:r w:rsidR="008939B9">
        <w:rPr>
          <w:rFonts w:ascii="Times New Roman" w:hAnsi="Times New Roman" w:cs="Times New Roman"/>
          <w:sz w:val="24"/>
          <w:szCs w:val="24"/>
        </w:rPr>
        <w:t>,</w:t>
      </w:r>
      <w:r w:rsidR="00A0742E">
        <w:rPr>
          <w:rFonts w:ascii="Times New Roman" w:hAnsi="Times New Roman" w:cs="Times New Roman"/>
          <w:sz w:val="24"/>
          <w:szCs w:val="24"/>
        </w:rPr>
        <w:t xml:space="preserve"> and </w:t>
      </w:r>
      <w:r w:rsidR="00BC5E51">
        <w:rPr>
          <w:rFonts w:ascii="Times New Roman" w:hAnsi="Times New Roman" w:cs="Times New Roman"/>
          <w:sz w:val="24"/>
          <w:szCs w:val="24"/>
        </w:rPr>
        <w:t xml:space="preserve">her </w:t>
      </w:r>
      <w:r w:rsidR="00A0742E">
        <w:rPr>
          <w:rFonts w:ascii="Times New Roman" w:hAnsi="Times New Roman" w:cs="Times New Roman"/>
          <w:sz w:val="24"/>
          <w:szCs w:val="24"/>
        </w:rPr>
        <w:t xml:space="preserve">three </w:t>
      </w:r>
      <w:r w:rsidR="00BC5E51">
        <w:rPr>
          <w:rFonts w:ascii="Times New Roman" w:hAnsi="Times New Roman" w:cs="Times New Roman"/>
          <w:sz w:val="24"/>
          <w:szCs w:val="24"/>
        </w:rPr>
        <w:t xml:space="preserve">children. The unnamed but defined class of persons scoped in </w:t>
      </w:r>
      <w:r w:rsidR="00A0742E">
        <w:rPr>
          <w:rFonts w:ascii="Times New Roman" w:hAnsi="Times New Roman" w:cs="Times New Roman"/>
          <w:sz w:val="24"/>
          <w:szCs w:val="24"/>
        </w:rPr>
        <w:t xml:space="preserve">present and future </w:t>
      </w:r>
      <w:r w:rsidR="00843156">
        <w:rPr>
          <w:rFonts w:ascii="Times New Roman" w:hAnsi="Times New Roman" w:cs="Times New Roman"/>
          <w:sz w:val="24"/>
          <w:szCs w:val="24"/>
        </w:rPr>
        <w:t>grandchildren. Applicant claimed that he fell into the category of defined but unnamed beneficiaries.</w:t>
      </w:r>
      <w:r w:rsidR="00A0742E">
        <w:rPr>
          <w:rFonts w:ascii="Times New Roman" w:hAnsi="Times New Roman" w:cs="Times New Roman"/>
          <w:sz w:val="24"/>
          <w:szCs w:val="24"/>
        </w:rPr>
        <w:t xml:space="preserve"> H</w:t>
      </w:r>
      <w:r w:rsidR="00BC5E51">
        <w:rPr>
          <w:rFonts w:ascii="Times New Roman" w:hAnsi="Times New Roman" w:cs="Times New Roman"/>
          <w:sz w:val="24"/>
          <w:szCs w:val="24"/>
        </w:rPr>
        <w:t>e took the position that h</w:t>
      </w:r>
      <w:r w:rsidR="00A0742E">
        <w:rPr>
          <w:rFonts w:ascii="Times New Roman" w:hAnsi="Times New Roman" w:cs="Times New Roman"/>
          <w:sz w:val="24"/>
          <w:szCs w:val="24"/>
        </w:rPr>
        <w:t>is status as a child born to the late Mr Bredenk</w:t>
      </w:r>
      <w:r w:rsidR="004E2D9D">
        <w:rPr>
          <w:rFonts w:ascii="Times New Roman" w:hAnsi="Times New Roman" w:cs="Times New Roman"/>
          <w:sz w:val="24"/>
          <w:szCs w:val="24"/>
        </w:rPr>
        <w:t>a</w:t>
      </w:r>
      <w:r w:rsidR="00A0742E">
        <w:rPr>
          <w:rFonts w:ascii="Times New Roman" w:hAnsi="Times New Roman" w:cs="Times New Roman"/>
          <w:sz w:val="24"/>
          <w:szCs w:val="24"/>
        </w:rPr>
        <w:t xml:space="preserve">mp was not disputed. In that </w:t>
      </w:r>
      <w:r w:rsidR="00A0742E">
        <w:rPr>
          <w:rFonts w:ascii="Times New Roman" w:hAnsi="Times New Roman" w:cs="Times New Roman"/>
          <w:sz w:val="24"/>
          <w:szCs w:val="24"/>
        </w:rPr>
        <w:lastRenderedPageBreak/>
        <w:t>regard he qualified automatically as a beneficiary</w:t>
      </w:r>
      <w:r w:rsidR="00843156">
        <w:rPr>
          <w:rFonts w:ascii="Times New Roman" w:hAnsi="Times New Roman" w:cs="Times New Roman"/>
          <w:sz w:val="24"/>
          <w:szCs w:val="24"/>
        </w:rPr>
        <w:t xml:space="preserve"> in terms of clause 5 (b) dealing with “…the children of the said John Arnold Bredenkamp”.</w:t>
      </w:r>
      <w:r w:rsidR="00A0742E">
        <w:rPr>
          <w:rFonts w:ascii="Times New Roman" w:hAnsi="Times New Roman" w:cs="Times New Roman"/>
          <w:sz w:val="24"/>
          <w:szCs w:val="24"/>
        </w:rPr>
        <w:t xml:space="preserve"> </w:t>
      </w:r>
    </w:p>
    <w:p w14:paraId="6BFB078E" w14:textId="6AE15CAB" w:rsidR="00A0742E" w:rsidRDefault="00A0742E"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B1DF8">
        <w:rPr>
          <w:rFonts w:ascii="Times New Roman" w:hAnsi="Times New Roman" w:cs="Times New Roman"/>
          <w:sz w:val="24"/>
          <w:szCs w:val="24"/>
        </w:rPr>
        <w:t>8</w:t>
      </w:r>
      <w:r>
        <w:rPr>
          <w:rFonts w:ascii="Times New Roman" w:hAnsi="Times New Roman" w:cs="Times New Roman"/>
          <w:sz w:val="24"/>
          <w:szCs w:val="24"/>
        </w:rPr>
        <w:t xml:space="preserve">] </w:t>
      </w:r>
      <w:r w:rsidR="00993E81">
        <w:rPr>
          <w:rFonts w:ascii="Times New Roman" w:hAnsi="Times New Roman" w:cs="Times New Roman"/>
          <w:sz w:val="24"/>
          <w:szCs w:val="24"/>
        </w:rPr>
        <w:t>Buttressing</w:t>
      </w:r>
      <w:r w:rsidR="000318AD">
        <w:rPr>
          <w:rFonts w:ascii="Times New Roman" w:hAnsi="Times New Roman" w:cs="Times New Roman"/>
          <w:sz w:val="24"/>
          <w:szCs w:val="24"/>
        </w:rPr>
        <w:t xml:space="preserve"> his claim, applicant averred </w:t>
      </w:r>
      <w:r w:rsidR="003B1DF8">
        <w:rPr>
          <w:rFonts w:ascii="Times New Roman" w:hAnsi="Times New Roman" w:cs="Times New Roman"/>
          <w:sz w:val="24"/>
          <w:szCs w:val="24"/>
        </w:rPr>
        <w:t xml:space="preserve">that </w:t>
      </w:r>
      <w:r w:rsidR="000318AD" w:rsidRPr="003B1DF8">
        <w:rPr>
          <w:rFonts w:ascii="Times New Roman" w:hAnsi="Times New Roman" w:cs="Times New Roman"/>
          <w:sz w:val="24"/>
          <w:szCs w:val="24"/>
        </w:rPr>
        <w:t>“Indeed, at all material times during his lifetime, my late father has (sic) always regarded me as beneficiary of the trust.”</w:t>
      </w:r>
      <w:r w:rsidR="003B1DF8">
        <w:rPr>
          <w:rStyle w:val="FootnoteReference"/>
          <w:rFonts w:ascii="Times New Roman" w:hAnsi="Times New Roman" w:cs="Times New Roman"/>
          <w:sz w:val="24"/>
          <w:szCs w:val="24"/>
        </w:rPr>
        <w:footnoteReference w:id="1"/>
      </w:r>
      <w:r w:rsidR="000318AD">
        <w:rPr>
          <w:rFonts w:ascii="Times New Roman" w:hAnsi="Times New Roman" w:cs="Times New Roman"/>
          <w:sz w:val="24"/>
          <w:szCs w:val="24"/>
        </w:rPr>
        <w:t xml:space="preserve">  </w:t>
      </w:r>
      <w:r w:rsidR="00993E81">
        <w:rPr>
          <w:rFonts w:ascii="Times New Roman" w:hAnsi="Times New Roman" w:cs="Times New Roman"/>
          <w:sz w:val="24"/>
          <w:szCs w:val="24"/>
        </w:rPr>
        <w:t xml:space="preserve">In that regard, applicant referred to, and attached to his affidavit documents confirming this intent on the part of </w:t>
      </w:r>
      <w:r w:rsidR="00843156">
        <w:rPr>
          <w:rFonts w:ascii="Times New Roman" w:hAnsi="Times New Roman" w:cs="Times New Roman"/>
          <w:sz w:val="24"/>
          <w:szCs w:val="24"/>
        </w:rPr>
        <w:t xml:space="preserve">the late </w:t>
      </w:r>
      <w:r w:rsidR="00993E81">
        <w:rPr>
          <w:rFonts w:ascii="Times New Roman" w:hAnsi="Times New Roman" w:cs="Times New Roman"/>
          <w:sz w:val="24"/>
          <w:szCs w:val="24"/>
        </w:rPr>
        <w:t>Mr. Bredenk</w:t>
      </w:r>
      <w:r w:rsidR="004E2D9D">
        <w:rPr>
          <w:rFonts w:ascii="Times New Roman" w:hAnsi="Times New Roman" w:cs="Times New Roman"/>
          <w:sz w:val="24"/>
          <w:szCs w:val="24"/>
        </w:rPr>
        <w:t>a</w:t>
      </w:r>
      <w:r w:rsidR="00993E81">
        <w:rPr>
          <w:rFonts w:ascii="Times New Roman" w:hAnsi="Times New Roman" w:cs="Times New Roman"/>
          <w:sz w:val="24"/>
          <w:szCs w:val="24"/>
        </w:rPr>
        <w:t>mp</w:t>
      </w:r>
      <w:r>
        <w:rPr>
          <w:rFonts w:ascii="Times New Roman" w:hAnsi="Times New Roman" w:cs="Times New Roman"/>
          <w:sz w:val="24"/>
          <w:szCs w:val="24"/>
        </w:rPr>
        <w:t xml:space="preserve"> being; -</w:t>
      </w:r>
    </w:p>
    <w:p w14:paraId="42875356" w14:textId="5388CCA0" w:rsidR="004C3A34" w:rsidRPr="00C0311E" w:rsidRDefault="004C3A34" w:rsidP="00C0311E">
      <w:pPr>
        <w:pStyle w:val="ListParagraph"/>
        <w:numPr>
          <w:ilvl w:val="0"/>
          <w:numId w:val="4"/>
        </w:numPr>
        <w:spacing w:line="360" w:lineRule="auto"/>
        <w:jc w:val="both"/>
        <w:rPr>
          <w:rFonts w:ascii="Times New Roman" w:hAnsi="Times New Roman" w:cs="Times New Roman"/>
          <w:sz w:val="24"/>
          <w:szCs w:val="24"/>
          <w:u w:val="single"/>
        </w:rPr>
      </w:pPr>
      <w:r w:rsidRPr="00C0311E">
        <w:rPr>
          <w:rFonts w:ascii="Times New Roman" w:hAnsi="Times New Roman" w:cs="Times New Roman"/>
          <w:sz w:val="24"/>
          <w:szCs w:val="24"/>
          <w:u w:val="single"/>
        </w:rPr>
        <w:t>Last will and testament of John Arnold Bredenkamp executed on 16 June 2011</w:t>
      </w:r>
    </w:p>
    <w:p w14:paraId="3B1EC36A" w14:textId="0E2F1D6F" w:rsidR="004C3A34" w:rsidRPr="00C0311E" w:rsidRDefault="004C3A34" w:rsidP="00C0311E">
      <w:pPr>
        <w:pStyle w:val="ListParagraph"/>
        <w:spacing w:line="360" w:lineRule="auto"/>
        <w:jc w:val="both"/>
        <w:rPr>
          <w:rFonts w:ascii="Times New Roman" w:hAnsi="Times New Roman" w:cs="Times New Roman"/>
          <w:sz w:val="24"/>
          <w:szCs w:val="24"/>
        </w:rPr>
      </w:pPr>
      <w:r w:rsidRPr="00C0311E">
        <w:rPr>
          <w:rFonts w:ascii="Times New Roman" w:hAnsi="Times New Roman" w:cs="Times New Roman"/>
          <w:sz w:val="24"/>
          <w:szCs w:val="24"/>
        </w:rPr>
        <w:t xml:space="preserve">This </w:t>
      </w:r>
      <w:r w:rsidR="008C48F3" w:rsidRPr="00C0311E">
        <w:rPr>
          <w:rFonts w:ascii="Times New Roman" w:hAnsi="Times New Roman" w:cs="Times New Roman"/>
          <w:sz w:val="24"/>
          <w:szCs w:val="24"/>
        </w:rPr>
        <w:t xml:space="preserve">document proclaimed by clause 2.1 thereof, </w:t>
      </w:r>
      <w:r w:rsidRPr="00C0311E">
        <w:rPr>
          <w:rFonts w:ascii="Times New Roman" w:hAnsi="Times New Roman" w:cs="Times New Roman"/>
          <w:sz w:val="24"/>
          <w:szCs w:val="24"/>
        </w:rPr>
        <w:t xml:space="preserve">the “beneficiaries of his estate </w:t>
      </w:r>
      <w:r w:rsidR="008939B9">
        <w:rPr>
          <w:rFonts w:ascii="Times New Roman" w:hAnsi="Times New Roman" w:cs="Times New Roman"/>
          <w:sz w:val="24"/>
          <w:szCs w:val="24"/>
        </w:rPr>
        <w:t xml:space="preserve">to be </w:t>
      </w:r>
      <w:r w:rsidR="008939B9" w:rsidRPr="00C0311E">
        <w:rPr>
          <w:rFonts w:ascii="Times New Roman" w:hAnsi="Times New Roman" w:cs="Times New Roman"/>
          <w:sz w:val="24"/>
          <w:szCs w:val="24"/>
        </w:rPr>
        <w:t>“</w:t>
      </w:r>
      <w:r w:rsidRPr="00C0311E">
        <w:rPr>
          <w:rFonts w:ascii="Times New Roman" w:hAnsi="Times New Roman" w:cs="Times New Roman"/>
          <w:sz w:val="24"/>
          <w:szCs w:val="24"/>
        </w:rPr>
        <w:t xml:space="preserve">Caron Palmer, Sarah Lambourne, Gavin </w:t>
      </w:r>
      <w:r w:rsidR="008C48F3" w:rsidRPr="00C0311E">
        <w:rPr>
          <w:rFonts w:ascii="Times New Roman" w:hAnsi="Times New Roman" w:cs="Times New Roman"/>
          <w:sz w:val="24"/>
          <w:szCs w:val="24"/>
        </w:rPr>
        <w:t>Bredenkamp, Matthew</w:t>
      </w:r>
      <w:r w:rsidRPr="00C0311E">
        <w:rPr>
          <w:rFonts w:ascii="Times New Roman" w:hAnsi="Times New Roman" w:cs="Times New Roman"/>
          <w:sz w:val="24"/>
          <w:szCs w:val="24"/>
        </w:rPr>
        <w:t xml:space="preserve"> Rosenfeldt and their respective children and remoter issues per stirpes.</w:t>
      </w:r>
      <w:r w:rsidR="00D50AB9" w:rsidRPr="00C0311E">
        <w:rPr>
          <w:rFonts w:ascii="Times New Roman" w:hAnsi="Times New Roman" w:cs="Times New Roman"/>
          <w:sz w:val="24"/>
          <w:szCs w:val="24"/>
        </w:rPr>
        <w:t>”</w:t>
      </w:r>
    </w:p>
    <w:p w14:paraId="58177D6A" w14:textId="7B045D4B" w:rsidR="004C3A34" w:rsidRPr="00C0311E" w:rsidRDefault="008C48F3" w:rsidP="00C0311E">
      <w:pPr>
        <w:pStyle w:val="ListParagraph"/>
        <w:numPr>
          <w:ilvl w:val="0"/>
          <w:numId w:val="4"/>
        </w:numPr>
        <w:spacing w:line="360" w:lineRule="auto"/>
        <w:jc w:val="both"/>
        <w:rPr>
          <w:rFonts w:ascii="Times New Roman" w:hAnsi="Times New Roman" w:cs="Times New Roman"/>
          <w:sz w:val="24"/>
          <w:szCs w:val="24"/>
        </w:rPr>
      </w:pPr>
      <w:r w:rsidRPr="00C0311E">
        <w:rPr>
          <w:rFonts w:ascii="Times New Roman" w:hAnsi="Times New Roman" w:cs="Times New Roman"/>
          <w:sz w:val="24"/>
          <w:szCs w:val="24"/>
          <w:u w:val="single"/>
        </w:rPr>
        <w:t xml:space="preserve">“Letter of Wishes” written by John Arnold Bredenkamp </w:t>
      </w:r>
      <w:r w:rsidR="00D50AB9" w:rsidRPr="00C0311E">
        <w:rPr>
          <w:rFonts w:ascii="Times New Roman" w:hAnsi="Times New Roman" w:cs="Times New Roman"/>
          <w:sz w:val="24"/>
          <w:szCs w:val="24"/>
          <w:u w:val="single"/>
        </w:rPr>
        <w:t>dated 30 January 2013</w:t>
      </w:r>
      <w:r w:rsidR="00D50AB9" w:rsidRPr="00C0311E">
        <w:rPr>
          <w:rFonts w:ascii="Times New Roman" w:hAnsi="Times New Roman" w:cs="Times New Roman"/>
          <w:sz w:val="24"/>
          <w:szCs w:val="24"/>
        </w:rPr>
        <w:t>.</w:t>
      </w:r>
    </w:p>
    <w:p w14:paraId="34FBCA23" w14:textId="01FDA5E8" w:rsidR="00D50AB9" w:rsidRPr="00C0311E" w:rsidRDefault="00D50AB9" w:rsidP="00C0311E">
      <w:pPr>
        <w:pStyle w:val="ListParagraph"/>
        <w:spacing w:line="360" w:lineRule="auto"/>
        <w:jc w:val="both"/>
        <w:rPr>
          <w:rFonts w:ascii="Times New Roman" w:hAnsi="Times New Roman" w:cs="Times New Roman"/>
          <w:sz w:val="24"/>
          <w:szCs w:val="24"/>
        </w:rPr>
      </w:pPr>
      <w:r w:rsidRPr="00C0311E">
        <w:rPr>
          <w:rFonts w:ascii="Times New Roman" w:hAnsi="Times New Roman" w:cs="Times New Roman"/>
          <w:sz w:val="24"/>
          <w:szCs w:val="24"/>
        </w:rPr>
        <w:t xml:space="preserve">This letter was </w:t>
      </w:r>
      <w:r w:rsidR="008939B9">
        <w:rPr>
          <w:rFonts w:ascii="Times New Roman" w:hAnsi="Times New Roman" w:cs="Times New Roman"/>
          <w:sz w:val="24"/>
          <w:szCs w:val="24"/>
        </w:rPr>
        <w:t xml:space="preserve">allegedly </w:t>
      </w:r>
      <w:r w:rsidRPr="00C0311E">
        <w:rPr>
          <w:rFonts w:ascii="Times New Roman" w:hAnsi="Times New Roman" w:cs="Times New Roman"/>
          <w:sz w:val="24"/>
          <w:szCs w:val="24"/>
        </w:rPr>
        <w:t xml:space="preserve">addressed by </w:t>
      </w:r>
      <w:r w:rsidR="006E252B" w:rsidRPr="00C0311E">
        <w:rPr>
          <w:rFonts w:ascii="Times New Roman" w:hAnsi="Times New Roman" w:cs="Times New Roman"/>
          <w:sz w:val="24"/>
          <w:szCs w:val="24"/>
        </w:rPr>
        <w:t>Mr. Bredenk</w:t>
      </w:r>
      <w:r w:rsidR="004E2D9D">
        <w:rPr>
          <w:rFonts w:ascii="Times New Roman" w:hAnsi="Times New Roman" w:cs="Times New Roman"/>
          <w:sz w:val="24"/>
          <w:szCs w:val="24"/>
        </w:rPr>
        <w:t>a</w:t>
      </w:r>
      <w:r w:rsidR="006E252B" w:rsidRPr="00C0311E">
        <w:rPr>
          <w:rFonts w:ascii="Times New Roman" w:hAnsi="Times New Roman" w:cs="Times New Roman"/>
          <w:sz w:val="24"/>
          <w:szCs w:val="24"/>
        </w:rPr>
        <w:t>mp</w:t>
      </w:r>
      <w:r w:rsidRPr="00C0311E">
        <w:rPr>
          <w:rFonts w:ascii="Times New Roman" w:hAnsi="Times New Roman" w:cs="Times New Roman"/>
          <w:sz w:val="24"/>
          <w:szCs w:val="24"/>
        </w:rPr>
        <w:t xml:space="preserve"> to Maitland Trustees in the Virgin </w:t>
      </w:r>
      <w:r w:rsidR="00F2723F" w:rsidRPr="00C0311E">
        <w:rPr>
          <w:rFonts w:ascii="Times New Roman" w:hAnsi="Times New Roman" w:cs="Times New Roman"/>
          <w:sz w:val="24"/>
          <w:szCs w:val="24"/>
        </w:rPr>
        <w:t xml:space="preserve">Islands. </w:t>
      </w:r>
      <w:r w:rsidR="008939B9">
        <w:rPr>
          <w:rFonts w:ascii="Times New Roman" w:hAnsi="Times New Roman" w:cs="Times New Roman"/>
          <w:sz w:val="24"/>
          <w:szCs w:val="24"/>
        </w:rPr>
        <w:t xml:space="preserve">Its </w:t>
      </w:r>
      <w:r w:rsidR="00F2723F" w:rsidRPr="00C0311E">
        <w:rPr>
          <w:rFonts w:ascii="Times New Roman" w:hAnsi="Times New Roman" w:cs="Times New Roman"/>
          <w:sz w:val="24"/>
          <w:szCs w:val="24"/>
        </w:rPr>
        <w:t xml:space="preserve">purpose </w:t>
      </w:r>
      <w:r w:rsidR="008939B9">
        <w:rPr>
          <w:rFonts w:ascii="Times New Roman" w:hAnsi="Times New Roman" w:cs="Times New Roman"/>
          <w:sz w:val="24"/>
          <w:szCs w:val="24"/>
        </w:rPr>
        <w:t xml:space="preserve">being </w:t>
      </w:r>
      <w:r w:rsidR="00F2723F" w:rsidRPr="00C0311E">
        <w:rPr>
          <w:rFonts w:ascii="Times New Roman" w:hAnsi="Times New Roman" w:cs="Times New Roman"/>
          <w:sz w:val="24"/>
          <w:szCs w:val="24"/>
        </w:rPr>
        <w:t xml:space="preserve">to express his “wishes in relation to the Trusts”. Trusts was defined in paragraph 1.1 of that letter to mean all or any trusts set up by him for the benefit of named “Beneficiaries”. These were in turn, defined to include Mrs Bredenkamp and her three children Caron, Sarah and John. The applicant was also specifically named as one of the “children”. Present and future grandchildren </w:t>
      </w:r>
      <w:r w:rsidR="008939B9" w:rsidRPr="00C0311E">
        <w:rPr>
          <w:rFonts w:ascii="Times New Roman" w:hAnsi="Times New Roman" w:cs="Times New Roman"/>
          <w:sz w:val="24"/>
          <w:szCs w:val="24"/>
        </w:rPr>
        <w:t>were provided</w:t>
      </w:r>
      <w:r w:rsidR="00F2723F" w:rsidRPr="00C0311E">
        <w:rPr>
          <w:rFonts w:ascii="Times New Roman" w:hAnsi="Times New Roman" w:cs="Times New Roman"/>
          <w:sz w:val="24"/>
          <w:szCs w:val="24"/>
        </w:rPr>
        <w:t xml:space="preserve"> for.  </w:t>
      </w:r>
    </w:p>
    <w:p w14:paraId="568330DC" w14:textId="4A9B1E53" w:rsidR="004C3A34" w:rsidRPr="00C0311E" w:rsidRDefault="003F703E" w:rsidP="00C0311E">
      <w:pPr>
        <w:pStyle w:val="ListParagraph"/>
        <w:numPr>
          <w:ilvl w:val="0"/>
          <w:numId w:val="4"/>
        </w:numPr>
        <w:spacing w:line="360" w:lineRule="auto"/>
        <w:jc w:val="both"/>
        <w:rPr>
          <w:rFonts w:ascii="Times New Roman" w:hAnsi="Times New Roman" w:cs="Times New Roman"/>
          <w:sz w:val="24"/>
          <w:szCs w:val="24"/>
          <w:u w:val="single"/>
        </w:rPr>
      </w:pPr>
      <w:r w:rsidRPr="00C0311E">
        <w:rPr>
          <w:rFonts w:ascii="Times New Roman" w:hAnsi="Times New Roman" w:cs="Times New Roman"/>
          <w:sz w:val="24"/>
          <w:szCs w:val="24"/>
          <w:u w:val="single"/>
        </w:rPr>
        <w:t>Minutes of a meeting held on 15 August 2019</w:t>
      </w:r>
      <w:r w:rsidR="003F3481">
        <w:rPr>
          <w:rFonts w:ascii="Times New Roman" w:hAnsi="Times New Roman" w:cs="Times New Roman"/>
          <w:sz w:val="24"/>
          <w:szCs w:val="24"/>
          <w:u w:val="single"/>
        </w:rPr>
        <w:t xml:space="preserve"> (“hereinafter referred to simply as </w:t>
      </w:r>
      <w:r w:rsidR="008939B9">
        <w:rPr>
          <w:rFonts w:ascii="Times New Roman" w:hAnsi="Times New Roman" w:cs="Times New Roman"/>
          <w:sz w:val="24"/>
          <w:szCs w:val="24"/>
          <w:u w:val="single"/>
        </w:rPr>
        <w:t>“</w:t>
      </w:r>
      <w:r w:rsidR="003F3481">
        <w:rPr>
          <w:rFonts w:ascii="Times New Roman" w:hAnsi="Times New Roman" w:cs="Times New Roman"/>
          <w:sz w:val="24"/>
          <w:szCs w:val="24"/>
          <w:u w:val="single"/>
        </w:rPr>
        <w:t>the minutes”</w:t>
      </w:r>
    </w:p>
    <w:p w14:paraId="27948EBB" w14:textId="424411B6" w:rsidR="003F703E" w:rsidRPr="00C0311E" w:rsidRDefault="003F703E" w:rsidP="00C0311E">
      <w:pPr>
        <w:pStyle w:val="ListParagraph"/>
        <w:spacing w:line="360" w:lineRule="auto"/>
        <w:jc w:val="both"/>
        <w:rPr>
          <w:rFonts w:ascii="Times New Roman" w:hAnsi="Times New Roman" w:cs="Times New Roman"/>
          <w:sz w:val="24"/>
          <w:szCs w:val="24"/>
        </w:rPr>
      </w:pPr>
      <w:r w:rsidRPr="00C0311E">
        <w:rPr>
          <w:rFonts w:ascii="Times New Roman" w:hAnsi="Times New Roman" w:cs="Times New Roman"/>
          <w:sz w:val="24"/>
          <w:szCs w:val="24"/>
        </w:rPr>
        <w:t xml:space="preserve">This document tabulated a total of 17 items recording wide-ranging discussions of a business nature. Consistent with its title as a “note”, the minutes carried the informal tone of a communication between parties privy to the subject matter. Item 17 under “LOWS” indicated that JAB (John Arnold Bredenkamp?) intended to provide for his children Caron, Sarah, John and applicant, as well as their offspring. </w:t>
      </w:r>
    </w:p>
    <w:p w14:paraId="0C246ACE" w14:textId="539BC898" w:rsidR="003F703E" w:rsidRPr="00C0311E" w:rsidRDefault="003F703E" w:rsidP="00C0311E">
      <w:pPr>
        <w:pStyle w:val="ListParagraph"/>
        <w:numPr>
          <w:ilvl w:val="0"/>
          <w:numId w:val="4"/>
        </w:numPr>
        <w:spacing w:line="360" w:lineRule="auto"/>
        <w:jc w:val="both"/>
        <w:rPr>
          <w:rFonts w:ascii="Times New Roman" w:hAnsi="Times New Roman" w:cs="Times New Roman"/>
          <w:sz w:val="24"/>
          <w:szCs w:val="24"/>
          <w:u w:val="single"/>
        </w:rPr>
      </w:pPr>
      <w:r w:rsidRPr="00C0311E">
        <w:rPr>
          <w:rFonts w:ascii="Times New Roman" w:hAnsi="Times New Roman" w:cs="Times New Roman"/>
          <w:sz w:val="24"/>
          <w:szCs w:val="24"/>
          <w:u w:val="single"/>
        </w:rPr>
        <w:t>Affidavit of Lawrence Majuru</w:t>
      </w:r>
    </w:p>
    <w:p w14:paraId="24D54879" w14:textId="74FE2A90" w:rsidR="003F703E" w:rsidRPr="00C0311E" w:rsidRDefault="003F703E" w:rsidP="00C0311E">
      <w:pPr>
        <w:pStyle w:val="ListParagraph"/>
        <w:spacing w:line="360" w:lineRule="auto"/>
        <w:jc w:val="both"/>
        <w:rPr>
          <w:rFonts w:ascii="Times New Roman" w:hAnsi="Times New Roman" w:cs="Times New Roman"/>
          <w:sz w:val="24"/>
          <w:szCs w:val="24"/>
        </w:rPr>
      </w:pPr>
      <w:r w:rsidRPr="00C0311E">
        <w:rPr>
          <w:rFonts w:ascii="Times New Roman" w:hAnsi="Times New Roman" w:cs="Times New Roman"/>
          <w:sz w:val="24"/>
          <w:szCs w:val="24"/>
        </w:rPr>
        <w:t xml:space="preserve">Mr Majuru deposed to an affidavit supporting the applicant. The import of his deposition </w:t>
      </w:r>
      <w:r w:rsidR="008939B9">
        <w:rPr>
          <w:rFonts w:ascii="Times New Roman" w:hAnsi="Times New Roman" w:cs="Times New Roman"/>
          <w:sz w:val="24"/>
          <w:szCs w:val="24"/>
        </w:rPr>
        <w:t xml:space="preserve">being </w:t>
      </w:r>
      <w:r w:rsidRPr="00C0311E">
        <w:rPr>
          <w:rFonts w:ascii="Times New Roman" w:hAnsi="Times New Roman" w:cs="Times New Roman"/>
          <w:sz w:val="24"/>
          <w:szCs w:val="24"/>
        </w:rPr>
        <w:t xml:space="preserve">to confirm authenticity of the minutes of 15 August 2019 as a true record of discussions captured thereon.  </w:t>
      </w:r>
    </w:p>
    <w:p w14:paraId="6EEA4B5E" w14:textId="5BEA8958" w:rsidR="004B09D9" w:rsidRPr="0095707D" w:rsidRDefault="00C0311E"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RESPONDENTS` CASE</w:t>
      </w:r>
    </w:p>
    <w:p w14:paraId="049BE6A5" w14:textId="45E3A6E6" w:rsidR="00A45D9A" w:rsidRDefault="00C0311E"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3B1DF8">
        <w:rPr>
          <w:rFonts w:ascii="Times New Roman" w:hAnsi="Times New Roman" w:cs="Times New Roman"/>
          <w:sz w:val="24"/>
          <w:szCs w:val="24"/>
        </w:rPr>
        <w:t>9</w:t>
      </w:r>
      <w:r>
        <w:rPr>
          <w:rFonts w:ascii="Times New Roman" w:hAnsi="Times New Roman" w:cs="Times New Roman"/>
          <w:sz w:val="24"/>
          <w:szCs w:val="24"/>
        </w:rPr>
        <w:t xml:space="preserve">] </w:t>
      </w:r>
      <w:r w:rsidR="00CD6B3C">
        <w:rPr>
          <w:rFonts w:ascii="Times New Roman" w:hAnsi="Times New Roman" w:cs="Times New Roman"/>
          <w:sz w:val="24"/>
          <w:szCs w:val="24"/>
        </w:rPr>
        <w:t>Materially, the respondents` opposition went thus; -they disputed</w:t>
      </w:r>
      <w:r>
        <w:rPr>
          <w:rFonts w:ascii="Times New Roman" w:hAnsi="Times New Roman" w:cs="Times New Roman"/>
          <w:sz w:val="24"/>
          <w:szCs w:val="24"/>
        </w:rPr>
        <w:t xml:space="preserve"> the correctness of applicant`s interpretation of the trust deed on the definition and identification of beneficiaries. In essence, they insisted that applicant was specifically excluded as a beneficiary of second respondent trust. This conclusion was </w:t>
      </w:r>
      <w:r w:rsidR="00053032">
        <w:rPr>
          <w:rFonts w:ascii="Times New Roman" w:hAnsi="Times New Roman" w:cs="Times New Roman"/>
          <w:sz w:val="24"/>
          <w:szCs w:val="24"/>
        </w:rPr>
        <w:t>confirmed</w:t>
      </w:r>
      <w:r>
        <w:rPr>
          <w:rFonts w:ascii="Times New Roman" w:hAnsi="Times New Roman" w:cs="Times New Roman"/>
          <w:sz w:val="24"/>
          <w:szCs w:val="24"/>
        </w:rPr>
        <w:t xml:space="preserve">, according to Mahachi, by the exclusion of </w:t>
      </w:r>
      <w:r w:rsidR="00A45D9A">
        <w:rPr>
          <w:rFonts w:ascii="Times New Roman" w:hAnsi="Times New Roman" w:cs="Times New Roman"/>
          <w:sz w:val="24"/>
          <w:szCs w:val="24"/>
        </w:rPr>
        <w:t>applicant against</w:t>
      </w:r>
      <w:r>
        <w:rPr>
          <w:rFonts w:ascii="Times New Roman" w:hAnsi="Times New Roman" w:cs="Times New Roman"/>
          <w:sz w:val="24"/>
          <w:szCs w:val="24"/>
        </w:rPr>
        <w:t xml:space="preserve"> the </w:t>
      </w:r>
      <w:r w:rsidR="00A45D9A">
        <w:rPr>
          <w:rFonts w:ascii="Times New Roman" w:hAnsi="Times New Roman" w:cs="Times New Roman"/>
          <w:sz w:val="24"/>
          <w:szCs w:val="24"/>
        </w:rPr>
        <w:t>inclusion of his three half</w:t>
      </w:r>
      <w:r w:rsidR="00D94B08">
        <w:rPr>
          <w:rFonts w:ascii="Times New Roman" w:hAnsi="Times New Roman" w:cs="Times New Roman"/>
          <w:sz w:val="24"/>
          <w:szCs w:val="24"/>
        </w:rPr>
        <w:t>-</w:t>
      </w:r>
      <w:r w:rsidR="00A45D9A">
        <w:rPr>
          <w:rFonts w:ascii="Times New Roman" w:hAnsi="Times New Roman" w:cs="Times New Roman"/>
          <w:sz w:val="24"/>
          <w:szCs w:val="24"/>
        </w:rPr>
        <w:t xml:space="preserve">siblings in paragraph 5 of the trust deed. The exclusion and inclusions respectively </w:t>
      </w:r>
      <w:r w:rsidR="00053032">
        <w:rPr>
          <w:rFonts w:ascii="Times New Roman" w:hAnsi="Times New Roman" w:cs="Times New Roman"/>
          <w:sz w:val="24"/>
          <w:szCs w:val="24"/>
        </w:rPr>
        <w:t xml:space="preserve">constituted </w:t>
      </w:r>
      <w:r w:rsidR="00A45D9A">
        <w:rPr>
          <w:rFonts w:ascii="Times New Roman" w:hAnsi="Times New Roman" w:cs="Times New Roman"/>
          <w:sz w:val="24"/>
          <w:szCs w:val="24"/>
        </w:rPr>
        <w:t xml:space="preserve">deliberate decisions on the part of the settlor. </w:t>
      </w:r>
    </w:p>
    <w:p w14:paraId="675675B8" w14:textId="172254A0" w:rsidR="00053032" w:rsidRDefault="00A45D9A"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1DF8">
        <w:rPr>
          <w:rFonts w:ascii="Times New Roman" w:hAnsi="Times New Roman" w:cs="Times New Roman"/>
          <w:sz w:val="24"/>
          <w:szCs w:val="24"/>
        </w:rPr>
        <w:t>20</w:t>
      </w:r>
      <w:r>
        <w:rPr>
          <w:rFonts w:ascii="Times New Roman" w:hAnsi="Times New Roman" w:cs="Times New Roman"/>
          <w:sz w:val="24"/>
          <w:szCs w:val="24"/>
        </w:rPr>
        <w:t xml:space="preserve">] Further, Mahachi urged the court to take note of the fact that </w:t>
      </w:r>
      <w:r w:rsidRPr="00053032">
        <w:rPr>
          <w:rFonts w:ascii="Times New Roman" w:hAnsi="Times New Roman" w:cs="Times New Roman"/>
          <w:sz w:val="24"/>
          <w:szCs w:val="24"/>
        </w:rPr>
        <w:t xml:space="preserve">applicant was born </w:t>
      </w:r>
      <w:r w:rsidR="00053032" w:rsidRPr="00053032">
        <w:rPr>
          <w:rFonts w:ascii="Times New Roman" w:hAnsi="Times New Roman" w:cs="Times New Roman"/>
          <w:sz w:val="24"/>
          <w:szCs w:val="24"/>
        </w:rPr>
        <w:t xml:space="preserve">on 22 February 1988. The first respondent trust was established on 9 August 1989. Mahachi </w:t>
      </w:r>
      <w:r w:rsidR="00053032">
        <w:rPr>
          <w:rFonts w:ascii="Times New Roman" w:hAnsi="Times New Roman" w:cs="Times New Roman"/>
          <w:sz w:val="24"/>
          <w:szCs w:val="24"/>
        </w:rPr>
        <w:t xml:space="preserve">reasoned that </w:t>
      </w:r>
      <w:r w:rsidR="00053032" w:rsidRPr="00053032">
        <w:rPr>
          <w:rFonts w:ascii="Times New Roman" w:hAnsi="Times New Roman" w:cs="Times New Roman"/>
          <w:sz w:val="24"/>
          <w:szCs w:val="24"/>
        </w:rPr>
        <w:t>t</w:t>
      </w:r>
      <w:r w:rsidRPr="00053032">
        <w:rPr>
          <w:rFonts w:ascii="Times New Roman" w:hAnsi="Times New Roman" w:cs="Times New Roman"/>
          <w:sz w:val="24"/>
          <w:szCs w:val="24"/>
        </w:rPr>
        <w:t xml:space="preserve">here was no </w:t>
      </w:r>
      <w:r w:rsidR="00053032">
        <w:rPr>
          <w:rFonts w:ascii="Times New Roman" w:hAnsi="Times New Roman" w:cs="Times New Roman"/>
          <w:sz w:val="24"/>
          <w:szCs w:val="24"/>
        </w:rPr>
        <w:t xml:space="preserve">explanation, apart from the settlor`s deliberate decision, for applicant`s exclusion from the list of beneficiaries. His three </w:t>
      </w:r>
      <w:r w:rsidRPr="00053032">
        <w:rPr>
          <w:rFonts w:ascii="Times New Roman" w:hAnsi="Times New Roman" w:cs="Times New Roman"/>
          <w:sz w:val="24"/>
          <w:szCs w:val="24"/>
        </w:rPr>
        <w:t>half-siblin</w:t>
      </w:r>
      <w:r>
        <w:rPr>
          <w:rFonts w:ascii="Times New Roman" w:hAnsi="Times New Roman" w:cs="Times New Roman"/>
          <w:sz w:val="24"/>
          <w:szCs w:val="24"/>
        </w:rPr>
        <w:t xml:space="preserve">gs were specifically mentioned in the trust deed. </w:t>
      </w:r>
    </w:p>
    <w:p w14:paraId="6C9BEE26" w14:textId="1E633A62" w:rsidR="003C5927" w:rsidRDefault="00053032"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1DF8">
        <w:rPr>
          <w:rFonts w:ascii="Times New Roman" w:hAnsi="Times New Roman" w:cs="Times New Roman"/>
          <w:sz w:val="24"/>
          <w:szCs w:val="24"/>
        </w:rPr>
        <w:t>21</w:t>
      </w:r>
      <w:r>
        <w:rPr>
          <w:rFonts w:ascii="Times New Roman" w:hAnsi="Times New Roman" w:cs="Times New Roman"/>
          <w:sz w:val="24"/>
          <w:szCs w:val="24"/>
        </w:rPr>
        <w:t xml:space="preserve">] </w:t>
      </w:r>
      <w:r w:rsidR="00A45D9A">
        <w:rPr>
          <w:rFonts w:ascii="Times New Roman" w:hAnsi="Times New Roman" w:cs="Times New Roman"/>
          <w:sz w:val="24"/>
          <w:szCs w:val="24"/>
        </w:rPr>
        <w:t xml:space="preserve">Additionally, Mahachi drew attention to the fact that although </w:t>
      </w:r>
      <w:r w:rsidR="009D15B0">
        <w:rPr>
          <w:rFonts w:ascii="Times New Roman" w:hAnsi="Times New Roman" w:cs="Times New Roman"/>
          <w:sz w:val="24"/>
          <w:szCs w:val="24"/>
        </w:rPr>
        <w:t xml:space="preserve">first respondent </w:t>
      </w:r>
      <w:r w:rsidR="00A45D9A">
        <w:rPr>
          <w:rFonts w:ascii="Times New Roman" w:hAnsi="Times New Roman" w:cs="Times New Roman"/>
          <w:sz w:val="24"/>
          <w:szCs w:val="24"/>
        </w:rPr>
        <w:t xml:space="preserve">trust was formed in 1989, Mr Bredenkamp survived until 2020. </w:t>
      </w:r>
      <w:r>
        <w:rPr>
          <w:rFonts w:ascii="Times New Roman" w:hAnsi="Times New Roman" w:cs="Times New Roman"/>
          <w:sz w:val="24"/>
          <w:szCs w:val="24"/>
        </w:rPr>
        <w:t xml:space="preserve">He </w:t>
      </w:r>
      <w:r w:rsidR="009D15B0">
        <w:rPr>
          <w:rFonts w:ascii="Times New Roman" w:hAnsi="Times New Roman" w:cs="Times New Roman"/>
          <w:sz w:val="24"/>
          <w:szCs w:val="24"/>
        </w:rPr>
        <w:t xml:space="preserve">had </w:t>
      </w:r>
      <w:r>
        <w:rPr>
          <w:rFonts w:ascii="Times New Roman" w:hAnsi="Times New Roman" w:cs="Times New Roman"/>
          <w:sz w:val="24"/>
          <w:szCs w:val="24"/>
        </w:rPr>
        <w:t>ample opportunity d</w:t>
      </w:r>
      <w:r w:rsidR="00A45D9A">
        <w:rPr>
          <w:rFonts w:ascii="Times New Roman" w:hAnsi="Times New Roman" w:cs="Times New Roman"/>
          <w:sz w:val="24"/>
          <w:szCs w:val="24"/>
        </w:rPr>
        <w:t xml:space="preserve">uring the intervening period, </w:t>
      </w:r>
      <w:r>
        <w:rPr>
          <w:rFonts w:ascii="Times New Roman" w:hAnsi="Times New Roman" w:cs="Times New Roman"/>
          <w:sz w:val="24"/>
          <w:szCs w:val="24"/>
        </w:rPr>
        <w:t xml:space="preserve">to </w:t>
      </w:r>
      <w:r w:rsidR="00A45D9A">
        <w:rPr>
          <w:rFonts w:ascii="Times New Roman" w:hAnsi="Times New Roman" w:cs="Times New Roman"/>
          <w:sz w:val="24"/>
          <w:szCs w:val="24"/>
        </w:rPr>
        <w:t xml:space="preserve">amend the trust deed </w:t>
      </w:r>
      <w:r>
        <w:rPr>
          <w:rFonts w:ascii="Times New Roman" w:hAnsi="Times New Roman" w:cs="Times New Roman"/>
          <w:sz w:val="24"/>
          <w:szCs w:val="24"/>
        </w:rPr>
        <w:t xml:space="preserve">and </w:t>
      </w:r>
      <w:r w:rsidR="00A45D9A">
        <w:rPr>
          <w:rFonts w:ascii="Times New Roman" w:hAnsi="Times New Roman" w:cs="Times New Roman"/>
          <w:sz w:val="24"/>
          <w:szCs w:val="24"/>
        </w:rPr>
        <w:t xml:space="preserve">make specific provision for </w:t>
      </w:r>
      <w:r w:rsidR="003C5927">
        <w:rPr>
          <w:rFonts w:ascii="Times New Roman" w:hAnsi="Times New Roman" w:cs="Times New Roman"/>
          <w:sz w:val="24"/>
          <w:szCs w:val="24"/>
        </w:rPr>
        <w:t>applicant. He de</w:t>
      </w:r>
      <w:r w:rsidR="00D94B08">
        <w:rPr>
          <w:rFonts w:ascii="Times New Roman" w:hAnsi="Times New Roman" w:cs="Times New Roman"/>
          <w:sz w:val="24"/>
          <w:szCs w:val="24"/>
        </w:rPr>
        <w:t xml:space="preserve">clined </w:t>
      </w:r>
      <w:r w:rsidR="003C5927">
        <w:rPr>
          <w:rFonts w:ascii="Times New Roman" w:hAnsi="Times New Roman" w:cs="Times New Roman"/>
          <w:sz w:val="24"/>
          <w:szCs w:val="24"/>
        </w:rPr>
        <w:t xml:space="preserve">to so because </w:t>
      </w:r>
      <w:r w:rsidR="00D94B08">
        <w:rPr>
          <w:rFonts w:ascii="Times New Roman" w:hAnsi="Times New Roman" w:cs="Times New Roman"/>
          <w:sz w:val="24"/>
          <w:szCs w:val="24"/>
        </w:rPr>
        <w:t xml:space="preserve">such </w:t>
      </w:r>
      <w:r w:rsidR="003C5927">
        <w:rPr>
          <w:rFonts w:ascii="Times New Roman" w:hAnsi="Times New Roman" w:cs="Times New Roman"/>
          <w:sz w:val="24"/>
          <w:szCs w:val="24"/>
        </w:rPr>
        <w:t xml:space="preserve">was not </w:t>
      </w:r>
      <w:r w:rsidR="003B1DF8">
        <w:rPr>
          <w:rFonts w:ascii="Times New Roman" w:hAnsi="Times New Roman" w:cs="Times New Roman"/>
          <w:sz w:val="24"/>
          <w:szCs w:val="24"/>
        </w:rPr>
        <w:t xml:space="preserve">in fact, </w:t>
      </w:r>
      <w:r w:rsidR="003C5927">
        <w:rPr>
          <w:rFonts w:ascii="Times New Roman" w:hAnsi="Times New Roman" w:cs="Times New Roman"/>
          <w:sz w:val="24"/>
          <w:szCs w:val="24"/>
        </w:rPr>
        <w:t>his intention.</w:t>
      </w:r>
      <w:r w:rsidR="00A45D9A">
        <w:rPr>
          <w:rFonts w:ascii="Times New Roman" w:hAnsi="Times New Roman" w:cs="Times New Roman"/>
          <w:sz w:val="24"/>
          <w:szCs w:val="24"/>
        </w:rPr>
        <w:t xml:space="preserve"> </w:t>
      </w:r>
      <w:r w:rsidR="00496D6E">
        <w:rPr>
          <w:rFonts w:ascii="Times New Roman" w:hAnsi="Times New Roman" w:cs="Times New Roman"/>
          <w:sz w:val="24"/>
          <w:szCs w:val="24"/>
        </w:rPr>
        <w:t xml:space="preserve">Similarly, </w:t>
      </w:r>
      <w:r w:rsidR="00A45D9A">
        <w:rPr>
          <w:rFonts w:ascii="Times New Roman" w:hAnsi="Times New Roman" w:cs="Times New Roman"/>
          <w:sz w:val="24"/>
          <w:szCs w:val="24"/>
        </w:rPr>
        <w:t xml:space="preserve">Mahachi dismissed applicant`s two cluster interpretation of the trust deed`s definition and identification of beneficiaries as an attempt to mislead the </w:t>
      </w:r>
      <w:r w:rsidR="00496D6E">
        <w:rPr>
          <w:rFonts w:ascii="Times New Roman" w:hAnsi="Times New Roman" w:cs="Times New Roman"/>
          <w:sz w:val="24"/>
          <w:szCs w:val="24"/>
        </w:rPr>
        <w:t xml:space="preserve">court. </w:t>
      </w:r>
    </w:p>
    <w:p w14:paraId="305A7F39" w14:textId="47E894FF" w:rsidR="003C5927" w:rsidRDefault="003C5927"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D6B3C">
        <w:rPr>
          <w:rFonts w:ascii="Times New Roman" w:hAnsi="Times New Roman" w:cs="Times New Roman"/>
          <w:sz w:val="24"/>
          <w:szCs w:val="24"/>
        </w:rPr>
        <w:t>2</w:t>
      </w:r>
      <w:r w:rsidR="003B1DF8">
        <w:rPr>
          <w:rFonts w:ascii="Times New Roman" w:hAnsi="Times New Roman" w:cs="Times New Roman"/>
          <w:sz w:val="24"/>
          <w:szCs w:val="24"/>
        </w:rPr>
        <w:t>2</w:t>
      </w:r>
      <w:r>
        <w:rPr>
          <w:rFonts w:ascii="Times New Roman" w:hAnsi="Times New Roman" w:cs="Times New Roman"/>
          <w:sz w:val="24"/>
          <w:szCs w:val="24"/>
        </w:rPr>
        <w:t xml:space="preserve">] </w:t>
      </w:r>
      <w:r w:rsidR="00D94B08">
        <w:rPr>
          <w:rFonts w:ascii="Times New Roman" w:hAnsi="Times New Roman" w:cs="Times New Roman"/>
          <w:sz w:val="24"/>
          <w:szCs w:val="24"/>
        </w:rPr>
        <w:t xml:space="preserve">As for the will, Mahachi contended that such </w:t>
      </w:r>
      <w:r w:rsidR="00A45D9A">
        <w:rPr>
          <w:rFonts w:ascii="Times New Roman" w:hAnsi="Times New Roman" w:cs="Times New Roman"/>
          <w:sz w:val="24"/>
          <w:szCs w:val="24"/>
        </w:rPr>
        <w:t xml:space="preserve">could not avail </w:t>
      </w:r>
      <w:r w:rsidR="00D94B08">
        <w:rPr>
          <w:rFonts w:ascii="Times New Roman" w:hAnsi="Times New Roman" w:cs="Times New Roman"/>
          <w:sz w:val="24"/>
          <w:szCs w:val="24"/>
        </w:rPr>
        <w:t>applicant. It</w:t>
      </w:r>
      <w:r w:rsidR="00A45D9A">
        <w:rPr>
          <w:rFonts w:ascii="Times New Roman" w:hAnsi="Times New Roman" w:cs="Times New Roman"/>
          <w:sz w:val="24"/>
          <w:szCs w:val="24"/>
        </w:rPr>
        <w:t xml:space="preserve"> related to a different class of assets </w:t>
      </w:r>
      <w:r w:rsidR="00496D6E">
        <w:rPr>
          <w:rFonts w:ascii="Times New Roman" w:hAnsi="Times New Roman" w:cs="Times New Roman"/>
          <w:sz w:val="24"/>
          <w:szCs w:val="24"/>
        </w:rPr>
        <w:t>(those</w:t>
      </w:r>
      <w:r w:rsidR="00A45D9A">
        <w:rPr>
          <w:rFonts w:ascii="Times New Roman" w:hAnsi="Times New Roman" w:cs="Times New Roman"/>
          <w:sz w:val="24"/>
          <w:szCs w:val="24"/>
        </w:rPr>
        <w:t xml:space="preserve"> in South Africa), it bequeathed same to Mrs Bredenkamp and did not </w:t>
      </w:r>
      <w:r w:rsidR="00D94B08">
        <w:rPr>
          <w:rFonts w:ascii="Times New Roman" w:hAnsi="Times New Roman" w:cs="Times New Roman"/>
          <w:sz w:val="24"/>
          <w:szCs w:val="24"/>
        </w:rPr>
        <w:t>proceed so far as to specifically name a</w:t>
      </w:r>
      <w:r w:rsidR="00496D6E">
        <w:rPr>
          <w:rFonts w:ascii="Times New Roman" w:hAnsi="Times New Roman" w:cs="Times New Roman"/>
          <w:sz w:val="24"/>
          <w:szCs w:val="24"/>
        </w:rPr>
        <w:t xml:space="preserve">dditional beneficiaries “by will or deed” as envisaged in the trust deed. </w:t>
      </w:r>
    </w:p>
    <w:p w14:paraId="227632FD" w14:textId="1B15325A" w:rsidR="00D92198" w:rsidRDefault="003C5927"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B1DF8">
        <w:rPr>
          <w:rFonts w:ascii="Times New Roman" w:hAnsi="Times New Roman" w:cs="Times New Roman"/>
          <w:sz w:val="24"/>
          <w:szCs w:val="24"/>
        </w:rPr>
        <w:t>3</w:t>
      </w:r>
      <w:r>
        <w:rPr>
          <w:rFonts w:ascii="Times New Roman" w:hAnsi="Times New Roman" w:cs="Times New Roman"/>
          <w:sz w:val="24"/>
          <w:szCs w:val="24"/>
        </w:rPr>
        <w:t xml:space="preserve">] </w:t>
      </w:r>
      <w:r w:rsidR="00D94B08">
        <w:rPr>
          <w:rFonts w:ascii="Times New Roman" w:hAnsi="Times New Roman" w:cs="Times New Roman"/>
          <w:sz w:val="24"/>
          <w:szCs w:val="24"/>
        </w:rPr>
        <w:t xml:space="preserve">Mahachi impugned the letter of wishes in the following terms. </w:t>
      </w:r>
      <w:r w:rsidR="00496D6E">
        <w:rPr>
          <w:rFonts w:ascii="Times New Roman" w:hAnsi="Times New Roman" w:cs="Times New Roman"/>
          <w:sz w:val="24"/>
          <w:szCs w:val="24"/>
        </w:rPr>
        <w:t xml:space="preserve">It was unsigned and therefore of questionable authenticity. It was addressed to the Maitland Trust settled in the Virgin </w:t>
      </w:r>
      <w:r w:rsidR="00D94B08">
        <w:rPr>
          <w:rFonts w:ascii="Times New Roman" w:hAnsi="Times New Roman" w:cs="Times New Roman"/>
          <w:sz w:val="24"/>
          <w:szCs w:val="24"/>
        </w:rPr>
        <w:t xml:space="preserve">Islands, rather than first respondent trust </w:t>
      </w:r>
      <w:r w:rsidR="00496D6E">
        <w:rPr>
          <w:rFonts w:ascii="Times New Roman" w:hAnsi="Times New Roman" w:cs="Times New Roman"/>
          <w:sz w:val="24"/>
          <w:szCs w:val="24"/>
        </w:rPr>
        <w:t xml:space="preserve">established in Zimbabwe. </w:t>
      </w:r>
      <w:r w:rsidR="00D94B08">
        <w:rPr>
          <w:rFonts w:ascii="Times New Roman" w:hAnsi="Times New Roman" w:cs="Times New Roman"/>
          <w:sz w:val="24"/>
          <w:szCs w:val="24"/>
        </w:rPr>
        <w:t xml:space="preserve">The letter </w:t>
      </w:r>
      <w:r w:rsidR="00496D6E">
        <w:rPr>
          <w:rFonts w:ascii="Times New Roman" w:hAnsi="Times New Roman" w:cs="Times New Roman"/>
          <w:sz w:val="24"/>
          <w:szCs w:val="24"/>
        </w:rPr>
        <w:t xml:space="preserve">made no mention of </w:t>
      </w:r>
      <w:r w:rsidR="00D94B08">
        <w:rPr>
          <w:rFonts w:ascii="Times New Roman" w:hAnsi="Times New Roman" w:cs="Times New Roman"/>
          <w:sz w:val="24"/>
          <w:szCs w:val="24"/>
        </w:rPr>
        <w:t>first respondent</w:t>
      </w:r>
      <w:r w:rsidR="009D15B0">
        <w:rPr>
          <w:rFonts w:ascii="Times New Roman" w:hAnsi="Times New Roman" w:cs="Times New Roman"/>
          <w:sz w:val="24"/>
          <w:szCs w:val="24"/>
        </w:rPr>
        <w:t>,</w:t>
      </w:r>
      <w:r w:rsidR="00D94B08">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496D6E">
        <w:rPr>
          <w:rFonts w:ascii="Times New Roman" w:hAnsi="Times New Roman" w:cs="Times New Roman"/>
          <w:sz w:val="24"/>
          <w:szCs w:val="24"/>
        </w:rPr>
        <w:t xml:space="preserve">referred to other trusts set up in Zimbabwe by Mr Bredenkamp or at his instance. </w:t>
      </w:r>
      <w:r w:rsidR="00D94B08">
        <w:rPr>
          <w:rFonts w:ascii="Times New Roman" w:hAnsi="Times New Roman" w:cs="Times New Roman"/>
          <w:sz w:val="24"/>
          <w:szCs w:val="24"/>
        </w:rPr>
        <w:t>In any event, f</w:t>
      </w:r>
      <w:r w:rsidR="00496D6E">
        <w:rPr>
          <w:rFonts w:ascii="Times New Roman" w:hAnsi="Times New Roman" w:cs="Times New Roman"/>
          <w:sz w:val="24"/>
          <w:szCs w:val="24"/>
        </w:rPr>
        <w:t xml:space="preserve">irst respondent was established by Mr Strong and not by </w:t>
      </w:r>
      <w:r w:rsidR="00D92198">
        <w:rPr>
          <w:rFonts w:ascii="Times New Roman" w:hAnsi="Times New Roman" w:cs="Times New Roman"/>
          <w:sz w:val="24"/>
          <w:szCs w:val="24"/>
        </w:rPr>
        <w:t>Mr. Bredenk</w:t>
      </w:r>
      <w:r w:rsidR="004E2D9D">
        <w:rPr>
          <w:rFonts w:ascii="Times New Roman" w:hAnsi="Times New Roman" w:cs="Times New Roman"/>
          <w:sz w:val="24"/>
          <w:szCs w:val="24"/>
        </w:rPr>
        <w:t>a</w:t>
      </w:r>
      <w:r w:rsidR="00D92198">
        <w:rPr>
          <w:rFonts w:ascii="Times New Roman" w:hAnsi="Times New Roman" w:cs="Times New Roman"/>
          <w:sz w:val="24"/>
          <w:szCs w:val="24"/>
        </w:rPr>
        <w:t>mp</w:t>
      </w:r>
      <w:r>
        <w:rPr>
          <w:rFonts w:ascii="Times New Roman" w:hAnsi="Times New Roman" w:cs="Times New Roman"/>
          <w:sz w:val="24"/>
          <w:szCs w:val="24"/>
        </w:rPr>
        <w:t xml:space="preserve"> she repeated</w:t>
      </w:r>
      <w:r w:rsidR="00496D6E">
        <w:rPr>
          <w:rFonts w:ascii="Times New Roman" w:hAnsi="Times New Roman" w:cs="Times New Roman"/>
          <w:sz w:val="24"/>
          <w:szCs w:val="24"/>
        </w:rPr>
        <w:t xml:space="preserve">. </w:t>
      </w:r>
    </w:p>
    <w:p w14:paraId="1AD7D69F" w14:textId="6C459271" w:rsidR="00CE40FE" w:rsidRDefault="00D92198"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C5927">
        <w:rPr>
          <w:rFonts w:ascii="Times New Roman" w:hAnsi="Times New Roman" w:cs="Times New Roman"/>
          <w:sz w:val="24"/>
          <w:szCs w:val="24"/>
        </w:rPr>
        <w:t>2</w:t>
      </w:r>
      <w:r w:rsidR="003B1DF8">
        <w:rPr>
          <w:rFonts w:ascii="Times New Roman" w:hAnsi="Times New Roman" w:cs="Times New Roman"/>
          <w:sz w:val="24"/>
          <w:szCs w:val="24"/>
        </w:rPr>
        <w:t>4</w:t>
      </w:r>
      <w:r>
        <w:rPr>
          <w:rFonts w:ascii="Times New Roman" w:hAnsi="Times New Roman" w:cs="Times New Roman"/>
          <w:sz w:val="24"/>
          <w:szCs w:val="24"/>
        </w:rPr>
        <w:t xml:space="preserve">] Lastly, Mahachi discounted both the minutes of </w:t>
      </w:r>
      <w:r w:rsidR="00CE40FE">
        <w:rPr>
          <w:rFonts w:ascii="Times New Roman" w:hAnsi="Times New Roman" w:cs="Times New Roman"/>
          <w:sz w:val="24"/>
          <w:szCs w:val="24"/>
        </w:rPr>
        <w:t>15 August 2019 and their endorsement by Mr. Lawrence M</w:t>
      </w:r>
      <w:r w:rsidR="00D64B62">
        <w:rPr>
          <w:rFonts w:ascii="Times New Roman" w:hAnsi="Times New Roman" w:cs="Times New Roman"/>
          <w:sz w:val="24"/>
          <w:szCs w:val="24"/>
        </w:rPr>
        <w:t>a</w:t>
      </w:r>
      <w:r w:rsidR="00CE40FE">
        <w:rPr>
          <w:rFonts w:ascii="Times New Roman" w:hAnsi="Times New Roman" w:cs="Times New Roman"/>
          <w:sz w:val="24"/>
          <w:szCs w:val="24"/>
        </w:rPr>
        <w:t xml:space="preserve">juru`s affidavit as inconsequential. The minutes related to different trusts and companies. They did not constitute a “will or deed” as required by </w:t>
      </w:r>
      <w:r w:rsidR="00D94B08">
        <w:rPr>
          <w:rFonts w:ascii="Times New Roman" w:hAnsi="Times New Roman" w:cs="Times New Roman"/>
          <w:sz w:val="24"/>
          <w:szCs w:val="24"/>
        </w:rPr>
        <w:t xml:space="preserve">clause 5 (d) of </w:t>
      </w:r>
      <w:r w:rsidR="00CE40FE">
        <w:rPr>
          <w:rFonts w:ascii="Times New Roman" w:hAnsi="Times New Roman" w:cs="Times New Roman"/>
          <w:sz w:val="24"/>
          <w:szCs w:val="24"/>
        </w:rPr>
        <w:t>the trust deed. The minutes (in item 17</w:t>
      </w:r>
      <w:r w:rsidR="003F3481">
        <w:rPr>
          <w:rFonts w:ascii="Times New Roman" w:hAnsi="Times New Roman" w:cs="Times New Roman"/>
          <w:sz w:val="24"/>
          <w:szCs w:val="24"/>
        </w:rPr>
        <w:t xml:space="preserve"> </w:t>
      </w:r>
      <w:r w:rsidR="006E3D76">
        <w:rPr>
          <w:rFonts w:ascii="Times New Roman" w:hAnsi="Times New Roman" w:cs="Times New Roman"/>
          <w:sz w:val="24"/>
          <w:szCs w:val="24"/>
        </w:rPr>
        <w:t>thereof)</w:t>
      </w:r>
      <w:r w:rsidR="00CE40FE">
        <w:rPr>
          <w:rFonts w:ascii="Times New Roman" w:hAnsi="Times New Roman" w:cs="Times New Roman"/>
          <w:sz w:val="24"/>
          <w:szCs w:val="24"/>
        </w:rPr>
        <w:t xml:space="preserve"> purported to instruct </w:t>
      </w:r>
      <w:r w:rsidR="00D94B08">
        <w:rPr>
          <w:rFonts w:ascii="Times New Roman" w:hAnsi="Times New Roman" w:cs="Times New Roman"/>
          <w:sz w:val="24"/>
          <w:szCs w:val="24"/>
        </w:rPr>
        <w:t xml:space="preserve">Mr. </w:t>
      </w:r>
      <w:r w:rsidR="00CE40FE">
        <w:rPr>
          <w:rFonts w:ascii="Times New Roman" w:hAnsi="Times New Roman" w:cs="Times New Roman"/>
          <w:sz w:val="24"/>
          <w:szCs w:val="24"/>
        </w:rPr>
        <w:t xml:space="preserve">Lawrence </w:t>
      </w:r>
      <w:r w:rsidR="00D94B08">
        <w:rPr>
          <w:rFonts w:ascii="Times New Roman" w:hAnsi="Times New Roman" w:cs="Times New Roman"/>
          <w:sz w:val="24"/>
          <w:szCs w:val="24"/>
        </w:rPr>
        <w:t>M</w:t>
      </w:r>
      <w:r w:rsidR="00D64B62">
        <w:rPr>
          <w:rFonts w:ascii="Times New Roman" w:hAnsi="Times New Roman" w:cs="Times New Roman"/>
          <w:sz w:val="24"/>
          <w:szCs w:val="24"/>
        </w:rPr>
        <w:t>a</w:t>
      </w:r>
      <w:r w:rsidR="00D94B08">
        <w:rPr>
          <w:rFonts w:ascii="Times New Roman" w:hAnsi="Times New Roman" w:cs="Times New Roman"/>
          <w:sz w:val="24"/>
          <w:szCs w:val="24"/>
        </w:rPr>
        <w:t xml:space="preserve">juru </w:t>
      </w:r>
      <w:r w:rsidR="00CE40FE">
        <w:rPr>
          <w:rFonts w:ascii="Times New Roman" w:hAnsi="Times New Roman" w:cs="Times New Roman"/>
          <w:sz w:val="24"/>
          <w:szCs w:val="24"/>
        </w:rPr>
        <w:t xml:space="preserve">to confirm the </w:t>
      </w:r>
      <w:r w:rsidR="00CE40FE">
        <w:rPr>
          <w:rFonts w:ascii="Times New Roman" w:hAnsi="Times New Roman" w:cs="Times New Roman"/>
          <w:sz w:val="24"/>
          <w:szCs w:val="24"/>
        </w:rPr>
        <w:lastRenderedPageBreak/>
        <w:t xml:space="preserve">trustees, protector and beneficiaries of </w:t>
      </w:r>
      <w:r w:rsidR="00D94B08">
        <w:rPr>
          <w:rFonts w:ascii="Times New Roman" w:hAnsi="Times New Roman" w:cs="Times New Roman"/>
          <w:sz w:val="24"/>
          <w:szCs w:val="24"/>
        </w:rPr>
        <w:t>first respondent trust</w:t>
      </w:r>
      <w:r w:rsidR="003C5927">
        <w:rPr>
          <w:rFonts w:ascii="Times New Roman" w:hAnsi="Times New Roman" w:cs="Times New Roman"/>
          <w:sz w:val="24"/>
          <w:szCs w:val="24"/>
        </w:rPr>
        <w:t xml:space="preserve">. Such </w:t>
      </w:r>
      <w:r w:rsidR="00CE40FE">
        <w:rPr>
          <w:rFonts w:ascii="Times New Roman" w:hAnsi="Times New Roman" w:cs="Times New Roman"/>
          <w:sz w:val="24"/>
          <w:szCs w:val="24"/>
        </w:rPr>
        <w:t xml:space="preserve">instruction </w:t>
      </w:r>
      <w:r w:rsidR="003C5927">
        <w:rPr>
          <w:rFonts w:ascii="Times New Roman" w:hAnsi="Times New Roman" w:cs="Times New Roman"/>
          <w:sz w:val="24"/>
          <w:szCs w:val="24"/>
        </w:rPr>
        <w:t>was, according to Mahachi, “legally</w:t>
      </w:r>
      <w:r w:rsidR="00CE40FE">
        <w:rPr>
          <w:rFonts w:ascii="Times New Roman" w:hAnsi="Times New Roman" w:cs="Times New Roman"/>
          <w:sz w:val="24"/>
          <w:szCs w:val="24"/>
        </w:rPr>
        <w:t xml:space="preserve"> and factually” incompetent. </w:t>
      </w:r>
      <w:r w:rsidR="003C5927">
        <w:rPr>
          <w:rFonts w:ascii="Times New Roman" w:hAnsi="Times New Roman" w:cs="Times New Roman"/>
          <w:sz w:val="24"/>
          <w:szCs w:val="24"/>
        </w:rPr>
        <w:t xml:space="preserve">Mr. </w:t>
      </w:r>
      <w:r w:rsidR="00CE40FE">
        <w:rPr>
          <w:rFonts w:ascii="Times New Roman" w:hAnsi="Times New Roman" w:cs="Times New Roman"/>
          <w:sz w:val="24"/>
          <w:szCs w:val="24"/>
        </w:rPr>
        <w:t xml:space="preserve">Lawrence </w:t>
      </w:r>
      <w:r w:rsidR="003C5927">
        <w:rPr>
          <w:rFonts w:ascii="Times New Roman" w:hAnsi="Times New Roman" w:cs="Times New Roman"/>
          <w:sz w:val="24"/>
          <w:szCs w:val="24"/>
        </w:rPr>
        <w:t>M</w:t>
      </w:r>
      <w:r w:rsidR="00D64B62">
        <w:rPr>
          <w:rFonts w:ascii="Times New Roman" w:hAnsi="Times New Roman" w:cs="Times New Roman"/>
          <w:sz w:val="24"/>
          <w:szCs w:val="24"/>
        </w:rPr>
        <w:t>a</w:t>
      </w:r>
      <w:r w:rsidR="003C5927">
        <w:rPr>
          <w:rFonts w:ascii="Times New Roman" w:hAnsi="Times New Roman" w:cs="Times New Roman"/>
          <w:sz w:val="24"/>
          <w:szCs w:val="24"/>
        </w:rPr>
        <w:t xml:space="preserve">juru </w:t>
      </w:r>
      <w:r w:rsidR="00CE40FE">
        <w:rPr>
          <w:rFonts w:ascii="Times New Roman" w:hAnsi="Times New Roman" w:cs="Times New Roman"/>
          <w:sz w:val="24"/>
          <w:szCs w:val="24"/>
        </w:rPr>
        <w:t xml:space="preserve">was not a trustee </w:t>
      </w:r>
      <w:r w:rsidR="003C5927">
        <w:rPr>
          <w:rFonts w:ascii="Times New Roman" w:hAnsi="Times New Roman" w:cs="Times New Roman"/>
          <w:sz w:val="24"/>
          <w:szCs w:val="24"/>
        </w:rPr>
        <w:t>of first respondent. As such, he stood</w:t>
      </w:r>
      <w:r w:rsidR="00CE40FE">
        <w:rPr>
          <w:rFonts w:ascii="Times New Roman" w:hAnsi="Times New Roman" w:cs="Times New Roman"/>
          <w:sz w:val="24"/>
          <w:szCs w:val="24"/>
        </w:rPr>
        <w:t xml:space="preserve"> in no position to </w:t>
      </w:r>
      <w:r w:rsidR="003C5927">
        <w:rPr>
          <w:rFonts w:ascii="Times New Roman" w:hAnsi="Times New Roman" w:cs="Times New Roman"/>
          <w:sz w:val="24"/>
          <w:szCs w:val="24"/>
        </w:rPr>
        <w:t>reasonably discharge the tasks necessary to carry out t</w:t>
      </w:r>
      <w:r w:rsidR="00CE40FE">
        <w:rPr>
          <w:rFonts w:ascii="Times New Roman" w:hAnsi="Times New Roman" w:cs="Times New Roman"/>
          <w:sz w:val="24"/>
          <w:szCs w:val="24"/>
        </w:rPr>
        <w:t>he instruction</w:t>
      </w:r>
      <w:r w:rsidR="003C5927">
        <w:rPr>
          <w:rFonts w:ascii="Times New Roman" w:hAnsi="Times New Roman" w:cs="Times New Roman"/>
          <w:sz w:val="24"/>
          <w:szCs w:val="24"/>
        </w:rPr>
        <w:t>.</w:t>
      </w:r>
    </w:p>
    <w:p w14:paraId="52F40DD4" w14:textId="6A0F319D" w:rsidR="00053244" w:rsidRPr="0095707D" w:rsidRDefault="00053244"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THE LEGAL ARGUMENTS IN WRITTEN AND ORAL SUBMISSIONS</w:t>
      </w:r>
    </w:p>
    <w:p w14:paraId="09A5920B" w14:textId="3216B8BE" w:rsidR="00402D49" w:rsidRDefault="00490495"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C5927">
        <w:rPr>
          <w:rFonts w:ascii="Times New Roman" w:hAnsi="Times New Roman" w:cs="Times New Roman"/>
          <w:sz w:val="24"/>
          <w:szCs w:val="24"/>
        </w:rPr>
        <w:t>2</w:t>
      </w:r>
      <w:r w:rsidR="003B1DF8">
        <w:rPr>
          <w:rFonts w:ascii="Times New Roman" w:hAnsi="Times New Roman" w:cs="Times New Roman"/>
          <w:sz w:val="24"/>
          <w:szCs w:val="24"/>
        </w:rPr>
        <w:t>5</w:t>
      </w:r>
      <w:r>
        <w:rPr>
          <w:rFonts w:ascii="Times New Roman" w:hAnsi="Times New Roman" w:cs="Times New Roman"/>
          <w:sz w:val="24"/>
          <w:szCs w:val="24"/>
        </w:rPr>
        <w:t xml:space="preserve">] Counsel from both sides </w:t>
      </w:r>
      <w:r w:rsidR="00402D49">
        <w:rPr>
          <w:rFonts w:ascii="Times New Roman" w:hAnsi="Times New Roman" w:cs="Times New Roman"/>
          <w:sz w:val="24"/>
          <w:szCs w:val="24"/>
        </w:rPr>
        <w:t>were aligned on the</w:t>
      </w:r>
      <w:r w:rsidR="003C5927">
        <w:rPr>
          <w:rFonts w:ascii="Times New Roman" w:hAnsi="Times New Roman" w:cs="Times New Roman"/>
          <w:sz w:val="24"/>
          <w:szCs w:val="24"/>
        </w:rPr>
        <w:t xml:space="preserve"> applicable factual issues </w:t>
      </w:r>
      <w:r w:rsidR="00402D49">
        <w:rPr>
          <w:rFonts w:ascii="Times New Roman" w:hAnsi="Times New Roman" w:cs="Times New Roman"/>
          <w:sz w:val="24"/>
          <w:szCs w:val="24"/>
        </w:rPr>
        <w:t>and resultant legal principles</w:t>
      </w:r>
      <w:r w:rsidR="003C5927">
        <w:rPr>
          <w:rFonts w:ascii="Times New Roman" w:hAnsi="Times New Roman" w:cs="Times New Roman"/>
          <w:sz w:val="24"/>
          <w:szCs w:val="24"/>
        </w:rPr>
        <w:t>.</w:t>
      </w:r>
      <w:r w:rsidR="00402D49">
        <w:rPr>
          <w:rFonts w:ascii="Times New Roman" w:hAnsi="Times New Roman" w:cs="Times New Roman"/>
          <w:sz w:val="24"/>
          <w:szCs w:val="24"/>
        </w:rPr>
        <w:t xml:space="preserve"> The dispute could be resolved by interpretating the trust deed to establish whether or not applicant qualified as a beneficiary of first respondent. And in interpreting </w:t>
      </w:r>
      <w:r w:rsidR="003C5927">
        <w:rPr>
          <w:rFonts w:ascii="Times New Roman" w:hAnsi="Times New Roman" w:cs="Times New Roman"/>
          <w:sz w:val="24"/>
          <w:szCs w:val="24"/>
        </w:rPr>
        <w:t xml:space="preserve">the </w:t>
      </w:r>
      <w:r w:rsidR="00402D49">
        <w:rPr>
          <w:rFonts w:ascii="Times New Roman" w:hAnsi="Times New Roman" w:cs="Times New Roman"/>
          <w:sz w:val="24"/>
          <w:szCs w:val="24"/>
        </w:rPr>
        <w:t>trust deed whose settlor was deceased, the court was obliged to resort to the same principles applicable in interpreting a will.</w:t>
      </w:r>
    </w:p>
    <w:p w14:paraId="1350FE1D" w14:textId="788A85D0" w:rsidR="002517E0" w:rsidRDefault="00402D49"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C5927">
        <w:rPr>
          <w:rFonts w:ascii="Times New Roman" w:hAnsi="Times New Roman" w:cs="Times New Roman"/>
          <w:sz w:val="24"/>
          <w:szCs w:val="24"/>
        </w:rPr>
        <w:t>2</w:t>
      </w:r>
      <w:r w:rsidR="003B1DF8">
        <w:rPr>
          <w:rFonts w:ascii="Times New Roman" w:hAnsi="Times New Roman" w:cs="Times New Roman"/>
          <w:sz w:val="24"/>
          <w:szCs w:val="24"/>
        </w:rPr>
        <w:t>6</w:t>
      </w:r>
      <w:r>
        <w:rPr>
          <w:rFonts w:ascii="Times New Roman" w:hAnsi="Times New Roman" w:cs="Times New Roman"/>
          <w:sz w:val="24"/>
          <w:szCs w:val="24"/>
        </w:rPr>
        <w:t xml:space="preserve">] Both counsel cited the decisions of </w:t>
      </w:r>
      <w:r w:rsidRPr="002517E0">
        <w:rPr>
          <w:rFonts w:ascii="Times New Roman" w:hAnsi="Times New Roman" w:cs="Times New Roman"/>
          <w:i/>
          <w:iCs/>
          <w:sz w:val="24"/>
          <w:szCs w:val="24"/>
        </w:rPr>
        <w:t xml:space="preserve">Ex Parte Easton </w:t>
      </w:r>
      <w:r w:rsidR="002517E0" w:rsidRPr="002517E0">
        <w:rPr>
          <w:rFonts w:ascii="Times New Roman" w:hAnsi="Times New Roman" w:cs="Times New Roman"/>
          <w:i/>
          <w:iCs/>
          <w:sz w:val="24"/>
          <w:szCs w:val="24"/>
        </w:rPr>
        <w:t>N. O</w:t>
      </w:r>
      <w:r>
        <w:rPr>
          <w:rFonts w:ascii="Times New Roman" w:hAnsi="Times New Roman" w:cs="Times New Roman"/>
          <w:sz w:val="24"/>
          <w:szCs w:val="24"/>
        </w:rPr>
        <w:t xml:space="preserve"> 1948 (2) SA 5</w:t>
      </w:r>
      <w:r w:rsidR="002517E0">
        <w:rPr>
          <w:rFonts w:ascii="Times New Roman" w:hAnsi="Times New Roman" w:cs="Times New Roman"/>
          <w:sz w:val="24"/>
          <w:szCs w:val="24"/>
        </w:rPr>
        <w:t>30 (C)</w:t>
      </w:r>
      <w:r>
        <w:rPr>
          <w:rFonts w:ascii="Times New Roman" w:hAnsi="Times New Roman" w:cs="Times New Roman"/>
          <w:sz w:val="24"/>
          <w:szCs w:val="24"/>
        </w:rPr>
        <w:t xml:space="preserve"> and </w:t>
      </w:r>
      <w:r w:rsidR="00353FA8" w:rsidRPr="002517E0">
        <w:rPr>
          <w:rFonts w:ascii="Times New Roman" w:hAnsi="Times New Roman" w:cs="Times New Roman"/>
          <w:i/>
          <w:iCs/>
          <w:sz w:val="24"/>
          <w:szCs w:val="24"/>
        </w:rPr>
        <w:t xml:space="preserve">Dinson </w:t>
      </w:r>
      <w:r w:rsidR="002517E0" w:rsidRPr="002517E0">
        <w:rPr>
          <w:rFonts w:ascii="Times New Roman" w:hAnsi="Times New Roman" w:cs="Times New Roman"/>
          <w:i/>
          <w:iCs/>
          <w:sz w:val="24"/>
          <w:szCs w:val="24"/>
        </w:rPr>
        <w:t>N. O</w:t>
      </w:r>
      <w:r w:rsidR="00353FA8" w:rsidRPr="002517E0">
        <w:rPr>
          <w:rFonts w:ascii="Times New Roman" w:hAnsi="Times New Roman" w:cs="Times New Roman"/>
          <w:i/>
          <w:iCs/>
          <w:sz w:val="24"/>
          <w:szCs w:val="24"/>
        </w:rPr>
        <w:t xml:space="preserve"> and Ors v Hoffmann &amp; Ors NNO</w:t>
      </w:r>
      <w:r w:rsidR="00353FA8">
        <w:rPr>
          <w:rFonts w:ascii="Times New Roman" w:hAnsi="Times New Roman" w:cs="Times New Roman"/>
          <w:sz w:val="24"/>
          <w:szCs w:val="24"/>
        </w:rPr>
        <w:t xml:space="preserve"> 1979 (4) SA 1004</w:t>
      </w:r>
      <w:r w:rsidR="003D0785">
        <w:rPr>
          <w:rFonts w:ascii="Times New Roman" w:hAnsi="Times New Roman" w:cs="Times New Roman"/>
          <w:sz w:val="24"/>
          <w:szCs w:val="24"/>
        </w:rPr>
        <w:t xml:space="preserve"> (A). In</w:t>
      </w:r>
      <w:r w:rsidR="00353FA8">
        <w:rPr>
          <w:rFonts w:ascii="Times New Roman" w:hAnsi="Times New Roman" w:cs="Times New Roman"/>
          <w:sz w:val="24"/>
          <w:szCs w:val="24"/>
        </w:rPr>
        <w:t xml:space="preserve"> the former decision, the court was confronted with the </w:t>
      </w:r>
      <w:r w:rsidR="002517E0">
        <w:rPr>
          <w:rFonts w:ascii="Times New Roman" w:hAnsi="Times New Roman" w:cs="Times New Roman"/>
          <w:sz w:val="24"/>
          <w:szCs w:val="24"/>
        </w:rPr>
        <w:t xml:space="preserve">interpretation of </w:t>
      </w:r>
      <w:r w:rsidR="003C5927">
        <w:rPr>
          <w:rFonts w:ascii="Times New Roman" w:hAnsi="Times New Roman" w:cs="Times New Roman"/>
          <w:sz w:val="24"/>
          <w:szCs w:val="24"/>
        </w:rPr>
        <w:t>a</w:t>
      </w:r>
      <w:r w:rsidR="002517E0">
        <w:rPr>
          <w:rFonts w:ascii="Times New Roman" w:hAnsi="Times New Roman" w:cs="Times New Roman"/>
          <w:sz w:val="24"/>
          <w:szCs w:val="24"/>
        </w:rPr>
        <w:t xml:space="preserve"> donor`s wishes regarding termination of </w:t>
      </w:r>
      <w:r w:rsidR="003C5927">
        <w:rPr>
          <w:rFonts w:ascii="Times New Roman" w:hAnsi="Times New Roman" w:cs="Times New Roman"/>
          <w:sz w:val="24"/>
          <w:szCs w:val="24"/>
        </w:rPr>
        <w:t>a</w:t>
      </w:r>
      <w:r w:rsidR="002517E0">
        <w:rPr>
          <w:rFonts w:ascii="Times New Roman" w:hAnsi="Times New Roman" w:cs="Times New Roman"/>
          <w:sz w:val="24"/>
          <w:szCs w:val="24"/>
        </w:rPr>
        <w:t xml:space="preserve"> trust and distribution of its corpus.</w:t>
      </w:r>
      <w:r w:rsidR="00353FA8">
        <w:rPr>
          <w:rFonts w:ascii="Times New Roman" w:hAnsi="Times New Roman" w:cs="Times New Roman"/>
          <w:sz w:val="24"/>
          <w:szCs w:val="24"/>
        </w:rPr>
        <w:t xml:space="preserve"> </w:t>
      </w:r>
      <w:r w:rsidR="003C5927">
        <w:rPr>
          <w:rFonts w:ascii="Times New Roman" w:hAnsi="Times New Roman" w:cs="Times New Roman"/>
          <w:sz w:val="24"/>
          <w:szCs w:val="24"/>
        </w:rPr>
        <w:t>The court t</w:t>
      </w:r>
      <w:r w:rsidR="002517E0">
        <w:rPr>
          <w:rFonts w:ascii="Times New Roman" w:hAnsi="Times New Roman" w:cs="Times New Roman"/>
          <w:sz w:val="24"/>
          <w:szCs w:val="24"/>
        </w:rPr>
        <w:t xml:space="preserve">raversed at length </w:t>
      </w:r>
      <w:r w:rsidR="00791BFA">
        <w:rPr>
          <w:rFonts w:ascii="Times New Roman" w:hAnsi="Times New Roman" w:cs="Times New Roman"/>
          <w:sz w:val="24"/>
          <w:szCs w:val="24"/>
        </w:rPr>
        <w:t xml:space="preserve">and breadth of </w:t>
      </w:r>
      <w:r w:rsidR="002517E0">
        <w:rPr>
          <w:rFonts w:ascii="Times New Roman" w:hAnsi="Times New Roman" w:cs="Times New Roman"/>
          <w:sz w:val="24"/>
          <w:szCs w:val="24"/>
        </w:rPr>
        <w:t>the trust deed, exploring various possibilities in trying to establish the deceased settlor</w:t>
      </w:r>
      <w:r w:rsidR="00791BFA">
        <w:rPr>
          <w:rFonts w:ascii="Times New Roman" w:hAnsi="Times New Roman" w:cs="Times New Roman"/>
          <w:sz w:val="24"/>
          <w:szCs w:val="24"/>
        </w:rPr>
        <w:t xml:space="preserve">` s </w:t>
      </w:r>
      <w:r w:rsidR="003C5927">
        <w:rPr>
          <w:rFonts w:ascii="Times New Roman" w:hAnsi="Times New Roman" w:cs="Times New Roman"/>
          <w:sz w:val="24"/>
          <w:szCs w:val="24"/>
        </w:rPr>
        <w:t>intention</w:t>
      </w:r>
      <w:r w:rsidR="002517E0">
        <w:rPr>
          <w:rFonts w:ascii="Times New Roman" w:hAnsi="Times New Roman" w:cs="Times New Roman"/>
          <w:sz w:val="24"/>
          <w:szCs w:val="24"/>
        </w:rPr>
        <w:t xml:space="preserve">. SEARLE </w:t>
      </w:r>
      <w:r w:rsidR="00D94B08">
        <w:rPr>
          <w:rFonts w:ascii="Times New Roman" w:hAnsi="Times New Roman" w:cs="Times New Roman"/>
          <w:sz w:val="24"/>
          <w:szCs w:val="24"/>
        </w:rPr>
        <w:t>JA held</w:t>
      </w:r>
      <w:r w:rsidR="002517E0">
        <w:rPr>
          <w:rFonts w:ascii="Times New Roman" w:hAnsi="Times New Roman" w:cs="Times New Roman"/>
          <w:sz w:val="24"/>
          <w:szCs w:val="24"/>
        </w:rPr>
        <w:t xml:space="preserve"> as follows regarding the proper interpretational considerations at 540; -</w:t>
      </w:r>
    </w:p>
    <w:p w14:paraId="72FB4E0A" w14:textId="79343A04" w:rsidR="002517E0" w:rsidRPr="002517E0" w:rsidRDefault="002517E0" w:rsidP="002517E0">
      <w:pPr>
        <w:spacing w:line="360" w:lineRule="auto"/>
        <w:ind w:left="851"/>
        <w:jc w:val="both"/>
        <w:rPr>
          <w:rFonts w:ascii="Times New Roman" w:hAnsi="Times New Roman" w:cs="Times New Roman"/>
          <w:sz w:val="24"/>
          <w:szCs w:val="24"/>
        </w:rPr>
      </w:pPr>
      <w:r w:rsidRPr="002517E0">
        <w:rPr>
          <w:rFonts w:ascii="Times New Roman" w:hAnsi="Times New Roman" w:cs="Times New Roman"/>
          <w:sz w:val="24"/>
          <w:szCs w:val="24"/>
        </w:rPr>
        <w:t>“</w:t>
      </w:r>
      <w:r w:rsidRPr="002517E0">
        <w:rPr>
          <w:rFonts w:ascii="Times New Roman" w:hAnsi="Times New Roman" w:cs="Times New Roman"/>
          <w:sz w:val="24"/>
          <w:szCs w:val="24"/>
          <w:u w:val="single"/>
        </w:rPr>
        <w:t>A deed of donation such as the one under consideration should be construed on the same principles as a will</w:t>
      </w:r>
      <w:r w:rsidRPr="002517E0">
        <w:rPr>
          <w:rFonts w:ascii="Times New Roman" w:hAnsi="Times New Roman" w:cs="Times New Roman"/>
          <w:sz w:val="24"/>
          <w:szCs w:val="24"/>
        </w:rPr>
        <w:t xml:space="preserve"> and accordingly </w:t>
      </w:r>
      <w:r w:rsidRPr="002517E0">
        <w:rPr>
          <w:rFonts w:ascii="Times New Roman" w:hAnsi="Times New Roman" w:cs="Times New Roman"/>
          <w:sz w:val="24"/>
          <w:szCs w:val="24"/>
          <w:u w:val="single"/>
        </w:rPr>
        <w:t xml:space="preserve">effect should be given to the donor's wishes by reconciling, if possible, the conflicting provisions in accordance with the general intention </w:t>
      </w:r>
      <w:r w:rsidRPr="002517E0">
        <w:rPr>
          <w:rFonts w:ascii="Times New Roman" w:hAnsi="Times New Roman" w:cs="Times New Roman"/>
          <w:i/>
          <w:iCs/>
          <w:sz w:val="24"/>
          <w:szCs w:val="24"/>
          <w:u w:val="single"/>
        </w:rPr>
        <w:t>expressed in the deed</w:t>
      </w:r>
      <w:r w:rsidRPr="002517E0">
        <w:rPr>
          <w:rFonts w:ascii="Times New Roman" w:hAnsi="Times New Roman" w:cs="Times New Roman"/>
          <w:sz w:val="24"/>
          <w:szCs w:val="24"/>
        </w:rPr>
        <w:t xml:space="preserve"> (vide Steyn on Wills, p. 35). The dominating motive of the disposition must prevail - vide </w:t>
      </w:r>
      <w:r w:rsidRPr="002517E0">
        <w:rPr>
          <w:rFonts w:ascii="Times New Roman" w:hAnsi="Times New Roman" w:cs="Times New Roman"/>
          <w:i/>
          <w:iCs/>
          <w:sz w:val="24"/>
          <w:szCs w:val="24"/>
        </w:rPr>
        <w:t>Estate King v The Master</w:t>
      </w:r>
      <w:r w:rsidRPr="002517E0">
        <w:rPr>
          <w:rFonts w:ascii="Times New Roman" w:hAnsi="Times New Roman" w:cs="Times New Roman"/>
          <w:sz w:val="24"/>
          <w:szCs w:val="24"/>
        </w:rPr>
        <w:t xml:space="preserve"> (1935 CPD 67 at p. 70), and it is only when it is completely impossible to arrive at any conclusion as to what was the donor's intention that the donation will be declared void for uncertainty - vide </w:t>
      </w:r>
      <w:r w:rsidRPr="002517E0">
        <w:rPr>
          <w:rFonts w:ascii="Times New Roman" w:hAnsi="Times New Roman" w:cs="Times New Roman"/>
          <w:i/>
          <w:iCs/>
          <w:sz w:val="24"/>
          <w:szCs w:val="24"/>
        </w:rPr>
        <w:t xml:space="preserve">Ex parte Baker's Executors </w:t>
      </w:r>
      <w:r w:rsidRPr="002517E0">
        <w:rPr>
          <w:rFonts w:ascii="Times New Roman" w:hAnsi="Times New Roman" w:cs="Times New Roman"/>
          <w:sz w:val="24"/>
          <w:szCs w:val="24"/>
        </w:rPr>
        <w:t xml:space="preserve">(1939 CPD 287). A provision is not implied unless it is a necessary implication - vide </w:t>
      </w:r>
      <w:r w:rsidRPr="002517E0">
        <w:rPr>
          <w:rFonts w:ascii="Times New Roman" w:hAnsi="Times New Roman" w:cs="Times New Roman"/>
          <w:i/>
          <w:iCs/>
          <w:sz w:val="24"/>
          <w:szCs w:val="24"/>
        </w:rPr>
        <w:t>Ex parte Estate Graaff</w:t>
      </w:r>
      <w:r w:rsidRPr="002517E0">
        <w:rPr>
          <w:rFonts w:ascii="Times New Roman" w:hAnsi="Times New Roman" w:cs="Times New Roman"/>
          <w:sz w:val="24"/>
          <w:szCs w:val="24"/>
        </w:rPr>
        <w:t xml:space="preserve"> (1947 (4) S.A.L.R. 496), but in the present case an implication is unavoidable as reconciliation of the provisions is only possible if the Court either construes the daughters' rights to income for life as terminated on the youngest grandchild attaining 21 years, or interprets the provision as to the termination of the trust and the distribution of the corpus as postponed till after the death of the daughters.”</w:t>
      </w:r>
      <w:r w:rsidR="00D94B08">
        <w:rPr>
          <w:rFonts w:ascii="Times New Roman" w:hAnsi="Times New Roman" w:cs="Times New Roman"/>
          <w:sz w:val="24"/>
          <w:szCs w:val="24"/>
        </w:rPr>
        <w:t>[underlined for emphasis]</w:t>
      </w:r>
    </w:p>
    <w:p w14:paraId="68EF738F" w14:textId="2CEA189C" w:rsidR="00402D49" w:rsidRDefault="00402D49"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C5927">
        <w:rPr>
          <w:rFonts w:ascii="Times New Roman" w:hAnsi="Times New Roman" w:cs="Times New Roman"/>
          <w:sz w:val="24"/>
          <w:szCs w:val="24"/>
        </w:rPr>
        <w:t>2</w:t>
      </w:r>
      <w:r w:rsidR="003B1DF8">
        <w:rPr>
          <w:rFonts w:ascii="Times New Roman" w:hAnsi="Times New Roman" w:cs="Times New Roman"/>
          <w:sz w:val="24"/>
          <w:szCs w:val="24"/>
        </w:rPr>
        <w:t>7</w:t>
      </w:r>
      <w:r>
        <w:rPr>
          <w:rFonts w:ascii="Times New Roman" w:hAnsi="Times New Roman" w:cs="Times New Roman"/>
          <w:sz w:val="24"/>
          <w:szCs w:val="24"/>
        </w:rPr>
        <w:t xml:space="preserve">] </w:t>
      </w:r>
      <w:r w:rsidR="003D0785">
        <w:rPr>
          <w:rFonts w:ascii="Times New Roman" w:hAnsi="Times New Roman" w:cs="Times New Roman"/>
          <w:sz w:val="24"/>
          <w:szCs w:val="24"/>
        </w:rPr>
        <w:t xml:space="preserve">In the second case of </w:t>
      </w:r>
      <w:r w:rsidR="003D0785" w:rsidRPr="002517E0">
        <w:rPr>
          <w:rFonts w:ascii="Times New Roman" w:hAnsi="Times New Roman" w:cs="Times New Roman"/>
          <w:i/>
          <w:iCs/>
          <w:sz w:val="24"/>
          <w:szCs w:val="24"/>
        </w:rPr>
        <w:t>Dinson N. O and Ors v Hoffmann &amp; Ors NNO</w:t>
      </w:r>
      <w:r w:rsidR="003D0785">
        <w:rPr>
          <w:rFonts w:ascii="Times New Roman" w:hAnsi="Times New Roman" w:cs="Times New Roman"/>
          <w:i/>
          <w:iCs/>
          <w:sz w:val="24"/>
          <w:szCs w:val="24"/>
        </w:rPr>
        <w:t xml:space="preserve"> (supra</w:t>
      </w:r>
      <w:r w:rsidR="00D94B08">
        <w:rPr>
          <w:rFonts w:ascii="Times New Roman" w:hAnsi="Times New Roman" w:cs="Times New Roman"/>
          <w:i/>
          <w:iCs/>
          <w:sz w:val="24"/>
          <w:szCs w:val="24"/>
        </w:rPr>
        <w:t>),</w:t>
      </w:r>
      <w:r w:rsidR="003D0785">
        <w:rPr>
          <w:rFonts w:ascii="Times New Roman" w:hAnsi="Times New Roman" w:cs="Times New Roman"/>
          <w:sz w:val="24"/>
          <w:szCs w:val="24"/>
        </w:rPr>
        <w:t xml:space="preserve"> the court set out the rules applicable to interpretation of a will. These being the same rules which both counsel </w:t>
      </w:r>
      <w:r w:rsidR="003C5927">
        <w:rPr>
          <w:rFonts w:ascii="Times New Roman" w:hAnsi="Times New Roman" w:cs="Times New Roman"/>
          <w:sz w:val="24"/>
          <w:szCs w:val="24"/>
        </w:rPr>
        <w:t xml:space="preserve">in the present dispute </w:t>
      </w:r>
      <w:r w:rsidR="003D0785">
        <w:rPr>
          <w:rFonts w:ascii="Times New Roman" w:hAnsi="Times New Roman" w:cs="Times New Roman"/>
          <w:sz w:val="24"/>
          <w:szCs w:val="24"/>
        </w:rPr>
        <w:t>agreed could be deployed to aid the construction of the trust deed of first respondent</w:t>
      </w:r>
      <w:r w:rsidR="003C5927">
        <w:rPr>
          <w:rFonts w:ascii="Times New Roman" w:hAnsi="Times New Roman" w:cs="Times New Roman"/>
          <w:sz w:val="24"/>
          <w:szCs w:val="24"/>
        </w:rPr>
        <w:t>.</w:t>
      </w:r>
      <w:r w:rsidR="003D0785">
        <w:rPr>
          <w:rFonts w:ascii="Times New Roman" w:hAnsi="Times New Roman" w:cs="Times New Roman"/>
          <w:sz w:val="24"/>
          <w:szCs w:val="24"/>
        </w:rPr>
        <w:t xml:space="preserve"> The court </w:t>
      </w:r>
      <w:r w:rsidR="003C5927">
        <w:rPr>
          <w:rFonts w:ascii="Times New Roman" w:hAnsi="Times New Roman" w:cs="Times New Roman"/>
          <w:sz w:val="24"/>
          <w:szCs w:val="24"/>
        </w:rPr>
        <w:t xml:space="preserve">in </w:t>
      </w:r>
      <w:r w:rsidR="003C5927" w:rsidRPr="003C5927">
        <w:rPr>
          <w:rFonts w:ascii="Times New Roman" w:hAnsi="Times New Roman" w:cs="Times New Roman"/>
          <w:i/>
          <w:iCs/>
          <w:sz w:val="24"/>
          <w:szCs w:val="24"/>
        </w:rPr>
        <w:t xml:space="preserve">Dinson </w:t>
      </w:r>
      <w:r w:rsidR="003D0785">
        <w:rPr>
          <w:rFonts w:ascii="Times New Roman" w:hAnsi="Times New Roman" w:cs="Times New Roman"/>
          <w:sz w:val="24"/>
          <w:szCs w:val="24"/>
        </w:rPr>
        <w:t xml:space="preserve">held as follows at page 1008: </w:t>
      </w:r>
    </w:p>
    <w:p w14:paraId="6577D959" w14:textId="385E05D6" w:rsidR="003D0785" w:rsidRDefault="003D0785" w:rsidP="00993E81">
      <w:pPr>
        <w:spacing w:line="360" w:lineRule="auto"/>
        <w:ind w:left="851"/>
        <w:jc w:val="both"/>
        <w:rPr>
          <w:rFonts w:ascii="Times New Roman" w:hAnsi="Times New Roman" w:cs="Times New Roman"/>
          <w:sz w:val="24"/>
          <w:szCs w:val="24"/>
        </w:rPr>
      </w:pPr>
      <w:r w:rsidRPr="003D0785">
        <w:rPr>
          <w:rFonts w:ascii="Times New Roman" w:hAnsi="Times New Roman" w:cs="Times New Roman"/>
          <w:sz w:val="24"/>
          <w:szCs w:val="24"/>
        </w:rPr>
        <w:t>“</w:t>
      </w:r>
      <w:r w:rsidRPr="003D0785">
        <w:rPr>
          <w:rFonts w:ascii="Times New Roman" w:hAnsi="Times New Roman" w:cs="Times New Roman"/>
          <w:sz w:val="24"/>
          <w:szCs w:val="24"/>
          <w:u w:val="single"/>
        </w:rPr>
        <w:t>Every will must be its own dictionary</w:t>
      </w:r>
      <w:r w:rsidRPr="003D0785">
        <w:rPr>
          <w:rFonts w:ascii="Times New Roman" w:hAnsi="Times New Roman" w:cs="Times New Roman"/>
          <w:sz w:val="24"/>
          <w:szCs w:val="24"/>
        </w:rPr>
        <w:t xml:space="preserve">. See </w:t>
      </w:r>
      <w:r w:rsidRPr="003D0785">
        <w:rPr>
          <w:rFonts w:ascii="Times New Roman" w:hAnsi="Times New Roman" w:cs="Times New Roman"/>
          <w:i/>
          <w:iCs/>
          <w:sz w:val="24"/>
          <w:szCs w:val="24"/>
        </w:rPr>
        <w:t>Gordon's Bay Estates v Smuts</w:t>
      </w:r>
      <w:r w:rsidRPr="003D0785">
        <w:rPr>
          <w:rFonts w:ascii="Times New Roman" w:hAnsi="Times New Roman" w:cs="Times New Roman"/>
          <w:sz w:val="24"/>
          <w:szCs w:val="24"/>
        </w:rPr>
        <w:t xml:space="preserve"> 1923 AD at 169; </w:t>
      </w:r>
      <w:r w:rsidRPr="003D0785">
        <w:rPr>
          <w:rFonts w:ascii="Times New Roman" w:hAnsi="Times New Roman" w:cs="Times New Roman"/>
          <w:i/>
          <w:iCs/>
          <w:sz w:val="24"/>
          <w:szCs w:val="24"/>
        </w:rPr>
        <w:t>Gisborne v Gisborne</w:t>
      </w:r>
      <w:r w:rsidRPr="003D0785">
        <w:rPr>
          <w:rFonts w:ascii="Times New Roman" w:hAnsi="Times New Roman" w:cs="Times New Roman"/>
          <w:sz w:val="24"/>
          <w:szCs w:val="24"/>
        </w:rPr>
        <w:t xml:space="preserve"> (1887) 2 AC 310 (HL). </w:t>
      </w:r>
      <w:r w:rsidRPr="003D0785">
        <w:rPr>
          <w:rFonts w:ascii="Times New Roman" w:hAnsi="Times New Roman" w:cs="Times New Roman"/>
          <w:sz w:val="24"/>
          <w:szCs w:val="24"/>
          <w:u w:val="single"/>
        </w:rPr>
        <w:t>The cardinal rule of construction is directed at assessing the intention of the testator in the particular will under consideration.</w:t>
      </w:r>
      <w:r w:rsidRPr="003D0785">
        <w:rPr>
          <w:rFonts w:ascii="Times New Roman" w:hAnsi="Times New Roman" w:cs="Times New Roman"/>
          <w:sz w:val="24"/>
          <w:szCs w:val="24"/>
        </w:rPr>
        <w:t xml:space="preserve"> All other rules, aids to interpretation and presumptions must be subordinate to this cardinal rule.”</w:t>
      </w:r>
    </w:p>
    <w:p w14:paraId="2D5C33AE" w14:textId="543A01FD" w:rsidR="00181A13" w:rsidRDefault="008963F7"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C5927">
        <w:rPr>
          <w:rFonts w:ascii="Times New Roman" w:hAnsi="Times New Roman" w:cs="Times New Roman"/>
          <w:sz w:val="24"/>
          <w:szCs w:val="24"/>
        </w:rPr>
        <w:t>2</w:t>
      </w:r>
      <w:r w:rsidR="003B1DF8">
        <w:rPr>
          <w:rFonts w:ascii="Times New Roman" w:hAnsi="Times New Roman" w:cs="Times New Roman"/>
          <w:sz w:val="24"/>
          <w:szCs w:val="24"/>
        </w:rPr>
        <w:t>8</w:t>
      </w:r>
      <w:r>
        <w:rPr>
          <w:rFonts w:ascii="Times New Roman" w:hAnsi="Times New Roman" w:cs="Times New Roman"/>
          <w:sz w:val="24"/>
          <w:szCs w:val="24"/>
        </w:rPr>
        <w:t xml:space="preserve">] Mr </w:t>
      </w:r>
      <w:r w:rsidRPr="00E35520">
        <w:rPr>
          <w:rFonts w:ascii="Times New Roman" w:hAnsi="Times New Roman" w:cs="Times New Roman"/>
          <w:i/>
          <w:iCs/>
          <w:sz w:val="24"/>
          <w:szCs w:val="24"/>
        </w:rPr>
        <w:t>Mpofu</w:t>
      </w:r>
      <w:r>
        <w:rPr>
          <w:rFonts w:ascii="Times New Roman" w:hAnsi="Times New Roman" w:cs="Times New Roman"/>
          <w:sz w:val="24"/>
          <w:szCs w:val="24"/>
        </w:rPr>
        <w:t xml:space="preserve"> for the applicant, urged the court to adopt, in seeking to accurately establish the donor`s intent, the “settlor`s armchair. </w:t>
      </w:r>
      <w:r w:rsidR="00181A13">
        <w:rPr>
          <w:rFonts w:ascii="Times New Roman" w:hAnsi="Times New Roman" w:cs="Times New Roman"/>
          <w:sz w:val="24"/>
          <w:szCs w:val="24"/>
        </w:rPr>
        <w:t xml:space="preserve">He went beyond the two authorities cited above and invited the court to adopt the intrepid interpretational approach taken in the South African </w:t>
      </w:r>
      <w:r w:rsidR="00181A13" w:rsidRPr="00181A13">
        <w:rPr>
          <w:rFonts w:ascii="Times New Roman" w:hAnsi="Times New Roman" w:cs="Times New Roman"/>
          <w:sz w:val="24"/>
          <w:szCs w:val="24"/>
        </w:rPr>
        <w:t xml:space="preserve">decisions of </w:t>
      </w:r>
      <w:r w:rsidR="00181A13" w:rsidRPr="00181A13">
        <w:rPr>
          <w:rFonts w:ascii="Times New Roman" w:hAnsi="Times New Roman" w:cs="Times New Roman"/>
          <w:i/>
          <w:iCs/>
          <w:sz w:val="24"/>
          <w:szCs w:val="24"/>
        </w:rPr>
        <w:t>Natal Joint Municipal Pension Fund v Endumeni Municipality</w:t>
      </w:r>
      <w:r w:rsidR="00181A13" w:rsidRPr="00181A13">
        <w:rPr>
          <w:rFonts w:ascii="Times New Roman" w:hAnsi="Times New Roman" w:cs="Times New Roman"/>
          <w:sz w:val="24"/>
          <w:szCs w:val="24"/>
        </w:rPr>
        <w:t xml:space="preserve"> 2012 (4) SA 593 (SCA)</w:t>
      </w:r>
      <w:r w:rsidR="003F3481">
        <w:rPr>
          <w:rStyle w:val="FootnoteReference"/>
          <w:rFonts w:ascii="Times New Roman" w:hAnsi="Times New Roman" w:cs="Times New Roman"/>
          <w:sz w:val="24"/>
          <w:szCs w:val="24"/>
        </w:rPr>
        <w:footnoteReference w:id="2"/>
      </w:r>
      <w:r w:rsidR="00181A13" w:rsidRPr="00181A13">
        <w:rPr>
          <w:rFonts w:ascii="Times New Roman" w:hAnsi="Times New Roman" w:cs="Times New Roman"/>
          <w:sz w:val="24"/>
          <w:szCs w:val="24"/>
        </w:rPr>
        <w:t>,</w:t>
      </w:r>
      <w:r w:rsidR="00181A13" w:rsidRPr="00181A13">
        <w:rPr>
          <w:rStyle w:val="FootnoteReference"/>
          <w:rFonts w:ascii="Times New Roman" w:hAnsi="Times New Roman" w:cs="Times New Roman"/>
          <w:sz w:val="24"/>
          <w:szCs w:val="24"/>
        </w:rPr>
        <w:t xml:space="preserve"> </w:t>
      </w:r>
      <w:r w:rsidR="00181A13" w:rsidRPr="00181A13">
        <w:rPr>
          <w:rFonts w:ascii="Times New Roman" w:hAnsi="Times New Roman" w:cs="Times New Roman"/>
          <w:i/>
          <w:iCs/>
          <w:sz w:val="24"/>
          <w:szCs w:val="24"/>
        </w:rPr>
        <w:t xml:space="preserve">University of Johannesburg v Auckland Park Theological Seminary &amp; Anor </w:t>
      </w:r>
      <w:r w:rsidR="00181A13" w:rsidRPr="00181A13">
        <w:rPr>
          <w:rFonts w:ascii="Times New Roman" w:hAnsi="Times New Roman" w:cs="Times New Roman"/>
          <w:sz w:val="24"/>
          <w:szCs w:val="24"/>
        </w:rPr>
        <w:t xml:space="preserve">[ 2021] ZACC </w:t>
      </w:r>
      <w:r w:rsidR="007C1269" w:rsidRPr="00181A13">
        <w:rPr>
          <w:rFonts w:ascii="Times New Roman" w:hAnsi="Times New Roman" w:cs="Times New Roman"/>
          <w:sz w:val="24"/>
          <w:szCs w:val="24"/>
        </w:rPr>
        <w:t>13</w:t>
      </w:r>
      <w:r w:rsidR="007C1269">
        <w:rPr>
          <w:rFonts w:ascii="Times New Roman" w:hAnsi="Times New Roman" w:cs="Times New Roman"/>
          <w:sz w:val="24"/>
          <w:szCs w:val="24"/>
        </w:rPr>
        <w:t xml:space="preserve">, and </w:t>
      </w:r>
      <w:r w:rsidR="00181A13" w:rsidRPr="007C1269">
        <w:rPr>
          <w:rFonts w:ascii="Times New Roman" w:hAnsi="Times New Roman" w:cs="Times New Roman"/>
          <w:i/>
          <w:iCs/>
          <w:sz w:val="24"/>
          <w:szCs w:val="24"/>
        </w:rPr>
        <w:t>Old Mutual &amp; Ors v Moyo</w:t>
      </w:r>
      <w:r w:rsidR="00181A13">
        <w:rPr>
          <w:rFonts w:ascii="Times New Roman" w:hAnsi="Times New Roman" w:cs="Times New Roman"/>
          <w:sz w:val="24"/>
          <w:szCs w:val="24"/>
        </w:rPr>
        <w:t xml:space="preserve"> </w:t>
      </w:r>
      <w:r w:rsidR="007C1269">
        <w:rPr>
          <w:rFonts w:ascii="Times New Roman" w:hAnsi="Times New Roman" w:cs="Times New Roman"/>
          <w:sz w:val="24"/>
          <w:szCs w:val="24"/>
        </w:rPr>
        <w:t>2020 (2) All SA 261.</w:t>
      </w:r>
    </w:p>
    <w:p w14:paraId="1EC23846" w14:textId="3BAE5693" w:rsidR="008963F7" w:rsidRDefault="007C1269"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B1DF8">
        <w:rPr>
          <w:rFonts w:ascii="Times New Roman" w:hAnsi="Times New Roman" w:cs="Times New Roman"/>
          <w:sz w:val="24"/>
          <w:szCs w:val="24"/>
        </w:rPr>
        <w:t>9</w:t>
      </w:r>
      <w:r>
        <w:rPr>
          <w:rFonts w:ascii="Times New Roman" w:hAnsi="Times New Roman" w:cs="Times New Roman"/>
          <w:sz w:val="24"/>
          <w:szCs w:val="24"/>
        </w:rPr>
        <w:t xml:space="preserve">] The court in those decisions </w:t>
      </w:r>
      <w:r w:rsidR="00BF549F">
        <w:rPr>
          <w:rFonts w:ascii="Times New Roman" w:hAnsi="Times New Roman" w:cs="Times New Roman"/>
          <w:sz w:val="24"/>
          <w:szCs w:val="24"/>
        </w:rPr>
        <w:t>regarded, according to Mr.</w:t>
      </w:r>
      <w:r w:rsidR="00BF549F" w:rsidRPr="00BF549F">
        <w:rPr>
          <w:rFonts w:ascii="Times New Roman" w:hAnsi="Times New Roman" w:cs="Times New Roman"/>
          <w:i/>
          <w:iCs/>
          <w:sz w:val="24"/>
          <w:szCs w:val="24"/>
        </w:rPr>
        <w:t xml:space="preserve"> Mpofu</w:t>
      </w:r>
      <w:r w:rsidR="00BF549F">
        <w:rPr>
          <w:rFonts w:ascii="Times New Roman" w:hAnsi="Times New Roman" w:cs="Times New Roman"/>
          <w:sz w:val="24"/>
          <w:szCs w:val="24"/>
        </w:rPr>
        <w:t xml:space="preserve">, </w:t>
      </w:r>
      <w:r>
        <w:rPr>
          <w:rFonts w:ascii="Times New Roman" w:hAnsi="Times New Roman" w:cs="Times New Roman"/>
          <w:sz w:val="24"/>
          <w:szCs w:val="24"/>
        </w:rPr>
        <w:t xml:space="preserve">interpretation as </w:t>
      </w:r>
      <w:r w:rsidR="003F3481">
        <w:rPr>
          <w:rFonts w:ascii="Times New Roman" w:hAnsi="Times New Roman" w:cs="Times New Roman"/>
          <w:sz w:val="24"/>
          <w:szCs w:val="24"/>
        </w:rPr>
        <w:t>“…</w:t>
      </w:r>
      <w:r w:rsidRPr="00AC0248">
        <w:rPr>
          <w:rFonts w:ascii="Times New Roman" w:hAnsi="Times New Roman" w:cs="Times New Roman"/>
          <w:sz w:val="24"/>
          <w:szCs w:val="24"/>
          <w:u w:val="single"/>
        </w:rPr>
        <w:t xml:space="preserve">a </w:t>
      </w:r>
      <w:r w:rsidRPr="00AC0248">
        <w:rPr>
          <w:rFonts w:ascii="Times New Roman" w:hAnsi="Times New Roman" w:cs="Times New Roman"/>
          <w:sz w:val="24"/>
          <w:szCs w:val="24"/>
        </w:rPr>
        <w:t>holistic exercise in which the court considered the triad of text, context and purpose”. Further,</w:t>
      </w:r>
      <w:r>
        <w:rPr>
          <w:rFonts w:ascii="Times New Roman" w:hAnsi="Times New Roman" w:cs="Times New Roman"/>
          <w:sz w:val="24"/>
          <w:szCs w:val="24"/>
        </w:rPr>
        <w:t xml:space="preserve"> c</w:t>
      </w:r>
      <w:r w:rsidR="008963F7">
        <w:rPr>
          <w:rFonts w:ascii="Times New Roman" w:hAnsi="Times New Roman" w:cs="Times New Roman"/>
          <w:sz w:val="24"/>
          <w:szCs w:val="24"/>
        </w:rPr>
        <w:t xml:space="preserve">ounsel cited a lengthy passage </w:t>
      </w:r>
      <w:r w:rsidR="00BF549F">
        <w:rPr>
          <w:rFonts w:ascii="Times New Roman" w:hAnsi="Times New Roman" w:cs="Times New Roman"/>
          <w:sz w:val="24"/>
          <w:szCs w:val="24"/>
        </w:rPr>
        <w:t xml:space="preserve">from </w:t>
      </w:r>
      <w:r w:rsidR="00BF549F" w:rsidRPr="00BF549F">
        <w:rPr>
          <w:rFonts w:ascii="Times New Roman" w:hAnsi="Times New Roman" w:cs="Times New Roman"/>
          <w:i/>
          <w:iCs/>
          <w:sz w:val="24"/>
          <w:szCs w:val="24"/>
        </w:rPr>
        <w:t>Dinson</w:t>
      </w:r>
      <w:r w:rsidR="008963F7" w:rsidRPr="002517E0">
        <w:rPr>
          <w:rFonts w:ascii="Times New Roman" w:hAnsi="Times New Roman" w:cs="Times New Roman"/>
          <w:i/>
          <w:iCs/>
          <w:sz w:val="24"/>
          <w:szCs w:val="24"/>
        </w:rPr>
        <w:t xml:space="preserve"> </w:t>
      </w:r>
      <w:r w:rsidR="008963F7">
        <w:rPr>
          <w:rFonts w:ascii="Times New Roman" w:hAnsi="Times New Roman" w:cs="Times New Roman"/>
          <w:i/>
          <w:iCs/>
          <w:sz w:val="24"/>
          <w:szCs w:val="24"/>
        </w:rPr>
        <w:t>v</w:t>
      </w:r>
      <w:r w:rsidR="008963F7" w:rsidRPr="002517E0">
        <w:rPr>
          <w:rFonts w:ascii="Times New Roman" w:hAnsi="Times New Roman" w:cs="Times New Roman"/>
          <w:i/>
          <w:iCs/>
          <w:sz w:val="24"/>
          <w:szCs w:val="24"/>
        </w:rPr>
        <w:t xml:space="preserve"> Hoffmann </w:t>
      </w:r>
      <w:r w:rsidR="008963F7" w:rsidRPr="008963F7">
        <w:rPr>
          <w:rFonts w:ascii="Times New Roman" w:hAnsi="Times New Roman" w:cs="Times New Roman"/>
          <w:sz w:val="24"/>
          <w:szCs w:val="24"/>
        </w:rPr>
        <w:t xml:space="preserve">stressing the need for a court to take into account the surrounding circumstances in </w:t>
      </w:r>
      <w:r w:rsidR="008963F7">
        <w:rPr>
          <w:rFonts w:ascii="Times New Roman" w:hAnsi="Times New Roman" w:cs="Times New Roman"/>
          <w:sz w:val="24"/>
          <w:szCs w:val="24"/>
        </w:rPr>
        <w:t xml:space="preserve">seeking to </w:t>
      </w:r>
      <w:r w:rsidR="00BF549F">
        <w:rPr>
          <w:rFonts w:ascii="Times New Roman" w:hAnsi="Times New Roman" w:cs="Times New Roman"/>
          <w:sz w:val="24"/>
          <w:szCs w:val="24"/>
        </w:rPr>
        <w:t>establish t</w:t>
      </w:r>
      <w:r w:rsidR="008963F7" w:rsidRPr="008963F7">
        <w:rPr>
          <w:rFonts w:ascii="Times New Roman" w:hAnsi="Times New Roman" w:cs="Times New Roman"/>
          <w:sz w:val="24"/>
          <w:szCs w:val="24"/>
        </w:rPr>
        <w:t>he intention of the settlor.</w:t>
      </w:r>
      <w:r w:rsidR="008963F7">
        <w:rPr>
          <w:rFonts w:ascii="Times New Roman" w:hAnsi="Times New Roman" w:cs="Times New Roman"/>
          <w:sz w:val="24"/>
          <w:szCs w:val="24"/>
        </w:rPr>
        <w:t xml:space="preserve"> In that regard, it was counsel`s submission that the trust deed </w:t>
      </w:r>
      <w:r w:rsidR="00BF549F">
        <w:rPr>
          <w:rFonts w:ascii="Times New Roman" w:hAnsi="Times New Roman" w:cs="Times New Roman"/>
          <w:sz w:val="24"/>
          <w:szCs w:val="24"/>
        </w:rPr>
        <w:t xml:space="preserve">clearly </w:t>
      </w:r>
      <w:r w:rsidR="008963F7">
        <w:rPr>
          <w:rFonts w:ascii="Times New Roman" w:hAnsi="Times New Roman" w:cs="Times New Roman"/>
          <w:sz w:val="24"/>
          <w:szCs w:val="24"/>
        </w:rPr>
        <w:t xml:space="preserve">evinced Mr. Bredenkamp`s intent to provide for applicant. </w:t>
      </w:r>
    </w:p>
    <w:p w14:paraId="2A72822E" w14:textId="548CA8FD" w:rsidR="00BF549F" w:rsidRDefault="008963F7"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1DF8">
        <w:rPr>
          <w:rFonts w:ascii="Times New Roman" w:hAnsi="Times New Roman" w:cs="Times New Roman"/>
          <w:sz w:val="24"/>
          <w:szCs w:val="24"/>
        </w:rPr>
        <w:t>30</w:t>
      </w:r>
      <w:r>
        <w:rPr>
          <w:rFonts w:ascii="Times New Roman" w:hAnsi="Times New Roman" w:cs="Times New Roman"/>
          <w:sz w:val="24"/>
          <w:szCs w:val="24"/>
        </w:rPr>
        <w:t xml:space="preserve">] The </w:t>
      </w:r>
      <w:r w:rsidR="00BF549F">
        <w:rPr>
          <w:rFonts w:ascii="Times New Roman" w:hAnsi="Times New Roman" w:cs="Times New Roman"/>
          <w:sz w:val="24"/>
          <w:szCs w:val="24"/>
        </w:rPr>
        <w:t xml:space="preserve">trust </w:t>
      </w:r>
      <w:r>
        <w:rPr>
          <w:rFonts w:ascii="Times New Roman" w:hAnsi="Times New Roman" w:cs="Times New Roman"/>
          <w:sz w:val="24"/>
          <w:szCs w:val="24"/>
        </w:rPr>
        <w:t xml:space="preserve">deed </w:t>
      </w:r>
      <w:r w:rsidR="00BF549F">
        <w:rPr>
          <w:rFonts w:ascii="Times New Roman" w:hAnsi="Times New Roman" w:cs="Times New Roman"/>
          <w:sz w:val="24"/>
          <w:szCs w:val="24"/>
        </w:rPr>
        <w:t xml:space="preserve">utilised, in clause 5 (b) </w:t>
      </w:r>
      <w:r>
        <w:rPr>
          <w:rFonts w:ascii="Times New Roman" w:hAnsi="Times New Roman" w:cs="Times New Roman"/>
          <w:sz w:val="24"/>
          <w:szCs w:val="24"/>
        </w:rPr>
        <w:t>the wording</w:t>
      </w:r>
      <w:r w:rsidR="00BF549F">
        <w:rPr>
          <w:rFonts w:ascii="Times New Roman" w:hAnsi="Times New Roman" w:cs="Times New Roman"/>
          <w:sz w:val="24"/>
          <w:szCs w:val="24"/>
        </w:rPr>
        <w:t>-</w:t>
      </w:r>
      <w:r>
        <w:rPr>
          <w:rFonts w:ascii="Times New Roman" w:hAnsi="Times New Roman" w:cs="Times New Roman"/>
          <w:sz w:val="24"/>
          <w:szCs w:val="24"/>
        </w:rPr>
        <w:t xml:space="preserve"> “the children of</w:t>
      </w:r>
      <w:r w:rsidR="00BF549F">
        <w:rPr>
          <w:rFonts w:ascii="Times New Roman" w:hAnsi="Times New Roman" w:cs="Times New Roman"/>
          <w:sz w:val="24"/>
          <w:szCs w:val="24"/>
        </w:rPr>
        <w:t xml:space="preserve"> the said John Arnold Bredenkamp</w:t>
      </w:r>
      <w:r>
        <w:rPr>
          <w:rFonts w:ascii="Times New Roman" w:hAnsi="Times New Roman" w:cs="Times New Roman"/>
          <w:sz w:val="24"/>
          <w:szCs w:val="24"/>
        </w:rPr>
        <w:t xml:space="preserve">…”. This phraseology fixed a formula for the identification of the donor`s progeny. Had the purpose been to exclude applicant, such wording would have been </w:t>
      </w:r>
      <w:r w:rsidR="00BF549F">
        <w:rPr>
          <w:rFonts w:ascii="Times New Roman" w:hAnsi="Times New Roman" w:cs="Times New Roman"/>
          <w:sz w:val="24"/>
          <w:szCs w:val="24"/>
        </w:rPr>
        <w:t xml:space="preserve">avoided. The </w:t>
      </w:r>
      <w:r>
        <w:rPr>
          <w:rFonts w:ascii="Times New Roman" w:hAnsi="Times New Roman" w:cs="Times New Roman"/>
          <w:sz w:val="24"/>
          <w:szCs w:val="24"/>
        </w:rPr>
        <w:t xml:space="preserve">three siblings Caron, Sarah and John </w:t>
      </w:r>
      <w:r w:rsidR="00BF549F">
        <w:rPr>
          <w:rFonts w:ascii="Times New Roman" w:hAnsi="Times New Roman" w:cs="Times New Roman"/>
          <w:sz w:val="24"/>
          <w:szCs w:val="24"/>
        </w:rPr>
        <w:t xml:space="preserve">could simply have been </w:t>
      </w:r>
      <w:r>
        <w:rPr>
          <w:rFonts w:ascii="Times New Roman" w:hAnsi="Times New Roman" w:cs="Times New Roman"/>
          <w:sz w:val="24"/>
          <w:szCs w:val="24"/>
        </w:rPr>
        <w:t xml:space="preserve">cited by name. It was beyond issue that applicant was Mr Bredenkamp`s child. </w:t>
      </w:r>
    </w:p>
    <w:p w14:paraId="57A7BFDC" w14:textId="5A34332E" w:rsidR="00054805" w:rsidRDefault="00BF549F"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1DF8">
        <w:rPr>
          <w:rFonts w:ascii="Times New Roman" w:hAnsi="Times New Roman" w:cs="Times New Roman"/>
          <w:sz w:val="24"/>
          <w:szCs w:val="24"/>
        </w:rPr>
        <w:t>31</w:t>
      </w:r>
      <w:r>
        <w:rPr>
          <w:rFonts w:ascii="Times New Roman" w:hAnsi="Times New Roman" w:cs="Times New Roman"/>
          <w:sz w:val="24"/>
          <w:szCs w:val="24"/>
        </w:rPr>
        <w:t xml:space="preserve">] Mr. </w:t>
      </w:r>
      <w:r w:rsidRPr="00BF549F">
        <w:rPr>
          <w:rFonts w:ascii="Times New Roman" w:hAnsi="Times New Roman" w:cs="Times New Roman"/>
          <w:i/>
          <w:iCs/>
          <w:sz w:val="24"/>
          <w:szCs w:val="24"/>
        </w:rPr>
        <w:t>Mpofu</w:t>
      </w:r>
      <w:r>
        <w:rPr>
          <w:rFonts w:ascii="Times New Roman" w:hAnsi="Times New Roman" w:cs="Times New Roman"/>
          <w:sz w:val="24"/>
          <w:szCs w:val="24"/>
        </w:rPr>
        <w:t xml:space="preserve"> submitted that additionally, the</w:t>
      </w:r>
      <w:r w:rsidR="00AB4D83">
        <w:rPr>
          <w:rFonts w:ascii="Times New Roman" w:hAnsi="Times New Roman" w:cs="Times New Roman"/>
          <w:sz w:val="24"/>
          <w:szCs w:val="24"/>
        </w:rPr>
        <w:t xml:space="preserve"> circumstances showed that the settlor cared for the welfare of applicant and took steps to secure it. </w:t>
      </w:r>
      <w:r>
        <w:rPr>
          <w:rFonts w:ascii="Times New Roman" w:hAnsi="Times New Roman" w:cs="Times New Roman"/>
          <w:sz w:val="24"/>
          <w:szCs w:val="24"/>
        </w:rPr>
        <w:t xml:space="preserve">Counsel </w:t>
      </w:r>
      <w:r w:rsidR="00D412EA">
        <w:rPr>
          <w:rFonts w:ascii="Times New Roman" w:hAnsi="Times New Roman" w:cs="Times New Roman"/>
          <w:sz w:val="24"/>
          <w:szCs w:val="24"/>
        </w:rPr>
        <w:t xml:space="preserve">referred to what he termed “contemporaneous documentation” as further evidence of the relevant factual circumstances </w:t>
      </w:r>
      <w:r w:rsidR="006B17C2">
        <w:rPr>
          <w:rFonts w:ascii="Times New Roman" w:hAnsi="Times New Roman" w:cs="Times New Roman"/>
          <w:sz w:val="24"/>
          <w:szCs w:val="24"/>
        </w:rPr>
        <w:lastRenderedPageBreak/>
        <w:t xml:space="preserve">necessary </w:t>
      </w:r>
      <w:r w:rsidR="00D412EA">
        <w:rPr>
          <w:rFonts w:ascii="Times New Roman" w:hAnsi="Times New Roman" w:cs="Times New Roman"/>
          <w:sz w:val="24"/>
          <w:szCs w:val="24"/>
        </w:rPr>
        <w:t xml:space="preserve">for the court to consider. These comprised of the </w:t>
      </w:r>
      <w:r w:rsidR="00AB4D83">
        <w:rPr>
          <w:rFonts w:ascii="Times New Roman" w:hAnsi="Times New Roman" w:cs="Times New Roman"/>
          <w:sz w:val="24"/>
          <w:szCs w:val="24"/>
        </w:rPr>
        <w:t>last will and testament</w:t>
      </w:r>
      <w:r w:rsidR="00D412EA">
        <w:rPr>
          <w:rFonts w:ascii="Times New Roman" w:hAnsi="Times New Roman" w:cs="Times New Roman"/>
          <w:sz w:val="24"/>
          <w:szCs w:val="24"/>
        </w:rPr>
        <w:t xml:space="preserve">, the </w:t>
      </w:r>
      <w:r w:rsidR="00AB4D83">
        <w:rPr>
          <w:rFonts w:ascii="Times New Roman" w:hAnsi="Times New Roman" w:cs="Times New Roman"/>
          <w:sz w:val="24"/>
          <w:szCs w:val="24"/>
        </w:rPr>
        <w:t xml:space="preserve">letter of wishes as well as the minutes </w:t>
      </w:r>
      <w:r w:rsidR="00D412EA">
        <w:rPr>
          <w:rFonts w:ascii="Times New Roman" w:hAnsi="Times New Roman" w:cs="Times New Roman"/>
          <w:sz w:val="24"/>
          <w:szCs w:val="24"/>
        </w:rPr>
        <w:t>of</w:t>
      </w:r>
      <w:r w:rsidR="003F3481">
        <w:rPr>
          <w:rFonts w:ascii="Times New Roman" w:hAnsi="Times New Roman" w:cs="Times New Roman"/>
          <w:sz w:val="24"/>
          <w:szCs w:val="24"/>
        </w:rPr>
        <w:t xml:space="preserve"> 15 August 2019</w:t>
      </w:r>
      <w:r w:rsidR="00D412EA">
        <w:rPr>
          <w:rFonts w:ascii="Times New Roman" w:hAnsi="Times New Roman" w:cs="Times New Roman"/>
          <w:sz w:val="24"/>
          <w:szCs w:val="24"/>
        </w:rPr>
        <w:t>. In urging the court to accept and take these documents (and their contents) into account, Mr</w:t>
      </w:r>
      <w:r w:rsidR="00E35520">
        <w:rPr>
          <w:rFonts w:ascii="Times New Roman" w:hAnsi="Times New Roman" w:cs="Times New Roman"/>
          <w:sz w:val="24"/>
          <w:szCs w:val="24"/>
        </w:rPr>
        <w:t>.</w:t>
      </w:r>
      <w:r w:rsidR="00D412EA">
        <w:rPr>
          <w:rFonts w:ascii="Times New Roman" w:hAnsi="Times New Roman" w:cs="Times New Roman"/>
          <w:sz w:val="24"/>
          <w:szCs w:val="24"/>
        </w:rPr>
        <w:t xml:space="preserve"> </w:t>
      </w:r>
      <w:r w:rsidR="00D412EA" w:rsidRPr="00E35520">
        <w:rPr>
          <w:rFonts w:ascii="Times New Roman" w:hAnsi="Times New Roman" w:cs="Times New Roman"/>
          <w:i/>
          <w:iCs/>
          <w:sz w:val="24"/>
          <w:szCs w:val="24"/>
        </w:rPr>
        <w:t xml:space="preserve">Mpofu </w:t>
      </w:r>
      <w:r w:rsidR="00D412EA">
        <w:rPr>
          <w:rFonts w:ascii="Times New Roman" w:hAnsi="Times New Roman" w:cs="Times New Roman"/>
          <w:sz w:val="24"/>
          <w:szCs w:val="24"/>
        </w:rPr>
        <w:t xml:space="preserve">argued that respondent`s contestation of them was baseless. </w:t>
      </w:r>
    </w:p>
    <w:p w14:paraId="7DE13D4F" w14:textId="4DD0C8DF" w:rsidR="00BF549F" w:rsidRDefault="00054805"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D6B3C">
        <w:rPr>
          <w:rFonts w:ascii="Times New Roman" w:hAnsi="Times New Roman" w:cs="Times New Roman"/>
          <w:sz w:val="24"/>
          <w:szCs w:val="24"/>
        </w:rPr>
        <w:t>3</w:t>
      </w:r>
      <w:r w:rsidR="003B1DF8">
        <w:rPr>
          <w:rFonts w:ascii="Times New Roman" w:hAnsi="Times New Roman" w:cs="Times New Roman"/>
          <w:sz w:val="24"/>
          <w:szCs w:val="24"/>
        </w:rPr>
        <w:t>2</w:t>
      </w:r>
      <w:r>
        <w:rPr>
          <w:rFonts w:ascii="Times New Roman" w:hAnsi="Times New Roman" w:cs="Times New Roman"/>
          <w:sz w:val="24"/>
          <w:szCs w:val="24"/>
        </w:rPr>
        <w:t xml:space="preserve">] </w:t>
      </w:r>
      <w:r w:rsidR="00D412EA">
        <w:rPr>
          <w:rFonts w:ascii="Times New Roman" w:hAnsi="Times New Roman" w:cs="Times New Roman"/>
          <w:sz w:val="24"/>
          <w:szCs w:val="24"/>
        </w:rPr>
        <w:t xml:space="preserve">None of the documents had been </w:t>
      </w:r>
      <w:r w:rsidR="00BF549F">
        <w:rPr>
          <w:rFonts w:ascii="Times New Roman" w:hAnsi="Times New Roman" w:cs="Times New Roman"/>
          <w:sz w:val="24"/>
          <w:szCs w:val="24"/>
        </w:rPr>
        <w:t xml:space="preserve">properly </w:t>
      </w:r>
      <w:r w:rsidR="00D412EA">
        <w:rPr>
          <w:rFonts w:ascii="Times New Roman" w:hAnsi="Times New Roman" w:cs="Times New Roman"/>
          <w:sz w:val="24"/>
          <w:szCs w:val="24"/>
        </w:rPr>
        <w:t>discredited</w:t>
      </w:r>
      <w:r w:rsidR="00BF549F">
        <w:rPr>
          <w:rFonts w:ascii="Times New Roman" w:hAnsi="Times New Roman" w:cs="Times New Roman"/>
          <w:sz w:val="24"/>
          <w:szCs w:val="24"/>
        </w:rPr>
        <w:t xml:space="preserve"> by the respondents</w:t>
      </w:r>
      <w:r w:rsidR="00D412EA">
        <w:rPr>
          <w:rFonts w:ascii="Times New Roman" w:hAnsi="Times New Roman" w:cs="Times New Roman"/>
          <w:sz w:val="24"/>
          <w:szCs w:val="24"/>
        </w:rPr>
        <w:t xml:space="preserve">. The letter of wishes and will were not </w:t>
      </w:r>
      <w:r w:rsidR="00BF549F">
        <w:rPr>
          <w:rFonts w:ascii="Times New Roman" w:hAnsi="Times New Roman" w:cs="Times New Roman"/>
          <w:sz w:val="24"/>
          <w:szCs w:val="24"/>
        </w:rPr>
        <w:t xml:space="preserve">exposed </w:t>
      </w:r>
      <w:r w:rsidR="00D412EA">
        <w:rPr>
          <w:rFonts w:ascii="Times New Roman" w:hAnsi="Times New Roman" w:cs="Times New Roman"/>
          <w:sz w:val="24"/>
          <w:szCs w:val="24"/>
        </w:rPr>
        <w:t xml:space="preserve">as forgeries. The minutes </w:t>
      </w:r>
      <w:r w:rsidR="006E3D76">
        <w:rPr>
          <w:rFonts w:ascii="Times New Roman" w:hAnsi="Times New Roman" w:cs="Times New Roman"/>
          <w:sz w:val="24"/>
          <w:szCs w:val="24"/>
        </w:rPr>
        <w:t xml:space="preserve">of </w:t>
      </w:r>
      <w:r w:rsidR="0009559A">
        <w:rPr>
          <w:rFonts w:ascii="Times New Roman" w:hAnsi="Times New Roman" w:cs="Times New Roman"/>
          <w:sz w:val="24"/>
          <w:szCs w:val="24"/>
        </w:rPr>
        <w:t>15</w:t>
      </w:r>
      <w:r w:rsidR="006E3D76">
        <w:rPr>
          <w:rFonts w:ascii="Times New Roman" w:hAnsi="Times New Roman" w:cs="Times New Roman"/>
          <w:sz w:val="24"/>
          <w:szCs w:val="24"/>
        </w:rPr>
        <w:t xml:space="preserve"> August 2019 </w:t>
      </w:r>
      <w:r w:rsidR="00D412EA">
        <w:rPr>
          <w:rFonts w:ascii="Times New Roman" w:hAnsi="Times New Roman" w:cs="Times New Roman"/>
          <w:sz w:val="24"/>
          <w:szCs w:val="24"/>
        </w:rPr>
        <w:t>had been authenticated by the sworn statement of Mr Lawrence Majuru.</w:t>
      </w:r>
      <w:r>
        <w:rPr>
          <w:rFonts w:ascii="Times New Roman" w:hAnsi="Times New Roman" w:cs="Times New Roman"/>
          <w:sz w:val="24"/>
          <w:szCs w:val="24"/>
        </w:rPr>
        <w:t xml:space="preserve">Important, according to counsel, was the fact that the will and letter of wishes in particular, were not being proffered to confirm fulfilment of clause 5 (d) of the trust deed. </w:t>
      </w:r>
    </w:p>
    <w:p w14:paraId="5D3AFD01" w14:textId="1816C917" w:rsidR="007221F6" w:rsidRDefault="00BF549F"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D6B3C">
        <w:rPr>
          <w:rFonts w:ascii="Times New Roman" w:hAnsi="Times New Roman" w:cs="Times New Roman"/>
          <w:sz w:val="24"/>
          <w:szCs w:val="24"/>
        </w:rPr>
        <w:t>3</w:t>
      </w:r>
      <w:r w:rsidR="003B1DF8">
        <w:rPr>
          <w:rFonts w:ascii="Times New Roman" w:hAnsi="Times New Roman" w:cs="Times New Roman"/>
          <w:sz w:val="24"/>
          <w:szCs w:val="24"/>
        </w:rPr>
        <w:t>3</w:t>
      </w:r>
      <w:r>
        <w:rPr>
          <w:rFonts w:ascii="Times New Roman" w:hAnsi="Times New Roman" w:cs="Times New Roman"/>
          <w:sz w:val="24"/>
          <w:szCs w:val="24"/>
        </w:rPr>
        <w:t>] This was because, i</w:t>
      </w:r>
      <w:r w:rsidR="00E35520">
        <w:rPr>
          <w:rFonts w:ascii="Times New Roman" w:hAnsi="Times New Roman" w:cs="Times New Roman"/>
          <w:sz w:val="24"/>
          <w:szCs w:val="24"/>
        </w:rPr>
        <w:t xml:space="preserve">n the first instance, applicant did not need an amendment of the deed in order to assert his status as </w:t>
      </w:r>
      <w:r>
        <w:rPr>
          <w:rFonts w:ascii="Times New Roman" w:hAnsi="Times New Roman" w:cs="Times New Roman"/>
          <w:sz w:val="24"/>
          <w:szCs w:val="24"/>
        </w:rPr>
        <w:t xml:space="preserve">beneficiary. </w:t>
      </w:r>
      <w:r w:rsidR="00E35520">
        <w:rPr>
          <w:rFonts w:ascii="Times New Roman" w:hAnsi="Times New Roman" w:cs="Times New Roman"/>
          <w:sz w:val="24"/>
          <w:szCs w:val="24"/>
        </w:rPr>
        <w:t>The wording of the trust deed sufficiently catered</w:t>
      </w:r>
      <w:r>
        <w:rPr>
          <w:rFonts w:ascii="Times New Roman" w:hAnsi="Times New Roman" w:cs="Times New Roman"/>
          <w:sz w:val="24"/>
          <w:szCs w:val="24"/>
        </w:rPr>
        <w:t xml:space="preserve"> </w:t>
      </w:r>
      <w:r w:rsidR="00E35520">
        <w:rPr>
          <w:rFonts w:ascii="Times New Roman" w:hAnsi="Times New Roman" w:cs="Times New Roman"/>
          <w:sz w:val="24"/>
          <w:szCs w:val="24"/>
        </w:rPr>
        <w:t>for applicant</w:t>
      </w:r>
      <w:r>
        <w:rPr>
          <w:rFonts w:ascii="Times New Roman" w:hAnsi="Times New Roman" w:cs="Times New Roman"/>
          <w:sz w:val="24"/>
          <w:szCs w:val="24"/>
        </w:rPr>
        <w:t xml:space="preserve"> as a beneficiary</w:t>
      </w:r>
      <w:r w:rsidR="00E35520">
        <w:rPr>
          <w:rFonts w:ascii="Times New Roman" w:hAnsi="Times New Roman" w:cs="Times New Roman"/>
          <w:sz w:val="24"/>
          <w:szCs w:val="24"/>
        </w:rPr>
        <w:t xml:space="preserve">. </w:t>
      </w:r>
      <w:r w:rsidR="00AC0248">
        <w:rPr>
          <w:rFonts w:ascii="Times New Roman" w:hAnsi="Times New Roman" w:cs="Times New Roman"/>
          <w:sz w:val="24"/>
          <w:szCs w:val="24"/>
        </w:rPr>
        <w:t xml:space="preserve">Similarly, </w:t>
      </w:r>
      <w:r w:rsidR="00CD6B3C">
        <w:rPr>
          <w:rFonts w:ascii="Times New Roman" w:hAnsi="Times New Roman" w:cs="Times New Roman"/>
          <w:sz w:val="24"/>
          <w:szCs w:val="24"/>
        </w:rPr>
        <w:t>and in</w:t>
      </w:r>
      <w:r w:rsidR="00E35520">
        <w:rPr>
          <w:rFonts w:ascii="Times New Roman" w:hAnsi="Times New Roman" w:cs="Times New Roman"/>
          <w:sz w:val="24"/>
          <w:szCs w:val="24"/>
        </w:rPr>
        <w:t xml:space="preserve"> that respect, references to applicant in the letter, </w:t>
      </w:r>
      <w:r w:rsidR="006E3D76">
        <w:rPr>
          <w:rFonts w:ascii="Times New Roman" w:hAnsi="Times New Roman" w:cs="Times New Roman"/>
          <w:sz w:val="24"/>
          <w:szCs w:val="24"/>
        </w:rPr>
        <w:t xml:space="preserve">the </w:t>
      </w:r>
      <w:r w:rsidR="00E35520">
        <w:rPr>
          <w:rFonts w:ascii="Times New Roman" w:hAnsi="Times New Roman" w:cs="Times New Roman"/>
          <w:sz w:val="24"/>
          <w:szCs w:val="24"/>
        </w:rPr>
        <w:t xml:space="preserve">will and </w:t>
      </w:r>
      <w:r w:rsidR="006E3D76">
        <w:rPr>
          <w:rFonts w:ascii="Times New Roman" w:hAnsi="Times New Roman" w:cs="Times New Roman"/>
          <w:sz w:val="24"/>
          <w:szCs w:val="24"/>
        </w:rPr>
        <w:t xml:space="preserve">the </w:t>
      </w:r>
      <w:r w:rsidR="00E35520">
        <w:rPr>
          <w:rFonts w:ascii="Times New Roman" w:hAnsi="Times New Roman" w:cs="Times New Roman"/>
          <w:sz w:val="24"/>
          <w:szCs w:val="24"/>
        </w:rPr>
        <w:t>minutes did not amount to an attempt on the part of Mr Bredenkamp to</w:t>
      </w:r>
      <w:r w:rsidR="00054805">
        <w:rPr>
          <w:rFonts w:ascii="Times New Roman" w:hAnsi="Times New Roman" w:cs="Times New Roman"/>
          <w:sz w:val="24"/>
          <w:szCs w:val="24"/>
        </w:rPr>
        <w:t xml:space="preserve"> add applicant as a beneficiary “by will or deed”. </w:t>
      </w:r>
    </w:p>
    <w:p w14:paraId="4A01CBCC" w14:textId="0A1E700D" w:rsidR="007221F6" w:rsidRDefault="007221F6"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B1DF8">
        <w:rPr>
          <w:rFonts w:ascii="Times New Roman" w:hAnsi="Times New Roman" w:cs="Times New Roman"/>
          <w:sz w:val="24"/>
          <w:szCs w:val="24"/>
        </w:rPr>
        <w:t>4</w:t>
      </w:r>
      <w:r>
        <w:rPr>
          <w:rFonts w:ascii="Times New Roman" w:hAnsi="Times New Roman" w:cs="Times New Roman"/>
          <w:sz w:val="24"/>
          <w:szCs w:val="24"/>
        </w:rPr>
        <w:t xml:space="preserve">] </w:t>
      </w:r>
      <w:r w:rsidR="00054805">
        <w:rPr>
          <w:rFonts w:ascii="Times New Roman" w:hAnsi="Times New Roman" w:cs="Times New Roman"/>
          <w:sz w:val="24"/>
          <w:szCs w:val="24"/>
        </w:rPr>
        <w:t xml:space="preserve">The documents were </w:t>
      </w:r>
      <w:r>
        <w:rPr>
          <w:rFonts w:ascii="Times New Roman" w:hAnsi="Times New Roman" w:cs="Times New Roman"/>
          <w:sz w:val="24"/>
          <w:szCs w:val="24"/>
        </w:rPr>
        <w:t xml:space="preserve">instead, being </w:t>
      </w:r>
      <w:r w:rsidR="00054805">
        <w:rPr>
          <w:rFonts w:ascii="Times New Roman" w:hAnsi="Times New Roman" w:cs="Times New Roman"/>
          <w:sz w:val="24"/>
          <w:szCs w:val="24"/>
        </w:rPr>
        <w:t xml:space="preserve">tendered to fortify proof of the settlor`s intention to include applicant in his </w:t>
      </w:r>
      <w:r w:rsidR="00E35520">
        <w:rPr>
          <w:rFonts w:ascii="Times New Roman" w:hAnsi="Times New Roman" w:cs="Times New Roman"/>
          <w:sz w:val="24"/>
          <w:szCs w:val="24"/>
        </w:rPr>
        <w:t>legacy. They confirmed, so submitted Mr.</w:t>
      </w:r>
      <w:r w:rsidR="00E35520" w:rsidRPr="00E35520">
        <w:rPr>
          <w:rFonts w:ascii="Times New Roman" w:hAnsi="Times New Roman" w:cs="Times New Roman"/>
          <w:i/>
          <w:iCs/>
          <w:sz w:val="24"/>
          <w:szCs w:val="24"/>
        </w:rPr>
        <w:t xml:space="preserve"> Mpofu</w:t>
      </w:r>
      <w:r w:rsidR="00E35520">
        <w:rPr>
          <w:rFonts w:ascii="Times New Roman" w:hAnsi="Times New Roman" w:cs="Times New Roman"/>
          <w:sz w:val="24"/>
          <w:szCs w:val="24"/>
        </w:rPr>
        <w:t xml:space="preserve">, the extraneous circumstances demonstrating Mr. Bredenkamp`s keenness to ensure that applicant was provided for. </w:t>
      </w:r>
      <w:r w:rsidR="00D412EA">
        <w:rPr>
          <w:rFonts w:ascii="Times New Roman" w:hAnsi="Times New Roman" w:cs="Times New Roman"/>
          <w:sz w:val="24"/>
          <w:szCs w:val="24"/>
        </w:rPr>
        <w:t xml:space="preserve"> Counsel </w:t>
      </w:r>
      <w:r w:rsidR="00054805">
        <w:rPr>
          <w:rFonts w:ascii="Times New Roman" w:hAnsi="Times New Roman" w:cs="Times New Roman"/>
          <w:sz w:val="24"/>
          <w:szCs w:val="24"/>
        </w:rPr>
        <w:t xml:space="preserve">also </w:t>
      </w:r>
      <w:r w:rsidR="00D412EA">
        <w:rPr>
          <w:rFonts w:ascii="Times New Roman" w:hAnsi="Times New Roman" w:cs="Times New Roman"/>
          <w:sz w:val="24"/>
          <w:szCs w:val="24"/>
        </w:rPr>
        <w:t>took the point that first respondent had to be recognised for what it was; a bewind trust which</w:t>
      </w:r>
      <w:r w:rsidR="00054805">
        <w:rPr>
          <w:rFonts w:ascii="Times New Roman" w:hAnsi="Times New Roman" w:cs="Times New Roman"/>
          <w:sz w:val="24"/>
          <w:szCs w:val="24"/>
        </w:rPr>
        <w:t xml:space="preserve"> commenced life as a donation </w:t>
      </w:r>
      <w:r w:rsidR="00054805" w:rsidRPr="00054805">
        <w:rPr>
          <w:rFonts w:ascii="Times New Roman" w:hAnsi="Times New Roman" w:cs="Times New Roman"/>
          <w:i/>
          <w:iCs/>
          <w:sz w:val="24"/>
          <w:szCs w:val="24"/>
        </w:rPr>
        <w:t>inter vivos</w:t>
      </w:r>
      <w:r w:rsidR="00054805">
        <w:rPr>
          <w:rFonts w:ascii="Times New Roman" w:hAnsi="Times New Roman" w:cs="Times New Roman"/>
          <w:sz w:val="24"/>
          <w:szCs w:val="24"/>
        </w:rPr>
        <w:t>.</w:t>
      </w:r>
    </w:p>
    <w:p w14:paraId="3175E1CB" w14:textId="19A8D149" w:rsidR="007221F6" w:rsidRDefault="007221F6"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B1DF8">
        <w:rPr>
          <w:rFonts w:ascii="Times New Roman" w:hAnsi="Times New Roman" w:cs="Times New Roman"/>
          <w:sz w:val="24"/>
          <w:szCs w:val="24"/>
        </w:rPr>
        <w:t>5</w:t>
      </w:r>
      <w:r>
        <w:rPr>
          <w:rFonts w:ascii="Times New Roman" w:hAnsi="Times New Roman" w:cs="Times New Roman"/>
          <w:sz w:val="24"/>
          <w:szCs w:val="24"/>
        </w:rPr>
        <w:t>] It</w:t>
      </w:r>
      <w:r w:rsidR="00054805">
        <w:rPr>
          <w:rFonts w:ascii="Times New Roman" w:hAnsi="Times New Roman" w:cs="Times New Roman"/>
          <w:sz w:val="24"/>
          <w:szCs w:val="24"/>
        </w:rPr>
        <w:t xml:space="preserve"> transcended</w:t>
      </w:r>
      <w:r w:rsidR="00D412EA">
        <w:rPr>
          <w:rFonts w:ascii="Times New Roman" w:hAnsi="Times New Roman" w:cs="Times New Roman"/>
          <w:sz w:val="24"/>
          <w:szCs w:val="24"/>
        </w:rPr>
        <w:t xml:space="preserve"> into a testamentary trust </w:t>
      </w:r>
      <w:r w:rsidR="00054805" w:rsidRPr="00054805">
        <w:rPr>
          <w:rFonts w:ascii="Times New Roman" w:hAnsi="Times New Roman" w:cs="Times New Roman"/>
          <w:i/>
          <w:iCs/>
          <w:sz w:val="24"/>
          <w:szCs w:val="24"/>
        </w:rPr>
        <w:t>mortis causa</w:t>
      </w:r>
      <w:r w:rsidR="00054805">
        <w:rPr>
          <w:rFonts w:ascii="Times New Roman" w:hAnsi="Times New Roman" w:cs="Times New Roman"/>
          <w:sz w:val="24"/>
          <w:szCs w:val="24"/>
        </w:rPr>
        <w:t xml:space="preserve"> </w:t>
      </w:r>
      <w:r w:rsidR="00D412EA">
        <w:rPr>
          <w:rFonts w:ascii="Times New Roman" w:hAnsi="Times New Roman" w:cs="Times New Roman"/>
          <w:sz w:val="24"/>
          <w:szCs w:val="24"/>
        </w:rPr>
        <w:t>upon the decease of Mr. Bredenk</w:t>
      </w:r>
      <w:r w:rsidR="004E2D9D">
        <w:rPr>
          <w:rFonts w:ascii="Times New Roman" w:hAnsi="Times New Roman" w:cs="Times New Roman"/>
          <w:sz w:val="24"/>
          <w:szCs w:val="24"/>
        </w:rPr>
        <w:t>a</w:t>
      </w:r>
      <w:r w:rsidR="00D412EA">
        <w:rPr>
          <w:rFonts w:ascii="Times New Roman" w:hAnsi="Times New Roman" w:cs="Times New Roman"/>
          <w:sz w:val="24"/>
          <w:szCs w:val="24"/>
        </w:rPr>
        <w:t>mp. The relevance of that history being that during Mr. Bredenkamp`s lifetimes, the trust was inactive. This being partly explanatory of the further mention of applicant in the letter of wishes, will and minutes.</w:t>
      </w:r>
      <w:r w:rsidR="00AB4D83">
        <w:rPr>
          <w:rFonts w:ascii="Times New Roman" w:hAnsi="Times New Roman" w:cs="Times New Roman"/>
          <w:sz w:val="24"/>
          <w:szCs w:val="24"/>
        </w:rPr>
        <w:t xml:space="preserve"> </w:t>
      </w:r>
    </w:p>
    <w:p w14:paraId="5B6C9F6B" w14:textId="2BBD5958" w:rsidR="00C0311E" w:rsidRDefault="007221F6"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B1DF8">
        <w:rPr>
          <w:rFonts w:ascii="Times New Roman" w:hAnsi="Times New Roman" w:cs="Times New Roman"/>
          <w:sz w:val="24"/>
          <w:szCs w:val="24"/>
        </w:rPr>
        <w:t>6</w:t>
      </w:r>
      <w:r>
        <w:rPr>
          <w:rFonts w:ascii="Times New Roman" w:hAnsi="Times New Roman" w:cs="Times New Roman"/>
          <w:sz w:val="24"/>
          <w:szCs w:val="24"/>
        </w:rPr>
        <w:t xml:space="preserve">] On the </w:t>
      </w:r>
      <w:r w:rsidR="00054805">
        <w:rPr>
          <w:rFonts w:ascii="Times New Roman" w:hAnsi="Times New Roman" w:cs="Times New Roman"/>
          <w:sz w:val="24"/>
          <w:szCs w:val="24"/>
        </w:rPr>
        <w:t>issue of the trust deed`s conditionality that in order to qualify as beneficiaries, aspiring persons had to be resident in Zimbabwe</w:t>
      </w:r>
      <w:r>
        <w:rPr>
          <w:rFonts w:ascii="Times New Roman" w:hAnsi="Times New Roman" w:cs="Times New Roman"/>
          <w:sz w:val="24"/>
          <w:szCs w:val="24"/>
        </w:rPr>
        <w:t xml:space="preserve">, Mr </w:t>
      </w:r>
      <w:r w:rsidRPr="007221F6">
        <w:rPr>
          <w:rFonts w:ascii="Times New Roman" w:hAnsi="Times New Roman" w:cs="Times New Roman"/>
          <w:i/>
          <w:iCs/>
          <w:sz w:val="24"/>
          <w:szCs w:val="24"/>
        </w:rPr>
        <w:t xml:space="preserve">Mpofu </w:t>
      </w:r>
      <w:r>
        <w:rPr>
          <w:rFonts w:ascii="Times New Roman" w:hAnsi="Times New Roman" w:cs="Times New Roman"/>
          <w:sz w:val="24"/>
          <w:szCs w:val="24"/>
        </w:rPr>
        <w:t>r</w:t>
      </w:r>
      <w:r w:rsidR="00054805">
        <w:rPr>
          <w:rFonts w:ascii="Times New Roman" w:hAnsi="Times New Roman" w:cs="Times New Roman"/>
          <w:sz w:val="24"/>
          <w:szCs w:val="24"/>
        </w:rPr>
        <w:t>eiterated his “</w:t>
      </w:r>
      <w:r w:rsidR="00054805" w:rsidRPr="00E35520">
        <w:rPr>
          <w:rFonts w:ascii="Times New Roman" w:hAnsi="Times New Roman" w:cs="Times New Roman"/>
          <w:i/>
          <w:iCs/>
          <w:sz w:val="24"/>
          <w:szCs w:val="24"/>
        </w:rPr>
        <w:t>inter vivos-mortis causa</w:t>
      </w:r>
      <w:r w:rsidR="00054805">
        <w:rPr>
          <w:rFonts w:ascii="Times New Roman" w:hAnsi="Times New Roman" w:cs="Times New Roman"/>
          <w:sz w:val="24"/>
          <w:szCs w:val="24"/>
        </w:rPr>
        <w:t xml:space="preserve">” argument. The </w:t>
      </w:r>
      <w:r w:rsidR="00E35520">
        <w:rPr>
          <w:rFonts w:ascii="Times New Roman" w:hAnsi="Times New Roman" w:cs="Times New Roman"/>
          <w:sz w:val="24"/>
          <w:szCs w:val="24"/>
        </w:rPr>
        <w:t xml:space="preserve">conclusion issuing therefrom being that </w:t>
      </w:r>
      <w:r w:rsidR="00054805">
        <w:rPr>
          <w:rFonts w:ascii="Times New Roman" w:hAnsi="Times New Roman" w:cs="Times New Roman"/>
          <w:sz w:val="24"/>
          <w:szCs w:val="24"/>
        </w:rPr>
        <w:t xml:space="preserve">question of residence </w:t>
      </w:r>
      <w:r w:rsidR="00E35520">
        <w:rPr>
          <w:rFonts w:ascii="Times New Roman" w:hAnsi="Times New Roman" w:cs="Times New Roman"/>
          <w:sz w:val="24"/>
          <w:szCs w:val="24"/>
        </w:rPr>
        <w:t xml:space="preserve">was due to assume relevance at </w:t>
      </w:r>
      <w:r>
        <w:rPr>
          <w:rFonts w:ascii="Times New Roman" w:hAnsi="Times New Roman" w:cs="Times New Roman"/>
          <w:sz w:val="24"/>
          <w:szCs w:val="24"/>
        </w:rPr>
        <w:t xml:space="preserve">only at </w:t>
      </w:r>
      <w:r w:rsidR="00E35520">
        <w:rPr>
          <w:rFonts w:ascii="Times New Roman" w:hAnsi="Times New Roman" w:cs="Times New Roman"/>
          <w:sz w:val="24"/>
          <w:szCs w:val="24"/>
        </w:rPr>
        <w:t>distribution of the donation.</w:t>
      </w:r>
      <w:r w:rsidR="00054805">
        <w:rPr>
          <w:rFonts w:ascii="Times New Roman" w:hAnsi="Times New Roman" w:cs="Times New Roman"/>
          <w:sz w:val="24"/>
          <w:szCs w:val="24"/>
        </w:rPr>
        <w:t xml:space="preserve"> </w:t>
      </w:r>
    </w:p>
    <w:p w14:paraId="081C341E" w14:textId="04195772" w:rsidR="007221F6" w:rsidRPr="0095707D" w:rsidRDefault="007221F6"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THE RESPONDENTS` ARGUMENT</w:t>
      </w:r>
    </w:p>
    <w:p w14:paraId="6571AEC6" w14:textId="68D18C18" w:rsidR="00C67021" w:rsidRPr="00C67021" w:rsidRDefault="00993E81" w:rsidP="00C67021">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007221F6">
        <w:rPr>
          <w:rFonts w:ascii="Times New Roman" w:hAnsi="Times New Roman" w:cs="Times New Roman"/>
          <w:sz w:val="24"/>
          <w:szCs w:val="24"/>
        </w:rPr>
        <w:t>3</w:t>
      </w:r>
      <w:r w:rsidR="003B1DF8">
        <w:rPr>
          <w:rFonts w:ascii="Times New Roman" w:hAnsi="Times New Roman" w:cs="Times New Roman"/>
          <w:sz w:val="24"/>
          <w:szCs w:val="24"/>
        </w:rPr>
        <w:t>7</w:t>
      </w:r>
      <w:r>
        <w:rPr>
          <w:rFonts w:ascii="Times New Roman" w:hAnsi="Times New Roman" w:cs="Times New Roman"/>
          <w:sz w:val="24"/>
          <w:szCs w:val="24"/>
        </w:rPr>
        <w:t xml:space="preserve">] As noted above, respondents` counsel, Mr. </w:t>
      </w:r>
      <w:r w:rsidRPr="009619D7">
        <w:rPr>
          <w:rFonts w:ascii="Times New Roman" w:hAnsi="Times New Roman" w:cs="Times New Roman"/>
          <w:i/>
          <w:iCs/>
          <w:sz w:val="24"/>
          <w:szCs w:val="24"/>
        </w:rPr>
        <w:t>Kachambwa</w:t>
      </w:r>
      <w:r>
        <w:rPr>
          <w:rFonts w:ascii="Times New Roman" w:hAnsi="Times New Roman" w:cs="Times New Roman"/>
          <w:sz w:val="24"/>
          <w:szCs w:val="24"/>
        </w:rPr>
        <w:t>, associated with the position taken by his</w:t>
      </w:r>
      <w:r w:rsidR="007221F6">
        <w:rPr>
          <w:rFonts w:ascii="Times New Roman" w:hAnsi="Times New Roman" w:cs="Times New Roman"/>
          <w:sz w:val="24"/>
          <w:szCs w:val="24"/>
        </w:rPr>
        <w:t xml:space="preserve"> colleague on the key principles. </w:t>
      </w:r>
      <w:r>
        <w:rPr>
          <w:rFonts w:ascii="Times New Roman" w:hAnsi="Times New Roman" w:cs="Times New Roman"/>
          <w:sz w:val="24"/>
          <w:szCs w:val="24"/>
        </w:rPr>
        <w:t xml:space="preserve">The court, he agreed, had to interpret the trust deed </w:t>
      </w:r>
      <w:r>
        <w:rPr>
          <w:rFonts w:ascii="Times New Roman" w:hAnsi="Times New Roman" w:cs="Times New Roman"/>
          <w:sz w:val="24"/>
          <w:szCs w:val="24"/>
        </w:rPr>
        <w:lastRenderedPageBreak/>
        <w:t xml:space="preserve">based on the </w:t>
      </w:r>
      <w:r w:rsidR="007221F6">
        <w:rPr>
          <w:rFonts w:ascii="Times New Roman" w:hAnsi="Times New Roman" w:cs="Times New Roman"/>
          <w:sz w:val="24"/>
          <w:szCs w:val="24"/>
        </w:rPr>
        <w:t xml:space="preserve">guidance </w:t>
      </w:r>
      <w:r>
        <w:rPr>
          <w:rFonts w:ascii="Times New Roman" w:hAnsi="Times New Roman" w:cs="Times New Roman"/>
          <w:sz w:val="24"/>
          <w:szCs w:val="24"/>
        </w:rPr>
        <w:t xml:space="preserve">set out in </w:t>
      </w:r>
      <w:r w:rsidRPr="002517E0">
        <w:rPr>
          <w:rFonts w:ascii="Times New Roman" w:hAnsi="Times New Roman" w:cs="Times New Roman"/>
          <w:i/>
          <w:iCs/>
          <w:sz w:val="24"/>
          <w:szCs w:val="24"/>
        </w:rPr>
        <w:t>Ex Parte Easton</w:t>
      </w:r>
      <w:r>
        <w:rPr>
          <w:rFonts w:ascii="Times New Roman" w:hAnsi="Times New Roman" w:cs="Times New Roman"/>
          <w:i/>
          <w:iCs/>
          <w:sz w:val="24"/>
          <w:szCs w:val="24"/>
        </w:rPr>
        <w:t xml:space="preserve"> </w:t>
      </w:r>
      <w:r w:rsidRPr="009619D7">
        <w:rPr>
          <w:rFonts w:ascii="Times New Roman" w:hAnsi="Times New Roman" w:cs="Times New Roman"/>
          <w:sz w:val="24"/>
          <w:szCs w:val="24"/>
        </w:rPr>
        <w:t>and</w:t>
      </w:r>
      <w:r>
        <w:rPr>
          <w:rFonts w:ascii="Times New Roman" w:hAnsi="Times New Roman" w:cs="Times New Roman"/>
          <w:i/>
          <w:iCs/>
          <w:sz w:val="24"/>
          <w:szCs w:val="24"/>
        </w:rPr>
        <w:t xml:space="preserve"> Dinson v Hoffman </w:t>
      </w:r>
      <w:r w:rsidR="00EA317C" w:rsidRPr="00EA317C">
        <w:rPr>
          <w:rFonts w:ascii="Times New Roman" w:hAnsi="Times New Roman" w:cs="Times New Roman"/>
          <w:sz w:val="24"/>
          <w:szCs w:val="24"/>
        </w:rPr>
        <w:t>(both</w:t>
      </w:r>
      <w:r w:rsidRPr="00EA317C">
        <w:rPr>
          <w:rFonts w:ascii="Times New Roman" w:hAnsi="Times New Roman" w:cs="Times New Roman"/>
          <w:sz w:val="24"/>
          <w:szCs w:val="24"/>
        </w:rPr>
        <w:t xml:space="preserve"> supra</w:t>
      </w:r>
      <w:r w:rsidR="00C67021" w:rsidRPr="00EA317C">
        <w:rPr>
          <w:rFonts w:ascii="Times New Roman" w:hAnsi="Times New Roman" w:cs="Times New Roman"/>
          <w:sz w:val="24"/>
          <w:szCs w:val="24"/>
        </w:rPr>
        <w:t>).</w:t>
      </w:r>
      <w:r w:rsidR="00C67021">
        <w:rPr>
          <w:rFonts w:ascii="Times New Roman" w:hAnsi="Times New Roman" w:cs="Times New Roman"/>
          <w:sz w:val="24"/>
          <w:szCs w:val="24"/>
        </w:rPr>
        <w:t xml:space="preserve"> </w:t>
      </w:r>
      <w:r w:rsidR="007221F6">
        <w:rPr>
          <w:rFonts w:ascii="Times New Roman" w:hAnsi="Times New Roman" w:cs="Times New Roman"/>
          <w:sz w:val="24"/>
          <w:szCs w:val="24"/>
        </w:rPr>
        <w:t xml:space="preserve">Counsel also cited </w:t>
      </w:r>
      <w:r w:rsidR="00C67021" w:rsidRPr="00C67021">
        <w:rPr>
          <w:rFonts w:ascii="Times New Roman" w:hAnsi="Times New Roman" w:cs="Times New Roman"/>
          <w:sz w:val="24"/>
          <w:szCs w:val="24"/>
        </w:rPr>
        <w:t xml:space="preserve">the </w:t>
      </w:r>
      <w:r w:rsidR="00C67021" w:rsidRPr="00D637BF">
        <w:rPr>
          <w:rFonts w:ascii="Times New Roman" w:hAnsi="Times New Roman" w:cs="Times New Roman"/>
          <w:sz w:val="24"/>
          <w:szCs w:val="24"/>
        </w:rPr>
        <w:t xml:space="preserve">decision of </w:t>
      </w:r>
      <w:r w:rsidR="00D637BF" w:rsidRPr="00D637BF">
        <w:rPr>
          <w:rFonts w:ascii="Times New Roman" w:hAnsi="Times New Roman" w:cs="Times New Roman"/>
          <w:i/>
          <w:iCs/>
          <w:sz w:val="24"/>
          <w:szCs w:val="24"/>
        </w:rPr>
        <w:t>Harvey v Crawford</w:t>
      </w:r>
      <w:r w:rsidR="00D637BF" w:rsidRPr="00D637BF">
        <w:rPr>
          <w:rFonts w:ascii="Times New Roman" w:hAnsi="Times New Roman" w:cs="Times New Roman"/>
          <w:sz w:val="24"/>
          <w:szCs w:val="24"/>
        </w:rPr>
        <w:t xml:space="preserve"> 2019 (2) SA 153 (SCA)</w:t>
      </w:r>
      <w:r w:rsidR="00D637BF">
        <w:rPr>
          <w:rFonts w:ascii="Times New Roman" w:hAnsi="Times New Roman" w:cs="Times New Roman"/>
          <w:sz w:val="24"/>
          <w:szCs w:val="24"/>
        </w:rPr>
        <w:t>,</w:t>
      </w:r>
      <w:r w:rsidR="00D637BF" w:rsidRPr="00D637BF">
        <w:rPr>
          <w:rFonts w:ascii="Times New Roman" w:hAnsi="Times New Roman" w:cs="Times New Roman"/>
          <w:sz w:val="24"/>
          <w:szCs w:val="24"/>
        </w:rPr>
        <w:t xml:space="preserve"> which</w:t>
      </w:r>
      <w:r w:rsidR="00C67021" w:rsidRPr="00D637BF">
        <w:rPr>
          <w:rFonts w:ascii="Times New Roman" w:hAnsi="Times New Roman" w:cs="Times New Roman"/>
          <w:sz w:val="24"/>
          <w:szCs w:val="24"/>
        </w:rPr>
        <w:t xml:space="preserve"> </w:t>
      </w:r>
      <w:r w:rsidR="009D15B0">
        <w:rPr>
          <w:rFonts w:ascii="Times New Roman" w:hAnsi="Times New Roman" w:cs="Times New Roman"/>
          <w:sz w:val="24"/>
          <w:szCs w:val="24"/>
        </w:rPr>
        <w:t xml:space="preserve">referred </w:t>
      </w:r>
      <w:r w:rsidR="00C67021" w:rsidRPr="00D637BF">
        <w:rPr>
          <w:rFonts w:ascii="Times New Roman" w:hAnsi="Times New Roman" w:cs="Times New Roman"/>
          <w:sz w:val="24"/>
          <w:szCs w:val="24"/>
        </w:rPr>
        <w:t xml:space="preserve">with </w:t>
      </w:r>
      <w:r w:rsidR="009D15B0" w:rsidRPr="00D637BF">
        <w:rPr>
          <w:rFonts w:ascii="Times New Roman" w:hAnsi="Times New Roman" w:cs="Times New Roman"/>
          <w:sz w:val="24"/>
          <w:szCs w:val="24"/>
        </w:rPr>
        <w:t>approval,</w:t>
      </w:r>
      <w:r w:rsidR="009D15B0">
        <w:rPr>
          <w:rFonts w:ascii="Times New Roman" w:hAnsi="Times New Roman" w:cs="Times New Roman"/>
          <w:sz w:val="24"/>
          <w:szCs w:val="24"/>
        </w:rPr>
        <w:t xml:space="preserve"> to </w:t>
      </w:r>
      <w:r w:rsidR="00C67021" w:rsidRPr="00D637BF">
        <w:rPr>
          <w:rFonts w:ascii="Times New Roman" w:hAnsi="Times New Roman" w:cs="Times New Roman"/>
          <w:sz w:val="24"/>
          <w:szCs w:val="24"/>
        </w:rPr>
        <w:t xml:space="preserve"> the following dictum in </w:t>
      </w:r>
      <w:r w:rsidR="00C67021" w:rsidRPr="00D637BF">
        <w:rPr>
          <w:rFonts w:ascii="Times New Roman" w:hAnsi="Times New Roman" w:cs="Times New Roman"/>
          <w:i/>
          <w:iCs/>
          <w:color w:val="000000"/>
          <w:sz w:val="24"/>
          <w:szCs w:val="24"/>
        </w:rPr>
        <w:t>Moosa v Jhavery </w:t>
      </w:r>
      <w:r w:rsidR="00C67021" w:rsidRPr="00D637BF">
        <w:rPr>
          <w:rFonts w:ascii="Times New Roman" w:hAnsi="Times New Roman" w:cs="Times New Roman"/>
          <w:color w:val="000000"/>
          <w:sz w:val="24"/>
          <w:szCs w:val="24"/>
        </w:rPr>
        <w:t>(1958 (4) SA 165 (N) wherein it was held</w:t>
      </w:r>
      <w:r w:rsidR="007221F6">
        <w:rPr>
          <w:rFonts w:ascii="Times New Roman" w:hAnsi="Times New Roman" w:cs="Times New Roman"/>
          <w:color w:val="000000"/>
          <w:sz w:val="24"/>
          <w:szCs w:val="24"/>
        </w:rPr>
        <w:t xml:space="preserve"> that</w:t>
      </w:r>
      <w:r w:rsidR="00C67021" w:rsidRPr="00C67021">
        <w:rPr>
          <w:rFonts w:ascii="Times New Roman" w:hAnsi="Times New Roman" w:cs="Times New Roman"/>
          <w:color w:val="000000"/>
          <w:sz w:val="24"/>
          <w:szCs w:val="24"/>
        </w:rPr>
        <w:t xml:space="preserve">; </w:t>
      </w:r>
    </w:p>
    <w:p w14:paraId="554ABFAA" w14:textId="1614DD44" w:rsidR="00C67021" w:rsidRPr="00C67021" w:rsidRDefault="00C67021" w:rsidP="00C67021">
      <w:pPr>
        <w:pStyle w:val="NormalWeb"/>
        <w:shd w:val="clear" w:color="auto" w:fill="FFFFFF"/>
        <w:spacing w:line="360" w:lineRule="auto"/>
        <w:ind w:left="851"/>
        <w:jc w:val="both"/>
        <w:rPr>
          <w:color w:val="000000"/>
        </w:rPr>
      </w:pPr>
      <w:r w:rsidRPr="00C67021">
        <w:rPr>
          <w:color w:val="000000"/>
        </w:rPr>
        <w:t>"the trust speaks from the time of its execution and must be interpreted as at that time. It is the settlor's intention at that time that must be ascertained from the language he used in the circumstances then existing. Subsequent events (and in these are included statutes) cannot, I consider, be used to alter that intention." (</w:t>
      </w:r>
      <w:r w:rsidR="007221F6">
        <w:rPr>
          <w:color w:val="000000"/>
        </w:rPr>
        <w:t xml:space="preserve">at </w:t>
      </w:r>
      <w:r w:rsidRPr="00C67021">
        <w:rPr>
          <w:color w:val="000000"/>
        </w:rPr>
        <w:t>169D-F)</w:t>
      </w:r>
    </w:p>
    <w:p w14:paraId="63573028" w14:textId="08B2FE3D" w:rsidR="0013026B" w:rsidRDefault="00D637BF"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221F6">
        <w:rPr>
          <w:rFonts w:ascii="Times New Roman" w:hAnsi="Times New Roman" w:cs="Times New Roman"/>
          <w:sz w:val="24"/>
          <w:szCs w:val="24"/>
        </w:rPr>
        <w:t>3</w:t>
      </w:r>
      <w:r w:rsidR="003B1DF8">
        <w:rPr>
          <w:rFonts w:ascii="Times New Roman" w:hAnsi="Times New Roman" w:cs="Times New Roman"/>
          <w:sz w:val="24"/>
          <w:szCs w:val="24"/>
        </w:rPr>
        <w:t>8</w:t>
      </w:r>
      <w:r>
        <w:rPr>
          <w:rFonts w:ascii="Times New Roman" w:hAnsi="Times New Roman" w:cs="Times New Roman"/>
          <w:sz w:val="24"/>
          <w:szCs w:val="24"/>
        </w:rPr>
        <w:t xml:space="preserve">] Mr. </w:t>
      </w:r>
      <w:r w:rsidRPr="00D637BF">
        <w:rPr>
          <w:rFonts w:ascii="Times New Roman" w:hAnsi="Times New Roman" w:cs="Times New Roman"/>
          <w:i/>
          <w:iCs/>
          <w:sz w:val="24"/>
          <w:szCs w:val="24"/>
        </w:rPr>
        <w:t>Kachambwa</w:t>
      </w:r>
      <w:r>
        <w:rPr>
          <w:rFonts w:ascii="Times New Roman" w:hAnsi="Times New Roman" w:cs="Times New Roman"/>
          <w:sz w:val="24"/>
          <w:szCs w:val="24"/>
        </w:rPr>
        <w:t xml:space="preserve"> submitted that </w:t>
      </w:r>
      <w:r w:rsidR="00876DAE">
        <w:rPr>
          <w:rFonts w:ascii="Times New Roman" w:hAnsi="Times New Roman" w:cs="Times New Roman"/>
          <w:sz w:val="24"/>
          <w:szCs w:val="24"/>
        </w:rPr>
        <w:t xml:space="preserve">a plain meaning had to be given to </w:t>
      </w:r>
      <w:r>
        <w:rPr>
          <w:rFonts w:ascii="Times New Roman" w:hAnsi="Times New Roman" w:cs="Times New Roman"/>
          <w:sz w:val="24"/>
          <w:szCs w:val="24"/>
        </w:rPr>
        <w:t xml:space="preserve">clause 5 of the </w:t>
      </w:r>
      <w:r w:rsidR="00876DAE">
        <w:rPr>
          <w:rFonts w:ascii="Times New Roman" w:hAnsi="Times New Roman" w:cs="Times New Roman"/>
          <w:sz w:val="24"/>
          <w:szCs w:val="24"/>
        </w:rPr>
        <w:t>trust deed.</w:t>
      </w:r>
      <w:r>
        <w:rPr>
          <w:rFonts w:ascii="Times New Roman" w:hAnsi="Times New Roman" w:cs="Times New Roman"/>
          <w:sz w:val="24"/>
          <w:szCs w:val="24"/>
        </w:rPr>
        <w:t xml:space="preserve"> </w:t>
      </w:r>
      <w:r w:rsidR="00876DAE">
        <w:rPr>
          <w:rFonts w:ascii="Times New Roman" w:hAnsi="Times New Roman" w:cs="Times New Roman"/>
          <w:sz w:val="24"/>
          <w:szCs w:val="24"/>
        </w:rPr>
        <w:t xml:space="preserve">In doing so, the court was urged to consider the age-old implication of exclusion and inclusion in interpretation. The rule </w:t>
      </w:r>
      <w:r w:rsidR="00876DAE" w:rsidRPr="00876DAE">
        <w:rPr>
          <w:rFonts w:ascii="Times New Roman" w:hAnsi="Times New Roman" w:cs="Times New Roman"/>
          <w:i/>
          <w:iCs/>
          <w:sz w:val="24"/>
          <w:szCs w:val="24"/>
        </w:rPr>
        <w:t>expressio unius est exclusion alterius</w:t>
      </w:r>
      <w:r w:rsidR="00876DAE">
        <w:rPr>
          <w:rFonts w:ascii="Times New Roman" w:hAnsi="Times New Roman" w:cs="Times New Roman"/>
          <w:sz w:val="24"/>
          <w:szCs w:val="24"/>
        </w:rPr>
        <w:t xml:space="preserve"> applied to the document before the court and had to be employed to the exclusion of applicant as beneficiary. </w:t>
      </w:r>
    </w:p>
    <w:p w14:paraId="6C836125" w14:textId="4E3402A5" w:rsidR="00876DAE" w:rsidRDefault="0013026B"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221F6">
        <w:rPr>
          <w:rFonts w:ascii="Times New Roman" w:hAnsi="Times New Roman" w:cs="Times New Roman"/>
          <w:sz w:val="24"/>
          <w:szCs w:val="24"/>
        </w:rPr>
        <w:t>3</w:t>
      </w:r>
      <w:r w:rsidR="003B1DF8">
        <w:rPr>
          <w:rFonts w:ascii="Times New Roman" w:hAnsi="Times New Roman" w:cs="Times New Roman"/>
          <w:sz w:val="24"/>
          <w:szCs w:val="24"/>
        </w:rPr>
        <w:t>9</w:t>
      </w:r>
      <w:r>
        <w:rPr>
          <w:rFonts w:ascii="Times New Roman" w:hAnsi="Times New Roman" w:cs="Times New Roman"/>
          <w:sz w:val="24"/>
          <w:szCs w:val="24"/>
        </w:rPr>
        <w:t xml:space="preserve">] </w:t>
      </w:r>
      <w:r w:rsidR="00876DAE">
        <w:rPr>
          <w:rFonts w:ascii="Times New Roman" w:hAnsi="Times New Roman" w:cs="Times New Roman"/>
          <w:sz w:val="24"/>
          <w:szCs w:val="24"/>
        </w:rPr>
        <w:t xml:space="preserve">In particular, counsel drew emphasis to the fact </w:t>
      </w:r>
      <w:r w:rsidR="007221F6">
        <w:rPr>
          <w:rFonts w:ascii="Times New Roman" w:hAnsi="Times New Roman" w:cs="Times New Roman"/>
          <w:sz w:val="24"/>
          <w:szCs w:val="24"/>
        </w:rPr>
        <w:t>that, as</w:t>
      </w:r>
      <w:r w:rsidR="00876DAE">
        <w:rPr>
          <w:rFonts w:ascii="Times New Roman" w:hAnsi="Times New Roman" w:cs="Times New Roman"/>
          <w:sz w:val="24"/>
          <w:szCs w:val="24"/>
        </w:rPr>
        <w:t xml:space="preserve"> held in </w:t>
      </w:r>
      <w:r w:rsidR="00876DAE" w:rsidRPr="0013026B">
        <w:rPr>
          <w:rFonts w:ascii="Times New Roman" w:hAnsi="Times New Roman" w:cs="Times New Roman"/>
          <w:i/>
          <w:iCs/>
          <w:sz w:val="24"/>
          <w:szCs w:val="24"/>
        </w:rPr>
        <w:t>Harvey v Crawford</w:t>
      </w:r>
      <w:r w:rsidR="00876DAE">
        <w:rPr>
          <w:rFonts w:ascii="Times New Roman" w:hAnsi="Times New Roman" w:cs="Times New Roman"/>
          <w:sz w:val="24"/>
          <w:szCs w:val="24"/>
        </w:rPr>
        <w:t xml:space="preserve"> (supra), the court had to pay heed to circumstances precedent</w:t>
      </w:r>
      <w:r w:rsidR="007221F6">
        <w:rPr>
          <w:rFonts w:ascii="Times New Roman" w:hAnsi="Times New Roman" w:cs="Times New Roman"/>
          <w:sz w:val="24"/>
          <w:szCs w:val="24"/>
        </w:rPr>
        <w:t>,</w:t>
      </w:r>
      <w:r w:rsidR="00876DAE">
        <w:rPr>
          <w:rFonts w:ascii="Times New Roman" w:hAnsi="Times New Roman" w:cs="Times New Roman"/>
          <w:sz w:val="24"/>
          <w:szCs w:val="24"/>
        </w:rPr>
        <w:t xml:space="preserve"> rather than subsequent to the establishment of the first respondent </w:t>
      </w:r>
      <w:r>
        <w:rPr>
          <w:rFonts w:ascii="Times New Roman" w:hAnsi="Times New Roman" w:cs="Times New Roman"/>
          <w:sz w:val="24"/>
          <w:szCs w:val="24"/>
        </w:rPr>
        <w:t>trust. Apart from dismissing the authenticity and relevan</w:t>
      </w:r>
      <w:r w:rsidR="009D15B0">
        <w:rPr>
          <w:rFonts w:ascii="Times New Roman" w:hAnsi="Times New Roman" w:cs="Times New Roman"/>
          <w:sz w:val="24"/>
          <w:szCs w:val="24"/>
        </w:rPr>
        <w:t>ce</w:t>
      </w:r>
      <w:r>
        <w:rPr>
          <w:rFonts w:ascii="Times New Roman" w:hAnsi="Times New Roman" w:cs="Times New Roman"/>
          <w:sz w:val="24"/>
          <w:szCs w:val="24"/>
        </w:rPr>
        <w:t xml:space="preserve"> of the “contemporaneous documents” on the basis earlier laid in the founding affidavit, Mr. </w:t>
      </w:r>
      <w:r w:rsidRPr="007221F6">
        <w:rPr>
          <w:rFonts w:ascii="Times New Roman" w:hAnsi="Times New Roman" w:cs="Times New Roman"/>
          <w:i/>
          <w:iCs/>
          <w:sz w:val="24"/>
          <w:szCs w:val="24"/>
        </w:rPr>
        <w:t>Kachambwa</w:t>
      </w:r>
      <w:r>
        <w:rPr>
          <w:rFonts w:ascii="Times New Roman" w:hAnsi="Times New Roman" w:cs="Times New Roman"/>
          <w:sz w:val="24"/>
          <w:szCs w:val="24"/>
        </w:rPr>
        <w:t xml:space="preserve"> argued </w:t>
      </w:r>
      <w:r w:rsidR="009D15B0">
        <w:rPr>
          <w:rFonts w:ascii="Times New Roman" w:hAnsi="Times New Roman" w:cs="Times New Roman"/>
          <w:sz w:val="24"/>
          <w:szCs w:val="24"/>
        </w:rPr>
        <w:t xml:space="preserve">that </w:t>
      </w:r>
      <w:r>
        <w:rPr>
          <w:rFonts w:ascii="Times New Roman" w:hAnsi="Times New Roman" w:cs="Times New Roman"/>
          <w:sz w:val="24"/>
          <w:szCs w:val="24"/>
        </w:rPr>
        <w:t>those subsequent attempts to endorse applicant as beneficiary to first respondent trust fell short of the requirements stipulated in clause 5 (d). They did not amount to an amendment of the trust deed to add a beneficiary by execution of a will or deed.</w:t>
      </w:r>
    </w:p>
    <w:p w14:paraId="02506CB8" w14:textId="7A4A99F3" w:rsidR="00C67021" w:rsidRPr="00EA317C" w:rsidRDefault="00876DAE"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1DF8">
        <w:rPr>
          <w:rFonts w:ascii="Times New Roman" w:hAnsi="Times New Roman" w:cs="Times New Roman"/>
          <w:sz w:val="24"/>
          <w:szCs w:val="24"/>
        </w:rPr>
        <w:t>40</w:t>
      </w:r>
      <w:r>
        <w:rPr>
          <w:rFonts w:ascii="Times New Roman" w:hAnsi="Times New Roman" w:cs="Times New Roman"/>
          <w:sz w:val="24"/>
          <w:szCs w:val="24"/>
        </w:rPr>
        <w:t xml:space="preserve">] He similarly, attacked the manner in which applicant had pleaded his case. </w:t>
      </w:r>
      <w:r w:rsidR="007221F6">
        <w:rPr>
          <w:rFonts w:ascii="Times New Roman" w:hAnsi="Times New Roman" w:cs="Times New Roman"/>
          <w:sz w:val="24"/>
          <w:szCs w:val="24"/>
        </w:rPr>
        <w:t xml:space="preserve">Applicant had, according to Mr. </w:t>
      </w:r>
      <w:r w:rsidR="007221F6" w:rsidRPr="007221F6">
        <w:rPr>
          <w:rFonts w:ascii="Times New Roman" w:hAnsi="Times New Roman" w:cs="Times New Roman"/>
          <w:i/>
          <w:iCs/>
          <w:sz w:val="24"/>
          <w:szCs w:val="24"/>
        </w:rPr>
        <w:t>Kachambwa</w:t>
      </w:r>
      <w:r w:rsidR="007221F6">
        <w:rPr>
          <w:rFonts w:ascii="Times New Roman" w:hAnsi="Times New Roman" w:cs="Times New Roman"/>
          <w:sz w:val="24"/>
          <w:szCs w:val="24"/>
        </w:rPr>
        <w:t xml:space="preserve">, </w:t>
      </w:r>
      <w:r w:rsidR="009D15B0">
        <w:rPr>
          <w:rFonts w:ascii="Times New Roman" w:hAnsi="Times New Roman" w:cs="Times New Roman"/>
          <w:sz w:val="24"/>
          <w:szCs w:val="24"/>
        </w:rPr>
        <w:t xml:space="preserve">not </w:t>
      </w:r>
      <w:r w:rsidR="007221F6">
        <w:rPr>
          <w:rFonts w:ascii="Times New Roman" w:hAnsi="Times New Roman" w:cs="Times New Roman"/>
          <w:sz w:val="24"/>
          <w:szCs w:val="24"/>
        </w:rPr>
        <w:t>addressed</w:t>
      </w:r>
      <w:r>
        <w:rPr>
          <w:rFonts w:ascii="Times New Roman" w:hAnsi="Times New Roman" w:cs="Times New Roman"/>
          <w:sz w:val="24"/>
          <w:szCs w:val="24"/>
        </w:rPr>
        <w:t xml:space="preserve"> the issue of residence, n</w:t>
      </w:r>
      <w:r w:rsidR="007221F6">
        <w:rPr>
          <w:rFonts w:ascii="Times New Roman" w:hAnsi="Times New Roman" w:cs="Times New Roman"/>
          <w:sz w:val="24"/>
          <w:szCs w:val="24"/>
        </w:rPr>
        <w:t>either had he established the factual basis</w:t>
      </w:r>
      <w:r>
        <w:rPr>
          <w:rFonts w:ascii="Times New Roman" w:hAnsi="Times New Roman" w:cs="Times New Roman"/>
          <w:sz w:val="24"/>
          <w:szCs w:val="24"/>
        </w:rPr>
        <w:t xml:space="preserve"> for </w:t>
      </w:r>
      <w:r w:rsidR="007221F6">
        <w:rPr>
          <w:rFonts w:ascii="Times New Roman" w:hAnsi="Times New Roman" w:cs="Times New Roman"/>
          <w:sz w:val="24"/>
          <w:szCs w:val="24"/>
        </w:rPr>
        <w:t xml:space="preserve">the </w:t>
      </w:r>
      <w:r>
        <w:rPr>
          <w:rFonts w:ascii="Times New Roman" w:hAnsi="Times New Roman" w:cs="Times New Roman"/>
          <w:sz w:val="24"/>
          <w:szCs w:val="24"/>
        </w:rPr>
        <w:t xml:space="preserve">ancillary relief </w:t>
      </w:r>
      <w:r w:rsidR="0013026B">
        <w:rPr>
          <w:rFonts w:ascii="Times New Roman" w:hAnsi="Times New Roman" w:cs="Times New Roman"/>
          <w:sz w:val="24"/>
          <w:szCs w:val="24"/>
        </w:rPr>
        <w:t xml:space="preserve">to the declaratory </w:t>
      </w:r>
      <w:r w:rsidR="007221F6">
        <w:rPr>
          <w:rFonts w:ascii="Times New Roman" w:hAnsi="Times New Roman" w:cs="Times New Roman"/>
          <w:sz w:val="24"/>
          <w:szCs w:val="24"/>
        </w:rPr>
        <w:t>order.</w:t>
      </w:r>
      <w:r w:rsidR="0013026B">
        <w:rPr>
          <w:rFonts w:ascii="Times New Roman" w:hAnsi="Times New Roman" w:cs="Times New Roman"/>
          <w:sz w:val="24"/>
          <w:szCs w:val="24"/>
        </w:rPr>
        <w:t xml:space="preserve"> Counsel dwelt </w:t>
      </w:r>
      <w:r w:rsidR="009D15B0">
        <w:rPr>
          <w:rFonts w:ascii="Times New Roman" w:hAnsi="Times New Roman" w:cs="Times New Roman"/>
          <w:sz w:val="24"/>
          <w:szCs w:val="24"/>
        </w:rPr>
        <w:t>o</w:t>
      </w:r>
      <w:r w:rsidR="0013026B">
        <w:rPr>
          <w:rFonts w:ascii="Times New Roman" w:hAnsi="Times New Roman" w:cs="Times New Roman"/>
          <w:sz w:val="24"/>
          <w:szCs w:val="24"/>
        </w:rPr>
        <w:t>n this point considerably in his written submissions</w:t>
      </w:r>
      <w:r w:rsidR="007221F6">
        <w:rPr>
          <w:rFonts w:ascii="Times New Roman" w:hAnsi="Times New Roman" w:cs="Times New Roman"/>
          <w:sz w:val="24"/>
          <w:szCs w:val="24"/>
        </w:rPr>
        <w:t>,</w:t>
      </w:r>
      <w:r w:rsidR="0013026B">
        <w:rPr>
          <w:rFonts w:ascii="Times New Roman" w:hAnsi="Times New Roman" w:cs="Times New Roman"/>
          <w:sz w:val="24"/>
          <w:szCs w:val="24"/>
        </w:rPr>
        <w:t xml:space="preserve"> citing the following authorities; -</w:t>
      </w:r>
      <w:r w:rsidR="0013026B" w:rsidRPr="0013026B">
        <w:rPr>
          <w:rFonts w:ascii="Times New Roman" w:hAnsi="Times New Roman" w:cs="Times New Roman"/>
          <w:i/>
          <w:iCs/>
          <w:sz w:val="24"/>
          <w:szCs w:val="24"/>
        </w:rPr>
        <w:t>Quarrying Enterprises (Pvt) Ltd v Stonezim (Pvt) Ltd &amp; Anor</w:t>
      </w:r>
      <w:r w:rsidR="0013026B">
        <w:rPr>
          <w:rFonts w:ascii="Times New Roman" w:hAnsi="Times New Roman" w:cs="Times New Roman"/>
          <w:sz w:val="24"/>
          <w:szCs w:val="24"/>
        </w:rPr>
        <w:t xml:space="preserve"> HH 37-22 and </w:t>
      </w:r>
      <w:r w:rsidR="0013026B" w:rsidRPr="0013026B">
        <w:rPr>
          <w:rFonts w:ascii="Times New Roman" w:hAnsi="Times New Roman" w:cs="Times New Roman"/>
          <w:i/>
          <w:iCs/>
          <w:sz w:val="24"/>
          <w:szCs w:val="24"/>
        </w:rPr>
        <w:t>Mukarakate v Commissioner General of Police &amp; Anor</w:t>
      </w:r>
      <w:r w:rsidR="0013026B">
        <w:rPr>
          <w:rFonts w:ascii="Times New Roman" w:hAnsi="Times New Roman" w:cs="Times New Roman"/>
          <w:sz w:val="24"/>
          <w:szCs w:val="24"/>
        </w:rPr>
        <w:t xml:space="preserve"> HH 6-20 among </w:t>
      </w:r>
      <w:r w:rsidR="007221F6">
        <w:rPr>
          <w:rFonts w:ascii="Times New Roman" w:hAnsi="Times New Roman" w:cs="Times New Roman"/>
          <w:sz w:val="24"/>
          <w:szCs w:val="24"/>
        </w:rPr>
        <w:t>others</w:t>
      </w:r>
      <w:r w:rsidR="0013026B">
        <w:rPr>
          <w:rFonts w:ascii="Times New Roman" w:hAnsi="Times New Roman" w:cs="Times New Roman"/>
          <w:sz w:val="24"/>
          <w:szCs w:val="24"/>
        </w:rPr>
        <w:t>.</w:t>
      </w:r>
    </w:p>
    <w:p w14:paraId="2C50E4B3" w14:textId="59CED10E" w:rsidR="00847715" w:rsidRPr="0095707D" w:rsidRDefault="0098033C"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ANALYSIS OF THE ARGUMENTS</w:t>
      </w:r>
      <w:r w:rsidR="00547BBC" w:rsidRPr="0095707D">
        <w:rPr>
          <w:rFonts w:ascii="Times New Roman" w:hAnsi="Times New Roman" w:cs="Times New Roman"/>
          <w:sz w:val="20"/>
          <w:szCs w:val="20"/>
        </w:rPr>
        <w:t>: DECLARTORY RELIEF</w:t>
      </w:r>
    </w:p>
    <w:p w14:paraId="115E2A00" w14:textId="674E8963" w:rsidR="0098033C" w:rsidRDefault="0098033C" w:rsidP="0098033C">
      <w:pPr>
        <w:spacing w:after="0"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w:t>
      </w:r>
      <w:r w:rsidR="003B1DF8">
        <w:rPr>
          <w:rFonts w:ascii="Times New Roman" w:hAnsi="Times New Roman" w:cs="Times New Roman"/>
          <w:sz w:val="24"/>
          <w:szCs w:val="24"/>
        </w:rPr>
        <w:t>41</w:t>
      </w:r>
      <w:r>
        <w:rPr>
          <w:rFonts w:ascii="Times New Roman" w:hAnsi="Times New Roman" w:cs="Times New Roman"/>
          <w:sz w:val="24"/>
          <w:szCs w:val="24"/>
        </w:rPr>
        <w:t xml:space="preserve">] To begin with, before the court is </w:t>
      </w:r>
      <w:r w:rsidR="001926EA">
        <w:rPr>
          <w:rFonts w:ascii="Times New Roman" w:hAnsi="Times New Roman" w:cs="Times New Roman"/>
          <w:sz w:val="24"/>
          <w:szCs w:val="24"/>
        </w:rPr>
        <w:t xml:space="preserve">presented with </w:t>
      </w:r>
      <w:r>
        <w:rPr>
          <w:rFonts w:ascii="Times New Roman" w:hAnsi="Times New Roman" w:cs="Times New Roman"/>
          <w:sz w:val="24"/>
          <w:szCs w:val="24"/>
        </w:rPr>
        <w:t xml:space="preserve">an application for a declaratur. This application was brought in terms of section 14 of the High Court Act [Chapter 7:06]. </w:t>
      </w:r>
      <w:r w:rsidR="001926EA">
        <w:rPr>
          <w:rFonts w:ascii="Times New Roman" w:hAnsi="Times New Roman" w:cs="Times New Roman"/>
          <w:sz w:val="24"/>
          <w:szCs w:val="24"/>
        </w:rPr>
        <w:t xml:space="preserve">The requirements of declaratory relief </w:t>
      </w:r>
      <w:r>
        <w:rPr>
          <w:rFonts w:ascii="Times New Roman" w:hAnsi="Times New Roman" w:cs="Times New Roman"/>
          <w:sz w:val="24"/>
          <w:szCs w:val="24"/>
        </w:rPr>
        <w:t xml:space="preserve">were articulated in the well-established authority of </w:t>
      </w:r>
      <w:r w:rsidRPr="008B04A7">
        <w:rPr>
          <w:rFonts w:ascii="Times New Roman" w:eastAsia="Calibri" w:hAnsi="Times New Roman" w:cs="Times New Roman"/>
          <w:i/>
          <w:iCs/>
          <w:kern w:val="0"/>
          <w:sz w:val="24"/>
          <w:szCs w:val="24"/>
          <w14:ligatures w14:val="none"/>
        </w:rPr>
        <w:t>Johns</w:t>
      </w:r>
      <w:r>
        <w:rPr>
          <w:rFonts w:ascii="Times New Roman" w:eastAsia="Calibri" w:hAnsi="Times New Roman" w:cs="Times New Roman"/>
          <w:i/>
          <w:iCs/>
          <w:kern w:val="0"/>
          <w:sz w:val="24"/>
          <w:szCs w:val="24"/>
          <w14:ligatures w14:val="none"/>
        </w:rPr>
        <w:t>e</w:t>
      </w:r>
      <w:r w:rsidRPr="008B04A7">
        <w:rPr>
          <w:rFonts w:ascii="Times New Roman" w:eastAsia="Calibri" w:hAnsi="Times New Roman" w:cs="Times New Roman"/>
          <w:i/>
          <w:iCs/>
          <w:kern w:val="0"/>
          <w:sz w:val="24"/>
          <w:szCs w:val="24"/>
          <w14:ligatures w14:val="none"/>
        </w:rPr>
        <w:t>n v AFC</w:t>
      </w:r>
      <w:r w:rsidRPr="0011289F">
        <w:rPr>
          <w:rFonts w:ascii="Times New Roman" w:eastAsia="Calibri" w:hAnsi="Times New Roman" w:cs="Times New Roman"/>
          <w:kern w:val="0"/>
          <w:sz w:val="24"/>
          <w:szCs w:val="24"/>
          <w14:ligatures w14:val="none"/>
        </w:rPr>
        <w:t xml:space="preserve"> 1995 (1) ZLR 65 (S) </w:t>
      </w:r>
      <w:r>
        <w:rPr>
          <w:rFonts w:ascii="Times New Roman" w:eastAsia="Calibri" w:hAnsi="Times New Roman" w:cs="Times New Roman"/>
          <w:kern w:val="0"/>
          <w:sz w:val="24"/>
          <w:szCs w:val="24"/>
          <w14:ligatures w14:val="none"/>
        </w:rPr>
        <w:t>at page 72 as follows; -</w:t>
      </w:r>
    </w:p>
    <w:p w14:paraId="647DED62" w14:textId="77777777" w:rsidR="0098033C" w:rsidRDefault="0098033C" w:rsidP="0098033C">
      <w:pPr>
        <w:spacing w:after="0" w:line="360" w:lineRule="auto"/>
        <w:jc w:val="both"/>
        <w:rPr>
          <w:rFonts w:ascii="Times New Roman" w:eastAsia="Calibri" w:hAnsi="Times New Roman" w:cs="Times New Roman"/>
          <w:kern w:val="0"/>
          <w:sz w:val="24"/>
          <w:szCs w:val="24"/>
          <w14:ligatures w14:val="none"/>
        </w:rPr>
      </w:pPr>
    </w:p>
    <w:p w14:paraId="4E08A8F5" w14:textId="77777777" w:rsidR="0098033C" w:rsidRDefault="0098033C" w:rsidP="0098033C">
      <w:pPr>
        <w:spacing w:after="0" w:line="360" w:lineRule="auto"/>
        <w:ind w:left="1134"/>
        <w:jc w:val="both"/>
        <w:rPr>
          <w:rFonts w:ascii="Times New Roman" w:hAnsi="Times New Roman" w:cs="Times New Roman"/>
          <w:sz w:val="24"/>
          <w:szCs w:val="24"/>
        </w:rPr>
      </w:pPr>
      <w:r w:rsidRPr="006578B1">
        <w:rPr>
          <w:rFonts w:ascii="Times New Roman" w:hAnsi="Times New Roman" w:cs="Times New Roman"/>
          <w:sz w:val="24"/>
          <w:szCs w:val="24"/>
        </w:rPr>
        <w:t xml:space="preserve">“The </w:t>
      </w:r>
      <w:r w:rsidRPr="006578B1">
        <w:rPr>
          <w:rFonts w:ascii="Times New Roman" w:hAnsi="Times New Roman" w:cs="Times New Roman"/>
          <w:sz w:val="24"/>
          <w:szCs w:val="24"/>
          <w:u w:val="single"/>
        </w:rPr>
        <w:t>condition precedent to the grant of a declaratory order under s 14 of the High Court of Zimbabwe Act 1981 is that the applicant must be an ―interested person,</w:t>
      </w:r>
      <w:r w:rsidRPr="006578B1">
        <w:rPr>
          <w:rFonts w:ascii="Times New Roman" w:hAnsi="Times New Roman" w:cs="Times New Roman"/>
          <w:sz w:val="24"/>
          <w:szCs w:val="24"/>
        </w:rPr>
        <w:t xml:space="preserve"> in the sense of </w:t>
      </w:r>
      <w:r w:rsidRPr="006578B1">
        <w:rPr>
          <w:rFonts w:ascii="Times New Roman" w:hAnsi="Times New Roman" w:cs="Times New Roman"/>
          <w:sz w:val="24"/>
          <w:szCs w:val="24"/>
          <w:u w:val="single"/>
        </w:rPr>
        <w:t>having a direct and substantial interest in the subject matter of the suit</w:t>
      </w:r>
      <w:r w:rsidRPr="006578B1">
        <w:rPr>
          <w:rFonts w:ascii="Times New Roman" w:hAnsi="Times New Roman" w:cs="Times New Roman"/>
          <w:sz w:val="24"/>
          <w:szCs w:val="24"/>
        </w:rPr>
        <w:t xml:space="preserve"> which could be prejudicially affected by the judgment of the court. </w:t>
      </w:r>
      <w:r w:rsidRPr="006578B1">
        <w:rPr>
          <w:rFonts w:ascii="Times New Roman" w:hAnsi="Times New Roman" w:cs="Times New Roman"/>
          <w:sz w:val="24"/>
          <w:szCs w:val="24"/>
          <w:u w:val="single"/>
        </w:rPr>
        <w:t>The interest must concern an existing, future or contingent right.</w:t>
      </w:r>
      <w:r w:rsidRPr="006578B1">
        <w:rPr>
          <w:rFonts w:ascii="Times New Roman" w:hAnsi="Times New Roman" w:cs="Times New Roman"/>
          <w:sz w:val="24"/>
          <w:szCs w:val="24"/>
        </w:rPr>
        <w:t xml:space="preserve"> The court will not decide abstract, academic or hypothetical questions unrelated thereto. But the presence of an actual dispute or controversy between the parties interested is not a prerequisite to the exercise of jurisdiction. See </w:t>
      </w:r>
      <w:r w:rsidRPr="006578B1">
        <w:rPr>
          <w:rFonts w:ascii="Times New Roman" w:hAnsi="Times New Roman" w:cs="Times New Roman"/>
          <w:i/>
          <w:iCs/>
          <w:sz w:val="24"/>
          <w:szCs w:val="24"/>
        </w:rPr>
        <w:t>Ex parte Chief Immigration Officer</w:t>
      </w:r>
      <w:r w:rsidRPr="006578B1">
        <w:rPr>
          <w:rFonts w:ascii="Times New Roman" w:hAnsi="Times New Roman" w:cs="Times New Roman"/>
          <w:sz w:val="24"/>
          <w:szCs w:val="24"/>
        </w:rPr>
        <w:t xml:space="preserve"> 1993 (1) ZLR 122 (S) at 129F-G; 1994 (1) SA 370 (ZS) at 376G-H; </w:t>
      </w:r>
      <w:r w:rsidRPr="006578B1">
        <w:rPr>
          <w:rFonts w:ascii="Times New Roman" w:hAnsi="Times New Roman" w:cs="Times New Roman"/>
          <w:i/>
          <w:iCs/>
          <w:sz w:val="24"/>
          <w:szCs w:val="24"/>
        </w:rPr>
        <w:t>Munn Publishing (Pvt) Ltd v ZBC</w:t>
      </w:r>
      <w:r w:rsidRPr="006578B1">
        <w:rPr>
          <w:rFonts w:ascii="Times New Roman" w:hAnsi="Times New Roman" w:cs="Times New Roman"/>
          <w:sz w:val="24"/>
          <w:szCs w:val="24"/>
        </w:rPr>
        <w:t xml:space="preserve"> 1994 (1) ZLR 337 (S) and the cases cited. It was rightly not in contention before the court a quo that the appellant was an interested person. Accordingly, the first stage in the determination of whether it was competent to grant a declarator was met. </w:t>
      </w:r>
    </w:p>
    <w:p w14:paraId="3D46AF79" w14:textId="77777777" w:rsidR="0098033C" w:rsidRDefault="0098033C" w:rsidP="0098033C">
      <w:pPr>
        <w:spacing w:after="0" w:line="360" w:lineRule="auto"/>
        <w:ind w:left="1134"/>
        <w:jc w:val="both"/>
        <w:rPr>
          <w:rFonts w:ascii="Times New Roman" w:hAnsi="Times New Roman" w:cs="Times New Roman"/>
          <w:sz w:val="24"/>
          <w:szCs w:val="24"/>
        </w:rPr>
      </w:pPr>
    </w:p>
    <w:p w14:paraId="5BC68115" w14:textId="77777777" w:rsidR="0098033C" w:rsidRDefault="0098033C" w:rsidP="0098033C">
      <w:pPr>
        <w:spacing w:after="0" w:line="360" w:lineRule="auto"/>
        <w:ind w:left="1134"/>
        <w:jc w:val="both"/>
        <w:rPr>
          <w:rFonts w:ascii="Times New Roman" w:hAnsi="Times New Roman" w:cs="Times New Roman"/>
          <w:sz w:val="24"/>
          <w:szCs w:val="24"/>
        </w:rPr>
      </w:pPr>
      <w:r w:rsidRPr="006578B1">
        <w:rPr>
          <w:rFonts w:ascii="Times New Roman" w:hAnsi="Times New Roman" w:cs="Times New Roman"/>
          <w:sz w:val="24"/>
          <w:szCs w:val="24"/>
          <w:u w:val="single"/>
        </w:rPr>
        <w:t>At the second stage of the enquiry, the court is obliged to decide whether the case before it is a proper one for the exercise of its discretion</w:t>
      </w:r>
      <w:r w:rsidRPr="006578B1">
        <w:rPr>
          <w:rFonts w:ascii="Times New Roman" w:hAnsi="Times New Roman" w:cs="Times New Roman"/>
          <w:sz w:val="24"/>
          <w:szCs w:val="24"/>
        </w:rPr>
        <w:t xml:space="preserve"> under s 14 of the Act. </w:t>
      </w:r>
      <w:r w:rsidRPr="006578B1">
        <w:rPr>
          <w:rFonts w:ascii="Times New Roman" w:hAnsi="Times New Roman" w:cs="Times New Roman"/>
          <w:i/>
          <w:iCs/>
          <w:sz w:val="24"/>
          <w:szCs w:val="24"/>
          <w:u w:val="single"/>
        </w:rPr>
        <w:t>It must take account of all the circumstances of the matte</w:t>
      </w:r>
      <w:r w:rsidRPr="006578B1">
        <w:rPr>
          <w:rFonts w:ascii="Times New Roman" w:hAnsi="Times New Roman" w:cs="Times New Roman"/>
          <w:sz w:val="24"/>
          <w:szCs w:val="24"/>
        </w:rPr>
        <w:t xml:space="preserve">r. See Reinecke v Inc Gen Insurances Ltd 1974 (2) SA 84 (A) at 95C; Dyson v A-G Page 73 of 1995 (1) ZLR 65 (H) [1911] 1 KB 410 (CA) at 417; Burghes v A-G [1911] 2 Ch 139 at 156. </w:t>
      </w:r>
      <w:r w:rsidRPr="006578B1">
        <w:rPr>
          <w:rFonts w:ascii="Times New Roman" w:hAnsi="Times New Roman" w:cs="Times New Roman"/>
          <w:sz w:val="24"/>
          <w:szCs w:val="24"/>
          <w:u w:val="single"/>
        </w:rPr>
        <w:t>What, in the end, constitutes a proper case is where some tangible and justifiable advantage to the applicant is shown to exist.</w:t>
      </w:r>
      <w:r w:rsidRPr="006578B1">
        <w:rPr>
          <w:rFonts w:ascii="Times New Roman" w:hAnsi="Times New Roman" w:cs="Times New Roman"/>
          <w:sz w:val="24"/>
          <w:szCs w:val="24"/>
        </w:rPr>
        <w:t xml:space="preserve"> See Adbro Invtm Co Ltd v Min of Interior &amp; Ors 1961 (3) SA 283 (T) at 285B-C; Reinecke v Inc Gen Insurances Ltd supra at 93D-E.”</w:t>
      </w:r>
      <w:r>
        <w:rPr>
          <w:rFonts w:ascii="Times New Roman" w:hAnsi="Times New Roman" w:cs="Times New Roman"/>
          <w:sz w:val="24"/>
          <w:szCs w:val="24"/>
        </w:rPr>
        <w:t xml:space="preserve"> [ Underlined and italicised for emphasis] </w:t>
      </w:r>
    </w:p>
    <w:p w14:paraId="50A4DC2E" w14:textId="77777777" w:rsidR="00547BBC" w:rsidRDefault="00547BBC" w:rsidP="0098033C">
      <w:pPr>
        <w:spacing w:after="0" w:line="360" w:lineRule="auto"/>
        <w:ind w:left="1134"/>
        <w:jc w:val="both"/>
        <w:rPr>
          <w:rFonts w:ascii="Times New Roman" w:hAnsi="Times New Roman" w:cs="Times New Roman"/>
          <w:sz w:val="24"/>
          <w:szCs w:val="24"/>
        </w:rPr>
      </w:pPr>
    </w:p>
    <w:p w14:paraId="3059A740" w14:textId="6346F923" w:rsidR="00CE35A7" w:rsidRDefault="0098033C" w:rsidP="00CE35A7">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00CD6B3C">
        <w:rPr>
          <w:rFonts w:ascii="Times New Roman" w:hAnsi="Times New Roman" w:cs="Times New Roman"/>
          <w:sz w:val="24"/>
          <w:szCs w:val="24"/>
        </w:rPr>
        <w:t>4</w:t>
      </w:r>
      <w:r w:rsidR="003B1DF8">
        <w:rPr>
          <w:rFonts w:ascii="Times New Roman" w:hAnsi="Times New Roman" w:cs="Times New Roman"/>
          <w:sz w:val="24"/>
          <w:szCs w:val="24"/>
        </w:rPr>
        <w:t>2</w:t>
      </w:r>
      <w:r w:rsidR="00CE35A7">
        <w:rPr>
          <w:rFonts w:ascii="Times New Roman" w:hAnsi="Times New Roman" w:cs="Times New Roman"/>
          <w:sz w:val="24"/>
          <w:szCs w:val="24"/>
        </w:rPr>
        <w:t xml:space="preserve">] In considering the requirements stated </w:t>
      </w:r>
      <w:r w:rsidR="00B37D5F">
        <w:rPr>
          <w:rFonts w:ascii="Times New Roman" w:hAnsi="Times New Roman" w:cs="Times New Roman"/>
          <w:sz w:val="24"/>
          <w:szCs w:val="24"/>
        </w:rPr>
        <w:t>above, the</w:t>
      </w:r>
      <w:r w:rsidR="00CE35A7">
        <w:rPr>
          <w:rFonts w:ascii="Times New Roman" w:hAnsi="Times New Roman" w:cs="Times New Roman"/>
          <w:sz w:val="24"/>
          <w:szCs w:val="24"/>
        </w:rPr>
        <w:t xml:space="preserve"> obvious fact is that the </w:t>
      </w:r>
      <w:r w:rsidR="00CE35A7">
        <w:rPr>
          <w:rFonts w:ascii="Times New Roman" w:hAnsi="Times New Roman" w:cs="Times New Roman"/>
          <w:color w:val="000000"/>
          <w:sz w:val="24"/>
          <w:szCs w:val="24"/>
        </w:rPr>
        <w:t xml:space="preserve">court is faced with a claim targeting first respondent trust`s donation. A declaration of rights is sought against it. The claim is different from that aimed at a deceased person`s estate under the various applicable causa. The rights and interest being claimed herein flow from a contract; -the trust deed. They differ from those accruing in terms of say the Deceased Persons Family Maintenance Act [Chapter 6:03] or related legislation. </w:t>
      </w:r>
    </w:p>
    <w:p w14:paraId="0DB0BB67" w14:textId="2D77E825" w:rsidR="00B37D5F" w:rsidRDefault="00CE35A7" w:rsidP="0070609A">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B37D5F">
        <w:rPr>
          <w:rFonts w:ascii="Times New Roman" w:hAnsi="Times New Roman" w:cs="Times New Roman"/>
          <w:color w:val="000000"/>
          <w:sz w:val="24"/>
          <w:szCs w:val="24"/>
        </w:rPr>
        <w:t>43</w:t>
      </w:r>
      <w:r>
        <w:rPr>
          <w:rFonts w:ascii="Times New Roman" w:hAnsi="Times New Roman" w:cs="Times New Roman"/>
          <w:color w:val="000000"/>
          <w:sz w:val="24"/>
          <w:szCs w:val="24"/>
        </w:rPr>
        <w:t xml:space="preserve">] Applicant is pursuing a formally constituted </w:t>
      </w:r>
      <w:r w:rsidR="003B0CFD">
        <w:rPr>
          <w:rFonts w:ascii="Times New Roman" w:hAnsi="Times New Roman" w:cs="Times New Roman"/>
          <w:color w:val="000000"/>
          <w:sz w:val="24"/>
          <w:szCs w:val="24"/>
        </w:rPr>
        <w:t>donation together</w:t>
      </w:r>
      <w:r>
        <w:rPr>
          <w:rFonts w:ascii="Times New Roman" w:hAnsi="Times New Roman" w:cs="Times New Roman"/>
          <w:color w:val="000000"/>
          <w:sz w:val="24"/>
          <w:szCs w:val="24"/>
        </w:rPr>
        <w:t xml:space="preserve"> with its administrators. A donation whose objects are regulated by a trust deed, apart from the broader prescription of the </w:t>
      </w:r>
      <w:r>
        <w:rPr>
          <w:rFonts w:ascii="Times New Roman" w:hAnsi="Times New Roman" w:cs="Times New Roman"/>
          <w:color w:val="000000"/>
          <w:sz w:val="24"/>
          <w:szCs w:val="24"/>
        </w:rPr>
        <w:lastRenderedPageBreak/>
        <w:t>law.</w:t>
      </w:r>
      <w:r w:rsidRPr="00D32E59">
        <w:rPr>
          <w:rFonts w:ascii="Times New Roman" w:hAnsi="Times New Roman" w:cs="Times New Roman"/>
          <w:color w:val="000000"/>
          <w:sz w:val="24"/>
          <w:szCs w:val="24"/>
        </w:rPr>
        <w:t xml:space="preserve"> </w:t>
      </w:r>
      <w:r>
        <w:rPr>
          <w:rFonts w:ascii="Times New Roman" w:hAnsi="Times New Roman" w:cs="Times New Roman"/>
          <w:sz w:val="24"/>
          <w:szCs w:val="24"/>
        </w:rPr>
        <w:t xml:space="preserve">A donation too, administered by </w:t>
      </w:r>
      <w:r>
        <w:rPr>
          <w:rFonts w:ascii="Times New Roman" w:hAnsi="Times New Roman" w:cs="Times New Roman"/>
          <w:color w:val="000000"/>
          <w:sz w:val="24"/>
          <w:szCs w:val="24"/>
        </w:rPr>
        <w:t xml:space="preserve">trustees appointed in terms of the </w:t>
      </w:r>
      <w:r w:rsidR="00B37D5F">
        <w:rPr>
          <w:rFonts w:ascii="Times New Roman" w:hAnsi="Times New Roman" w:cs="Times New Roman"/>
          <w:color w:val="000000"/>
          <w:sz w:val="24"/>
          <w:szCs w:val="24"/>
        </w:rPr>
        <w:t>law. I</w:t>
      </w:r>
      <w:r w:rsidR="001926EA">
        <w:rPr>
          <w:rFonts w:ascii="Times New Roman" w:hAnsi="Times New Roman" w:cs="Times New Roman"/>
          <w:sz w:val="24"/>
          <w:szCs w:val="24"/>
        </w:rPr>
        <w:t xml:space="preserve"> would </w:t>
      </w:r>
      <w:r w:rsidR="00B37D5F">
        <w:rPr>
          <w:rFonts w:ascii="Times New Roman" w:hAnsi="Times New Roman" w:cs="Times New Roman"/>
          <w:sz w:val="24"/>
          <w:szCs w:val="24"/>
        </w:rPr>
        <w:t xml:space="preserve">therefore </w:t>
      </w:r>
      <w:r w:rsidR="001926EA">
        <w:rPr>
          <w:rFonts w:ascii="Times New Roman" w:hAnsi="Times New Roman" w:cs="Times New Roman"/>
          <w:sz w:val="24"/>
          <w:szCs w:val="24"/>
        </w:rPr>
        <w:t>venture out to say that the circumstances</w:t>
      </w:r>
      <w:r w:rsidR="0098033C">
        <w:rPr>
          <w:rFonts w:ascii="Times New Roman" w:hAnsi="Times New Roman" w:cs="Times New Roman"/>
          <w:sz w:val="24"/>
          <w:szCs w:val="24"/>
        </w:rPr>
        <w:t xml:space="preserve"> of this matter</w:t>
      </w:r>
      <w:r w:rsidR="00547BBC">
        <w:rPr>
          <w:rFonts w:ascii="Times New Roman" w:hAnsi="Times New Roman" w:cs="Times New Roman"/>
          <w:sz w:val="24"/>
          <w:szCs w:val="24"/>
        </w:rPr>
        <w:t xml:space="preserve"> suggest that if applicant passes the first hurdle</w:t>
      </w:r>
      <w:r w:rsidR="001926EA">
        <w:rPr>
          <w:rFonts w:ascii="Times New Roman" w:hAnsi="Times New Roman" w:cs="Times New Roman"/>
          <w:sz w:val="24"/>
          <w:szCs w:val="24"/>
        </w:rPr>
        <w:t xml:space="preserve"> set in </w:t>
      </w:r>
      <w:r w:rsidR="001926EA" w:rsidRPr="00AC0248">
        <w:rPr>
          <w:rFonts w:ascii="Times New Roman" w:hAnsi="Times New Roman" w:cs="Times New Roman"/>
          <w:i/>
          <w:iCs/>
          <w:sz w:val="24"/>
          <w:szCs w:val="24"/>
        </w:rPr>
        <w:t>Johnsen v AFC</w:t>
      </w:r>
      <w:r w:rsidR="001926EA">
        <w:rPr>
          <w:rFonts w:ascii="Times New Roman" w:hAnsi="Times New Roman" w:cs="Times New Roman"/>
          <w:sz w:val="24"/>
          <w:szCs w:val="24"/>
        </w:rPr>
        <w:t xml:space="preserve"> (supra),</w:t>
      </w:r>
      <w:r w:rsidR="00547BBC">
        <w:rPr>
          <w:rFonts w:ascii="Times New Roman" w:hAnsi="Times New Roman" w:cs="Times New Roman"/>
          <w:sz w:val="24"/>
          <w:szCs w:val="24"/>
        </w:rPr>
        <w:t xml:space="preserve"> victory </w:t>
      </w:r>
      <w:r w:rsidR="001926EA">
        <w:rPr>
          <w:rFonts w:ascii="Times New Roman" w:hAnsi="Times New Roman" w:cs="Times New Roman"/>
          <w:sz w:val="24"/>
          <w:szCs w:val="24"/>
        </w:rPr>
        <w:t xml:space="preserve">will be </w:t>
      </w:r>
      <w:r w:rsidR="00547BBC">
        <w:rPr>
          <w:rFonts w:ascii="Times New Roman" w:hAnsi="Times New Roman" w:cs="Times New Roman"/>
          <w:sz w:val="24"/>
          <w:szCs w:val="24"/>
        </w:rPr>
        <w:t>almost his for the taking.</w:t>
      </w:r>
    </w:p>
    <w:p w14:paraId="0D2B32B4" w14:textId="7915E202" w:rsidR="004E2D9D" w:rsidRDefault="00B37D5F"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[44] If</w:t>
      </w:r>
      <w:r w:rsidR="00547BBC">
        <w:rPr>
          <w:rFonts w:ascii="Times New Roman" w:hAnsi="Times New Roman" w:cs="Times New Roman"/>
          <w:sz w:val="24"/>
          <w:szCs w:val="24"/>
        </w:rPr>
        <w:t xml:space="preserve"> the trust deed is read to </w:t>
      </w:r>
      <w:r w:rsidR="001926EA">
        <w:rPr>
          <w:rFonts w:ascii="Times New Roman" w:hAnsi="Times New Roman" w:cs="Times New Roman"/>
          <w:sz w:val="24"/>
          <w:szCs w:val="24"/>
        </w:rPr>
        <w:t>be construed in his favour</w:t>
      </w:r>
      <w:r w:rsidR="00547BBC">
        <w:rPr>
          <w:rFonts w:ascii="Times New Roman" w:hAnsi="Times New Roman" w:cs="Times New Roman"/>
          <w:sz w:val="24"/>
          <w:szCs w:val="24"/>
        </w:rPr>
        <w:t xml:space="preserve">, I would envisage no impediment to the exercise of this court`s discretion in granting him the declaratur sought. </w:t>
      </w:r>
      <w:r w:rsidR="001926EA">
        <w:rPr>
          <w:rFonts w:ascii="Times New Roman" w:hAnsi="Times New Roman" w:cs="Times New Roman"/>
          <w:sz w:val="24"/>
          <w:szCs w:val="24"/>
        </w:rPr>
        <w:t xml:space="preserve">(Apart of course the issue of the ancillary relief which would require him to overcome the opposition raised) </w:t>
      </w:r>
      <w:r w:rsidR="00547BBC">
        <w:rPr>
          <w:rFonts w:ascii="Times New Roman" w:hAnsi="Times New Roman" w:cs="Times New Roman"/>
          <w:sz w:val="24"/>
          <w:szCs w:val="24"/>
        </w:rPr>
        <w:t>Having s</w:t>
      </w:r>
      <w:r w:rsidR="001926EA">
        <w:rPr>
          <w:rFonts w:ascii="Times New Roman" w:hAnsi="Times New Roman" w:cs="Times New Roman"/>
          <w:sz w:val="24"/>
          <w:szCs w:val="24"/>
        </w:rPr>
        <w:t>o opined</w:t>
      </w:r>
      <w:r w:rsidR="00547BBC">
        <w:rPr>
          <w:rFonts w:ascii="Times New Roman" w:hAnsi="Times New Roman" w:cs="Times New Roman"/>
          <w:sz w:val="24"/>
          <w:szCs w:val="24"/>
        </w:rPr>
        <w:t xml:space="preserve">, I </w:t>
      </w:r>
      <w:r w:rsidR="001926EA">
        <w:rPr>
          <w:rFonts w:ascii="Times New Roman" w:hAnsi="Times New Roman" w:cs="Times New Roman"/>
          <w:sz w:val="24"/>
          <w:szCs w:val="24"/>
        </w:rPr>
        <w:t xml:space="preserve">turn now </w:t>
      </w:r>
      <w:r w:rsidR="00547BBC">
        <w:rPr>
          <w:rFonts w:ascii="Times New Roman" w:hAnsi="Times New Roman" w:cs="Times New Roman"/>
          <w:sz w:val="24"/>
          <w:szCs w:val="24"/>
        </w:rPr>
        <w:t>to the interpretation of the trust deed</w:t>
      </w:r>
      <w:r w:rsidR="00EF74A9">
        <w:rPr>
          <w:rFonts w:ascii="Times New Roman" w:hAnsi="Times New Roman" w:cs="Times New Roman"/>
          <w:sz w:val="24"/>
          <w:szCs w:val="24"/>
        </w:rPr>
        <w:t xml:space="preserve"> based on the principles set out in the authorities cited</w:t>
      </w:r>
      <w:r w:rsidR="00547BBC">
        <w:rPr>
          <w:rFonts w:ascii="Times New Roman" w:hAnsi="Times New Roman" w:cs="Times New Roman"/>
          <w:sz w:val="24"/>
          <w:szCs w:val="24"/>
        </w:rPr>
        <w:t>.</w:t>
      </w:r>
    </w:p>
    <w:p w14:paraId="68513C42" w14:textId="3EF9B9EE" w:rsidR="00E64D56" w:rsidRDefault="004E2D9D" w:rsidP="00E64D5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D6B3C">
        <w:rPr>
          <w:rFonts w:ascii="Times New Roman" w:hAnsi="Times New Roman" w:cs="Times New Roman"/>
          <w:sz w:val="24"/>
          <w:szCs w:val="24"/>
        </w:rPr>
        <w:t>4</w:t>
      </w:r>
      <w:r w:rsidR="00B37D5F">
        <w:rPr>
          <w:rFonts w:ascii="Times New Roman" w:hAnsi="Times New Roman" w:cs="Times New Roman"/>
          <w:sz w:val="24"/>
          <w:szCs w:val="24"/>
        </w:rPr>
        <w:t>5</w:t>
      </w:r>
      <w:r>
        <w:rPr>
          <w:rFonts w:ascii="Times New Roman" w:hAnsi="Times New Roman" w:cs="Times New Roman"/>
          <w:sz w:val="24"/>
          <w:szCs w:val="24"/>
        </w:rPr>
        <w:t xml:space="preserve">] </w:t>
      </w:r>
      <w:r w:rsidR="00EF74A9">
        <w:rPr>
          <w:rFonts w:ascii="Times New Roman" w:hAnsi="Times New Roman" w:cs="Times New Roman"/>
          <w:sz w:val="24"/>
          <w:szCs w:val="24"/>
        </w:rPr>
        <w:t xml:space="preserve">Before doing so, I must comment on </w:t>
      </w:r>
      <w:r w:rsidR="009D5765">
        <w:rPr>
          <w:rFonts w:ascii="Times New Roman" w:hAnsi="Times New Roman" w:cs="Times New Roman"/>
          <w:sz w:val="24"/>
          <w:szCs w:val="24"/>
        </w:rPr>
        <w:t xml:space="preserve">the </w:t>
      </w:r>
      <w:r w:rsidR="00EF74A9">
        <w:rPr>
          <w:rFonts w:ascii="Times New Roman" w:hAnsi="Times New Roman" w:cs="Times New Roman"/>
          <w:sz w:val="24"/>
          <w:szCs w:val="24"/>
        </w:rPr>
        <w:t xml:space="preserve">practical implementation of the said principles of interpretation based on “text, context and </w:t>
      </w:r>
      <w:r w:rsidR="009D5765">
        <w:rPr>
          <w:rFonts w:ascii="Times New Roman" w:hAnsi="Times New Roman" w:cs="Times New Roman"/>
          <w:sz w:val="24"/>
          <w:szCs w:val="24"/>
        </w:rPr>
        <w:t xml:space="preserve">purpose”. The purpose of such interpretation being to (i) specifically to establish the meaning of “children of the said John Arnold Bredenkamp”, (ii) the extra-jurisdictional impediment and (iii) generally as to whether applicant qualified as a beneficiary of the first respondent trust. </w:t>
      </w:r>
    </w:p>
    <w:p w14:paraId="3E9E1666" w14:textId="77777777" w:rsidR="00B37D5F" w:rsidRDefault="009D5765"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B37D5F">
        <w:rPr>
          <w:rFonts w:ascii="Times New Roman" w:hAnsi="Times New Roman" w:cs="Times New Roman"/>
          <w:sz w:val="24"/>
          <w:szCs w:val="24"/>
        </w:rPr>
        <w:t>6</w:t>
      </w:r>
      <w:r>
        <w:rPr>
          <w:rFonts w:ascii="Times New Roman" w:hAnsi="Times New Roman" w:cs="Times New Roman"/>
          <w:sz w:val="24"/>
          <w:szCs w:val="24"/>
        </w:rPr>
        <w:t>] First</w:t>
      </w:r>
      <w:r w:rsidR="00EF74A9">
        <w:rPr>
          <w:rFonts w:ascii="Times New Roman" w:hAnsi="Times New Roman" w:cs="Times New Roman"/>
          <w:sz w:val="24"/>
          <w:szCs w:val="24"/>
        </w:rPr>
        <w:t>, one must obviously commence with the “text” aspect</w:t>
      </w:r>
      <w:r>
        <w:rPr>
          <w:rFonts w:ascii="Times New Roman" w:hAnsi="Times New Roman" w:cs="Times New Roman"/>
          <w:sz w:val="24"/>
          <w:szCs w:val="24"/>
        </w:rPr>
        <w:t xml:space="preserve"> and examine the trust deed itself</w:t>
      </w:r>
      <w:r w:rsidR="00EF74A9">
        <w:rPr>
          <w:rFonts w:ascii="Times New Roman" w:hAnsi="Times New Roman" w:cs="Times New Roman"/>
          <w:sz w:val="24"/>
          <w:szCs w:val="24"/>
        </w:rPr>
        <w:t xml:space="preserve">. </w:t>
      </w:r>
      <w:r>
        <w:rPr>
          <w:rFonts w:ascii="Times New Roman" w:hAnsi="Times New Roman" w:cs="Times New Roman"/>
          <w:sz w:val="24"/>
          <w:szCs w:val="24"/>
        </w:rPr>
        <w:t>This will be done against consideration of the “</w:t>
      </w:r>
      <w:r w:rsidR="00EF74A9">
        <w:rPr>
          <w:rFonts w:ascii="Times New Roman" w:hAnsi="Times New Roman" w:cs="Times New Roman"/>
          <w:sz w:val="24"/>
          <w:szCs w:val="24"/>
        </w:rPr>
        <w:t>context</w:t>
      </w:r>
      <w:r>
        <w:rPr>
          <w:rFonts w:ascii="Times New Roman" w:hAnsi="Times New Roman" w:cs="Times New Roman"/>
          <w:sz w:val="24"/>
          <w:szCs w:val="24"/>
        </w:rPr>
        <w:t xml:space="preserve">”, followed by the </w:t>
      </w:r>
      <w:r w:rsidR="00EF74A9">
        <w:rPr>
          <w:rFonts w:ascii="Times New Roman" w:hAnsi="Times New Roman" w:cs="Times New Roman"/>
          <w:sz w:val="24"/>
          <w:szCs w:val="24"/>
        </w:rPr>
        <w:t>deductive process to establish “purpose”</w:t>
      </w:r>
      <w:r>
        <w:rPr>
          <w:rFonts w:ascii="Times New Roman" w:hAnsi="Times New Roman" w:cs="Times New Roman"/>
          <w:sz w:val="24"/>
          <w:szCs w:val="24"/>
        </w:rPr>
        <w:t>.</w:t>
      </w:r>
      <w:r w:rsidR="00EF74A9">
        <w:rPr>
          <w:rFonts w:ascii="Times New Roman" w:hAnsi="Times New Roman" w:cs="Times New Roman"/>
          <w:sz w:val="24"/>
          <w:szCs w:val="24"/>
        </w:rPr>
        <w:t xml:space="preserve"> </w:t>
      </w:r>
      <w:r w:rsidR="00E64D56">
        <w:rPr>
          <w:rFonts w:ascii="Times New Roman" w:hAnsi="Times New Roman" w:cs="Times New Roman"/>
          <w:sz w:val="24"/>
          <w:szCs w:val="24"/>
        </w:rPr>
        <w:t>Context must</w:t>
      </w:r>
      <w:r w:rsidR="00EF74A9">
        <w:rPr>
          <w:rFonts w:ascii="Times New Roman" w:hAnsi="Times New Roman" w:cs="Times New Roman"/>
          <w:sz w:val="24"/>
          <w:szCs w:val="24"/>
        </w:rPr>
        <w:t xml:space="preserve"> naturally emanate from (or be confined to) the matters pleaded in the affidavits. Th</w:t>
      </w:r>
      <w:r w:rsidR="00E64D56">
        <w:rPr>
          <w:rFonts w:ascii="Times New Roman" w:hAnsi="Times New Roman" w:cs="Times New Roman"/>
          <w:sz w:val="24"/>
          <w:szCs w:val="24"/>
        </w:rPr>
        <w:t xml:space="preserve">ose </w:t>
      </w:r>
      <w:r w:rsidR="00EF74A9">
        <w:rPr>
          <w:rFonts w:ascii="Times New Roman" w:hAnsi="Times New Roman" w:cs="Times New Roman"/>
          <w:sz w:val="24"/>
          <w:szCs w:val="24"/>
        </w:rPr>
        <w:t xml:space="preserve">matters constitute evidence placed before the </w:t>
      </w:r>
      <w:r w:rsidR="00E64D56">
        <w:rPr>
          <w:rFonts w:ascii="Times New Roman" w:hAnsi="Times New Roman" w:cs="Times New Roman"/>
          <w:sz w:val="24"/>
          <w:szCs w:val="24"/>
        </w:rPr>
        <w:t xml:space="preserve">court. </w:t>
      </w:r>
    </w:p>
    <w:p w14:paraId="67221999" w14:textId="0AAFF3AA" w:rsidR="00EF74A9" w:rsidRDefault="00B37D5F"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[47] </w:t>
      </w:r>
      <w:r w:rsidR="009D5765">
        <w:rPr>
          <w:rFonts w:ascii="Times New Roman" w:hAnsi="Times New Roman" w:cs="Times New Roman"/>
          <w:sz w:val="24"/>
          <w:szCs w:val="24"/>
        </w:rPr>
        <w:t xml:space="preserve">That evidence </w:t>
      </w:r>
      <w:r w:rsidR="00E64D56">
        <w:rPr>
          <w:rFonts w:ascii="Times New Roman" w:hAnsi="Times New Roman" w:cs="Times New Roman"/>
          <w:sz w:val="24"/>
          <w:szCs w:val="24"/>
        </w:rPr>
        <w:t>must thus be</w:t>
      </w:r>
      <w:r w:rsidR="00EF74A9">
        <w:rPr>
          <w:rFonts w:ascii="Times New Roman" w:hAnsi="Times New Roman" w:cs="Times New Roman"/>
          <w:sz w:val="24"/>
          <w:szCs w:val="24"/>
        </w:rPr>
        <w:t xml:space="preserve"> subjected to the usual test</w:t>
      </w:r>
      <w:r w:rsidR="009D5765">
        <w:rPr>
          <w:rFonts w:ascii="Times New Roman" w:hAnsi="Times New Roman" w:cs="Times New Roman"/>
          <w:sz w:val="24"/>
          <w:szCs w:val="24"/>
        </w:rPr>
        <w:t xml:space="preserve">s centred on </w:t>
      </w:r>
      <w:r w:rsidR="00EF74A9">
        <w:rPr>
          <w:rFonts w:ascii="Times New Roman" w:hAnsi="Times New Roman" w:cs="Times New Roman"/>
          <w:sz w:val="24"/>
          <w:szCs w:val="24"/>
        </w:rPr>
        <w:t xml:space="preserve">relevance and reliability. In other words, the evidence must be credible inasmuch as it must constitute facts </w:t>
      </w:r>
      <w:r w:rsidR="009D5765">
        <w:rPr>
          <w:rFonts w:ascii="Times New Roman" w:hAnsi="Times New Roman" w:cs="Times New Roman"/>
          <w:sz w:val="24"/>
          <w:szCs w:val="24"/>
        </w:rPr>
        <w:t>supportive of the</w:t>
      </w:r>
      <w:r w:rsidR="00EF74A9">
        <w:rPr>
          <w:rFonts w:ascii="Times New Roman" w:hAnsi="Times New Roman" w:cs="Times New Roman"/>
          <w:sz w:val="24"/>
          <w:szCs w:val="24"/>
        </w:rPr>
        <w:t xml:space="preserve"> causa and defence</w:t>
      </w:r>
      <w:r w:rsidR="009D5765">
        <w:rPr>
          <w:rFonts w:ascii="Times New Roman" w:hAnsi="Times New Roman" w:cs="Times New Roman"/>
          <w:sz w:val="24"/>
          <w:szCs w:val="24"/>
        </w:rPr>
        <w:t xml:space="preserve"> respectively</w:t>
      </w:r>
      <w:r w:rsidR="00EF74A9">
        <w:rPr>
          <w:rFonts w:ascii="Times New Roman" w:hAnsi="Times New Roman" w:cs="Times New Roman"/>
          <w:sz w:val="24"/>
          <w:szCs w:val="24"/>
        </w:rPr>
        <w:t xml:space="preserve">. For these reasons, I shall approach the interpretational arguments on the law and facts with these basic rules in </w:t>
      </w:r>
      <w:r w:rsidR="009D5765">
        <w:rPr>
          <w:rFonts w:ascii="Times New Roman" w:hAnsi="Times New Roman" w:cs="Times New Roman"/>
          <w:sz w:val="24"/>
          <w:szCs w:val="24"/>
        </w:rPr>
        <w:t>mind. I now turn to the arguments.</w:t>
      </w:r>
    </w:p>
    <w:p w14:paraId="7282487A" w14:textId="4A245B5B" w:rsidR="004E2D9D" w:rsidRDefault="001926EA"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B37D5F">
        <w:rPr>
          <w:rFonts w:ascii="Times New Roman" w:hAnsi="Times New Roman" w:cs="Times New Roman"/>
          <w:sz w:val="24"/>
          <w:szCs w:val="24"/>
        </w:rPr>
        <w:t>8</w:t>
      </w:r>
      <w:r>
        <w:rPr>
          <w:rFonts w:ascii="Times New Roman" w:hAnsi="Times New Roman" w:cs="Times New Roman"/>
          <w:sz w:val="24"/>
          <w:szCs w:val="24"/>
        </w:rPr>
        <w:t xml:space="preserve">] </w:t>
      </w:r>
      <w:r w:rsidR="003F3481">
        <w:rPr>
          <w:rFonts w:ascii="Times New Roman" w:hAnsi="Times New Roman" w:cs="Times New Roman"/>
          <w:sz w:val="24"/>
          <w:szCs w:val="24"/>
        </w:rPr>
        <w:t xml:space="preserve">Mr. </w:t>
      </w:r>
      <w:r w:rsidR="003F3481" w:rsidRPr="006E3D76">
        <w:rPr>
          <w:rFonts w:ascii="Times New Roman" w:hAnsi="Times New Roman" w:cs="Times New Roman"/>
          <w:i/>
          <w:iCs/>
          <w:sz w:val="24"/>
          <w:szCs w:val="24"/>
        </w:rPr>
        <w:t>Mpofu</w:t>
      </w:r>
      <w:r w:rsidR="003F3481">
        <w:rPr>
          <w:rFonts w:ascii="Times New Roman" w:hAnsi="Times New Roman" w:cs="Times New Roman"/>
          <w:sz w:val="24"/>
          <w:szCs w:val="24"/>
        </w:rPr>
        <w:t xml:space="preserve"> </w:t>
      </w:r>
      <w:r w:rsidR="00B37D5F">
        <w:rPr>
          <w:rFonts w:ascii="Times New Roman" w:hAnsi="Times New Roman" w:cs="Times New Roman"/>
          <w:sz w:val="24"/>
          <w:szCs w:val="24"/>
        </w:rPr>
        <w:t xml:space="preserve">adhered to the </w:t>
      </w:r>
      <w:r w:rsidR="003F3481">
        <w:rPr>
          <w:rFonts w:ascii="Times New Roman" w:hAnsi="Times New Roman" w:cs="Times New Roman"/>
          <w:sz w:val="24"/>
          <w:szCs w:val="24"/>
        </w:rPr>
        <w:t xml:space="preserve">liberal </w:t>
      </w:r>
      <w:r w:rsidR="009D5765">
        <w:rPr>
          <w:rFonts w:ascii="Times New Roman" w:hAnsi="Times New Roman" w:cs="Times New Roman"/>
          <w:sz w:val="24"/>
          <w:szCs w:val="24"/>
        </w:rPr>
        <w:t xml:space="preserve">interpretation </w:t>
      </w:r>
      <w:r w:rsidR="00B37D5F">
        <w:rPr>
          <w:rFonts w:ascii="Times New Roman" w:hAnsi="Times New Roman" w:cs="Times New Roman"/>
          <w:sz w:val="24"/>
          <w:szCs w:val="24"/>
        </w:rPr>
        <w:t xml:space="preserve">approach. This </w:t>
      </w:r>
      <w:r w:rsidR="003F3481">
        <w:rPr>
          <w:rFonts w:ascii="Times New Roman" w:hAnsi="Times New Roman" w:cs="Times New Roman"/>
          <w:sz w:val="24"/>
          <w:szCs w:val="24"/>
        </w:rPr>
        <w:t xml:space="preserve">scoped in the broader context relevant to the issuance, purpose, parties, settlor and other aspects related to the donation. That context included evidence in the form of the will, the letter of wishes and the minutes of </w:t>
      </w:r>
      <w:r w:rsidR="0009559A">
        <w:rPr>
          <w:rFonts w:ascii="Times New Roman" w:hAnsi="Times New Roman" w:cs="Times New Roman"/>
          <w:sz w:val="24"/>
          <w:szCs w:val="24"/>
        </w:rPr>
        <w:t>15</w:t>
      </w:r>
      <w:r w:rsidR="006E3D76">
        <w:rPr>
          <w:rFonts w:ascii="Times New Roman" w:hAnsi="Times New Roman" w:cs="Times New Roman"/>
          <w:sz w:val="24"/>
          <w:szCs w:val="24"/>
        </w:rPr>
        <w:t xml:space="preserve"> August 2019.And such evidence</w:t>
      </w:r>
      <w:r w:rsidR="00B37D5F">
        <w:rPr>
          <w:rFonts w:ascii="Times New Roman" w:hAnsi="Times New Roman" w:cs="Times New Roman"/>
          <w:sz w:val="24"/>
          <w:szCs w:val="24"/>
        </w:rPr>
        <w:t xml:space="preserve">, per Mr. </w:t>
      </w:r>
      <w:r w:rsidR="00B37D5F" w:rsidRPr="00B37D5F">
        <w:rPr>
          <w:rFonts w:ascii="Times New Roman" w:hAnsi="Times New Roman" w:cs="Times New Roman"/>
          <w:i/>
          <w:iCs/>
          <w:sz w:val="24"/>
          <w:szCs w:val="24"/>
        </w:rPr>
        <w:t>Mpofu</w:t>
      </w:r>
      <w:r w:rsidR="00B37D5F">
        <w:rPr>
          <w:rFonts w:ascii="Times New Roman" w:hAnsi="Times New Roman" w:cs="Times New Roman"/>
          <w:sz w:val="24"/>
          <w:szCs w:val="24"/>
        </w:rPr>
        <w:t xml:space="preserve">, pointed </w:t>
      </w:r>
      <w:r w:rsidR="006E3D76">
        <w:rPr>
          <w:rFonts w:ascii="Times New Roman" w:hAnsi="Times New Roman" w:cs="Times New Roman"/>
          <w:sz w:val="24"/>
          <w:szCs w:val="24"/>
        </w:rPr>
        <w:t>indisputably to a father who displayed an intention to provide, consider and include his son the applicant</w:t>
      </w:r>
      <w:r w:rsidR="00B37D5F">
        <w:rPr>
          <w:rFonts w:ascii="Times New Roman" w:hAnsi="Times New Roman" w:cs="Times New Roman"/>
          <w:sz w:val="24"/>
          <w:szCs w:val="24"/>
        </w:rPr>
        <w:t>,</w:t>
      </w:r>
      <w:r w:rsidR="006E3D76">
        <w:rPr>
          <w:rFonts w:ascii="Times New Roman" w:hAnsi="Times New Roman" w:cs="Times New Roman"/>
          <w:sz w:val="24"/>
          <w:szCs w:val="24"/>
        </w:rPr>
        <w:t xml:space="preserve"> as a beneficiary of th</w:t>
      </w:r>
      <w:r w:rsidR="00B37D5F">
        <w:rPr>
          <w:rFonts w:ascii="Times New Roman" w:hAnsi="Times New Roman" w:cs="Times New Roman"/>
          <w:sz w:val="24"/>
          <w:szCs w:val="24"/>
        </w:rPr>
        <w:t xml:space="preserve">at </w:t>
      </w:r>
      <w:r w:rsidR="006E3D76">
        <w:rPr>
          <w:rFonts w:ascii="Times New Roman" w:hAnsi="Times New Roman" w:cs="Times New Roman"/>
          <w:sz w:val="24"/>
          <w:szCs w:val="24"/>
        </w:rPr>
        <w:t>father`s legacy.</w:t>
      </w:r>
    </w:p>
    <w:p w14:paraId="7CA8B160" w14:textId="3F817E5C" w:rsidR="00B37D5F" w:rsidRDefault="006E3D76" w:rsidP="0070609A">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001926EA">
        <w:rPr>
          <w:rFonts w:ascii="Times New Roman" w:hAnsi="Times New Roman" w:cs="Times New Roman"/>
          <w:sz w:val="24"/>
          <w:szCs w:val="24"/>
        </w:rPr>
        <w:t>4</w:t>
      </w:r>
      <w:r w:rsidR="00B37D5F">
        <w:rPr>
          <w:rFonts w:ascii="Times New Roman" w:hAnsi="Times New Roman" w:cs="Times New Roman"/>
          <w:sz w:val="24"/>
          <w:szCs w:val="24"/>
        </w:rPr>
        <w:t>9</w:t>
      </w:r>
      <w:r>
        <w:rPr>
          <w:rFonts w:ascii="Times New Roman" w:hAnsi="Times New Roman" w:cs="Times New Roman"/>
          <w:sz w:val="24"/>
          <w:szCs w:val="24"/>
        </w:rPr>
        <w:t xml:space="preserve">] </w:t>
      </w:r>
      <w:r w:rsidR="009D5765">
        <w:rPr>
          <w:rFonts w:ascii="Times New Roman" w:hAnsi="Times New Roman" w:cs="Times New Roman"/>
          <w:sz w:val="24"/>
          <w:szCs w:val="24"/>
        </w:rPr>
        <w:t xml:space="preserve">I must state that </w:t>
      </w:r>
      <w:r w:rsidR="009D15B0">
        <w:rPr>
          <w:rFonts w:ascii="Times New Roman" w:hAnsi="Times New Roman" w:cs="Times New Roman"/>
          <w:sz w:val="24"/>
          <w:szCs w:val="24"/>
        </w:rPr>
        <w:t>al</w:t>
      </w:r>
      <w:r w:rsidR="00716F50">
        <w:rPr>
          <w:rFonts w:ascii="Times New Roman" w:hAnsi="Times New Roman" w:cs="Times New Roman"/>
          <w:sz w:val="24"/>
          <w:szCs w:val="24"/>
        </w:rPr>
        <w:t xml:space="preserve">though </w:t>
      </w:r>
      <w:r>
        <w:rPr>
          <w:rFonts w:ascii="Times New Roman" w:hAnsi="Times New Roman" w:cs="Times New Roman"/>
          <w:sz w:val="24"/>
          <w:szCs w:val="24"/>
        </w:rPr>
        <w:t xml:space="preserve">Mr. </w:t>
      </w:r>
      <w:r w:rsidRPr="006E3D76">
        <w:rPr>
          <w:rFonts w:ascii="Times New Roman" w:hAnsi="Times New Roman" w:cs="Times New Roman"/>
          <w:i/>
          <w:iCs/>
          <w:sz w:val="24"/>
          <w:szCs w:val="24"/>
        </w:rPr>
        <w:t>Kachambwa</w:t>
      </w:r>
      <w:r>
        <w:rPr>
          <w:rFonts w:ascii="Times New Roman" w:hAnsi="Times New Roman" w:cs="Times New Roman"/>
          <w:sz w:val="24"/>
          <w:szCs w:val="24"/>
        </w:rPr>
        <w:t>, agreed with the contextual approach</w:t>
      </w:r>
      <w:r w:rsidR="009D15B0">
        <w:rPr>
          <w:rFonts w:ascii="Times New Roman" w:hAnsi="Times New Roman" w:cs="Times New Roman"/>
          <w:sz w:val="24"/>
          <w:szCs w:val="24"/>
        </w:rPr>
        <w:t>,</w:t>
      </w:r>
      <w:r>
        <w:rPr>
          <w:rFonts w:ascii="Times New Roman" w:hAnsi="Times New Roman" w:cs="Times New Roman"/>
          <w:sz w:val="24"/>
          <w:szCs w:val="24"/>
        </w:rPr>
        <w:t xml:space="preserve"> </w:t>
      </w:r>
      <w:r w:rsidR="00716F50">
        <w:rPr>
          <w:rFonts w:ascii="Times New Roman" w:hAnsi="Times New Roman" w:cs="Times New Roman"/>
          <w:sz w:val="24"/>
          <w:szCs w:val="24"/>
        </w:rPr>
        <w:t>he did so only</w:t>
      </w:r>
      <w:r>
        <w:rPr>
          <w:rFonts w:ascii="Times New Roman" w:hAnsi="Times New Roman" w:cs="Times New Roman"/>
          <w:sz w:val="24"/>
          <w:szCs w:val="24"/>
        </w:rPr>
        <w:t xml:space="preserve"> just. </w:t>
      </w:r>
      <w:r w:rsidR="00716F50">
        <w:rPr>
          <w:rFonts w:ascii="Times New Roman" w:hAnsi="Times New Roman" w:cs="Times New Roman"/>
          <w:sz w:val="24"/>
          <w:szCs w:val="24"/>
        </w:rPr>
        <w:t>Because h</w:t>
      </w:r>
      <w:r>
        <w:rPr>
          <w:rFonts w:ascii="Times New Roman" w:hAnsi="Times New Roman" w:cs="Times New Roman"/>
          <w:sz w:val="24"/>
          <w:szCs w:val="24"/>
        </w:rPr>
        <w:t>e effectively contradicted th</w:t>
      </w:r>
      <w:r w:rsidR="00716F50">
        <w:rPr>
          <w:rFonts w:ascii="Times New Roman" w:hAnsi="Times New Roman" w:cs="Times New Roman"/>
          <w:sz w:val="24"/>
          <w:szCs w:val="24"/>
        </w:rPr>
        <w:t xml:space="preserve">at </w:t>
      </w:r>
      <w:r>
        <w:rPr>
          <w:rFonts w:ascii="Times New Roman" w:hAnsi="Times New Roman" w:cs="Times New Roman"/>
          <w:sz w:val="24"/>
          <w:szCs w:val="24"/>
        </w:rPr>
        <w:t xml:space="preserve">approach </w:t>
      </w:r>
      <w:r w:rsidR="001926EA">
        <w:rPr>
          <w:rFonts w:ascii="Times New Roman" w:hAnsi="Times New Roman" w:cs="Times New Roman"/>
          <w:sz w:val="24"/>
          <w:szCs w:val="24"/>
        </w:rPr>
        <w:t xml:space="preserve">in his next breath. He </w:t>
      </w:r>
      <w:r w:rsidR="009D5765">
        <w:rPr>
          <w:rFonts w:ascii="Times New Roman" w:hAnsi="Times New Roman" w:cs="Times New Roman"/>
          <w:sz w:val="24"/>
          <w:szCs w:val="24"/>
        </w:rPr>
        <w:t xml:space="preserve">gravitated toward the </w:t>
      </w:r>
      <w:r w:rsidR="001926EA">
        <w:rPr>
          <w:rFonts w:ascii="Times New Roman" w:hAnsi="Times New Roman" w:cs="Times New Roman"/>
          <w:sz w:val="24"/>
          <w:szCs w:val="24"/>
        </w:rPr>
        <w:t xml:space="preserve">approach </w:t>
      </w:r>
      <w:r>
        <w:rPr>
          <w:rFonts w:ascii="Times New Roman" w:hAnsi="Times New Roman" w:cs="Times New Roman"/>
          <w:sz w:val="24"/>
          <w:szCs w:val="24"/>
        </w:rPr>
        <w:t xml:space="preserve">taken in </w:t>
      </w:r>
      <w:r w:rsidRPr="006E3D76">
        <w:rPr>
          <w:rFonts w:ascii="Times New Roman" w:hAnsi="Times New Roman" w:cs="Times New Roman"/>
          <w:i/>
          <w:iCs/>
          <w:sz w:val="24"/>
          <w:szCs w:val="24"/>
        </w:rPr>
        <w:t>Moosa</w:t>
      </w:r>
      <w:r w:rsidRPr="00D637BF">
        <w:rPr>
          <w:rFonts w:ascii="Times New Roman" w:hAnsi="Times New Roman" w:cs="Times New Roman"/>
          <w:i/>
          <w:iCs/>
          <w:color w:val="000000"/>
          <w:sz w:val="24"/>
          <w:szCs w:val="24"/>
        </w:rPr>
        <w:t xml:space="preserve"> v Jhavery.</w:t>
      </w:r>
      <w:r>
        <w:rPr>
          <w:rFonts w:ascii="Times New Roman" w:hAnsi="Times New Roman" w:cs="Times New Roman"/>
          <w:i/>
          <w:iCs/>
          <w:color w:val="000000"/>
          <w:sz w:val="24"/>
          <w:szCs w:val="24"/>
        </w:rPr>
        <w:t xml:space="preserve"> </w:t>
      </w:r>
      <w:r w:rsidR="00AC0248">
        <w:rPr>
          <w:rFonts w:ascii="Times New Roman" w:hAnsi="Times New Roman" w:cs="Times New Roman"/>
          <w:color w:val="000000"/>
          <w:sz w:val="24"/>
          <w:szCs w:val="24"/>
        </w:rPr>
        <w:t>My understanding of his argument is that t</w:t>
      </w:r>
      <w:r w:rsidRPr="006E3D76">
        <w:rPr>
          <w:rFonts w:ascii="Times New Roman" w:hAnsi="Times New Roman" w:cs="Times New Roman"/>
          <w:color w:val="000000"/>
          <w:sz w:val="24"/>
          <w:szCs w:val="24"/>
        </w:rPr>
        <w:t xml:space="preserve">he </w:t>
      </w:r>
      <w:r w:rsidRPr="006E3D76">
        <w:rPr>
          <w:rFonts w:ascii="Times New Roman" w:hAnsi="Times New Roman" w:cs="Times New Roman"/>
          <w:color w:val="000000"/>
          <w:sz w:val="24"/>
          <w:szCs w:val="24"/>
        </w:rPr>
        <w:lastRenderedPageBreak/>
        <w:t xml:space="preserve">interpretation had </w:t>
      </w:r>
      <w:r w:rsidR="001926EA">
        <w:rPr>
          <w:rFonts w:ascii="Times New Roman" w:hAnsi="Times New Roman" w:cs="Times New Roman"/>
          <w:color w:val="000000"/>
          <w:sz w:val="24"/>
          <w:szCs w:val="24"/>
        </w:rPr>
        <w:t xml:space="preserve">to take the form of </w:t>
      </w:r>
      <w:r w:rsidRPr="006E3D76">
        <w:rPr>
          <w:rFonts w:ascii="Times New Roman" w:hAnsi="Times New Roman" w:cs="Times New Roman"/>
          <w:color w:val="000000"/>
          <w:sz w:val="24"/>
          <w:szCs w:val="24"/>
        </w:rPr>
        <w:t>a still shot taken “</w:t>
      </w:r>
      <w:r w:rsidRPr="006E3D76">
        <w:rPr>
          <w:rFonts w:ascii="Times New Roman" w:hAnsi="Times New Roman" w:cs="Times New Roman"/>
          <w:i/>
          <w:iCs/>
          <w:color w:val="000000"/>
          <w:sz w:val="24"/>
          <w:szCs w:val="24"/>
        </w:rPr>
        <w:t xml:space="preserve">at the time of its </w:t>
      </w:r>
      <w:r w:rsidRPr="00AC0248">
        <w:rPr>
          <w:rFonts w:ascii="Times New Roman" w:hAnsi="Times New Roman" w:cs="Times New Roman"/>
          <w:color w:val="000000"/>
          <w:sz w:val="24"/>
          <w:szCs w:val="24"/>
        </w:rPr>
        <w:t>[</w:t>
      </w:r>
      <w:r w:rsidR="00AC0248">
        <w:rPr>
          <w:rFonts w:ascii="Times New Roman" w:hAnsi="Times New Roman" w:cs="Times New Roman"/>
          <w:color w:val="000000"/>
          <w:sz w:val="24"/>
          <w:szCs w:val="24"/>
        </w:rPr>
        <w:t xml:space="preserve">the </w:t>
      </w:r>
      <w:r w:rsidRPr="00AC0248">
        <w:rPr>
          <w:rFonts w:ascii="Times New Roman" w:hAnsi="Times New Roman" w:cs="Times New Roman"/>
          <w:color w:val="000000"/>
          <w:sz w:val="24"/>
          <w:szCs w:val="24"/>
        </w:rPr>
        <w:t>trust]</w:t>
      </w:r>
      <w:r w:rsidRPr="006E3D76">
        <w:rPr>
          <w:rFonts w:ascii="Times New Roman" w:hAnsi="Times New Roman" w:cs="Times New Roman"/>
          <w:i/>
          <w:iCs/>
          <w:color w:val="000000"/>
          <w:sz w:val="24"/>
          <w:szCs w:val="24"/>
        </w:rPr>
        <w:t xml:space="preserve"> execution</w:t>
      </w:r>
      <w:r w:rsidRPr="006E3D76">
        <w:rPr>
          <w:rFonts w:ascii="Times New Roman" w:hAnsi="Times New Roman" w:cs="Times New Roman"/>
          <w:color w:val="000000"/>
          <w:sz w:val="24"/>
          <w:szCs w:val="24"/>
        </w:rPr>
        <w:t>”</w:t>
      </w:r>
      <w:r w:rsidR="001926EA">
        <w:rPr>
          <w:rFonts w:ascii="Times New Roman" w:hAnsi="Times New Roman" w:cs="Times New Roman"/>
          <w:color w:val="000000"/>
          <w:sz w:val="24"/>
          <w:szCs w:val="24"/>
        </w:rPr>
        <w:t>,</w:t>
      </w:r>
      <w:r w:rsidRPr="006E3D76">
        <w:rPr>
          <w:rFonts w:ascii="Times New Roman" w:hAnsi="Times New Roman" w:cs="Times New Roman"/>
          <w:color w:val="000000"/>
          <w:sz w:val="24"/>
          <w:szCs w:val="24"/>
        </w:rPr>
        <w:t xml:space="preserve"> rather a motion picture that included subsequent developments. </w:t>
      </w:r>
    </w:p>
    <w:p w14:paraId="79E4A59C" w14:textId="4E4DE928" w:rsidR="009619D7" w:rsidRDefault="00B37D5F"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r w:rsidR="006E3D76">
        <w:rPr>
          <w:rFonts w:ascii="Times New Roman" w:hAnsi="Times New Roman" w:cs="Times New Roman"/>
          <w:color w:val="000000"/>
          <w:sz w:val="24"/>
          <w:szCs w:val="24"/>
        </w:rPr>
        <w:t xml:space="preserve">On that basis, </w:t>
      </w:r>
      <w:r w:rsidR="0009559A">
        <w:rPr>
          <w:rFonts w:ascii="Times New Roman" w:hAnsi="Times New Roman" w:cs="Times New Roman"/>
          <w:color w:val="000000"/>
          <w:sz w:val="24"/>
          <w:szCs w:val="24"/>
        </w:rPr>
        <w:t>counsel urged the court to consider the fact that a</w:t>
      </w:r>
      <w:r w:rsidR="006E3D76">
        <w:rPr>
          <w:rFonts w:ascii="Times New Roman" w:hAnsi="Times New Roman" w:cs="Times New Roman"/>
          <w:color w:val="000000"/>
          <w:sz w:val="24"/>
          <w:szCs w:val="24"/>
        </w:rPr>
        <w:t>pplicant</w:t>
      </w:r>
      <w:r w:rsidR="0009559A">
        <w:rPr>
          <w:rFonts w:ascii="Times New Roman" w:hAnsi="Times New Roman" w:cs="Times New Roman"/>
          <w:color w:val="000000"/>
          <w:sz w:val="24"/>
          <w:szCs w:val="24"/>
        </w:rPr>
        <w:t xml:space="preserve"> </w:t>
      </w:r>
      <w:r w:rsidR="0009559A" w:rsidRPr="0009559A">
        <w:rPr>
          <w:rFonts w:ascii="Times New Roman" w:hAnsi="Times New Roman" w:cs="Times New Roman"/>
          <w:color w:val="000000"/>
          <w:sz w:val="24"/>
          <w:szCs w:val="24"/>
        </w:rPr>
        <w:t>was specifically excluded from the list of beneficiaries at inception of the first respondent trust</w:t>
      </w:r>
      <w:r w:rsidR="00662D2B">
        <w:rPr>
          <w:rFonts w:ascii="Times New Roman" w:hAnsi="Times New Roman" w:cs="Times New Roman"/>
          <w:color w:val="000000"/>
          <w:sz w:val="24"/>
          <w:szCs w:val="24"/>
        </w:rPr>
        <w:t xml:space="preserve"> on 9 August 1989</w:t>
      </w:r>
      <w:r w:rsidR="0009559A" w:rsidRPr="0009559A">
        <w:rPr>
          <w:rFonts w:ascii="Times New Roman" w:hAnsi="Times New Roman" w:cs="Times New Roman"/>
          <w:color w:val="000000"/>
          <w:sz w:val="24"/>
          <w:szCs w:val="24"/>
        </w:rPr>
        <w:t xml:space="preserve">. As such, the subsequent evidence presented by applicant in the form of the will, the letter and minutes of </w:t>
      </w:r>
      <w:r w:rsidR="0009559A">
        <w:rPr>
          <w:rFonts w:ascii="Times New Roman" w:hAnsi="Times New Roman" w:cs="Times New Roman"/>
          <w:color w:val="000000"/>
          <w:sz w:val="24"/>
          <w:szCs w:val="24"/>
        </w:rPr>
        <w:t>15</w:t>
      </w:r>
      <w:r w:rsidR="0009559A" w:rsidRPr="0009559A">
        <w:rPr>
          <w:rFonts w:ascii="Times New Roman" w:hAnsi="Times New Roman" w:cs="Times New Roman"/>
          <w:color w:val="000000"/>
          <w:sz w:val="24"/>
          <w:szCs w:val="24"/>
        </w:rPr>
        <w:t xml:space="preserve"> August </w:t>
      </w:r>
      <w:r w:rsidR="0009559A">
        <w:rPr>
          <w:rFonts w:ascii="Times New Roman" w:hAnsi="Times New Roman" w:cs="Times New Roman"/>
          <w:color w:val="000000"/>
          <w:sz w:val="24"/>
          <w:szCs w:val="24"/>
        </w:rPr>
        <w:t>2019, ought not override original provision in the trust deed.</w:t>
      </w:r>
    </w:p>
    <w:p w14:paraId="5306971E" w14:textId="13DDD63D" w:rsidR="00B37D5F" w:rsidRDefault="009619D7"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37D5F">
        <w:rPr>
          <w:rFonts w:ascii="Times New Roman" w:hAnsi="Times New Roman" w:cs="Times New Roman"/>
          <w:color w:val="000000"/>
          <w:sz w:val="24"/>
          <w:szCs w:val="24"/>
        </w:rPr>
        <w:t>51</w:t>
      </w:r>
      <w:r>
        <w:rPr>
          <w:rFonts w:ascii="Times New Roman" w:hAnsi="Times New Roman" w:cs="Times New Roman"/>
          <w:color w:val="000000"/>
          <w:sz w:val="24"/>
          <w:szCs w:val="24"/>
        </w:rPr>
        <w:t>]</w:t>
      </w:r>
      <w:r w:rsidR="0009559A">
        <w:rPr>
          <w:rFonts w:ascii="Times New Roman" w:hAnsi="Times New Roman" w:cs="Times New Roman"/>
          <w:color w:val="000000"/>
          <w:sz w:val="24"/>
          <w:szCs w:val="24"/>
        </w:rPr>
        <w:t xml:space="preserve"> On “text” </w:t>
      </w:r>
      <w:r w:rsidRPr="00D7450A">
        <w:rPr>
          <w:rFonts w:ascii="Times New Roman" w:hAnsi="Times New Roman" w:cs="Times New Roman"/>
          <w:i/>
          <w:iCs/>
          <w:color w:val="000000"/>
          <w:sz w:val="24"/>
          <w:szCs w:val="24"/>
        </w:rPr>
        <w:t>Donson v Hoffman</w:t>
      </w:r>
      <w:r w:rsidR="0009559A">
        <w:rPr>
          <w:rFonts w:ascii="Times New Roman" w:hAnsi="Times New Roman" w:cs="Times New Roman"/>
          <w:color w:val="000000"/>
          <w:sz w:val="24"/>
          <w:szCs w:val="24"/>
        </w:rPr>
        <w:t xml:space="preserve"> it was held that </w:t>
      </w:r>
      <w:r w:rsidR="00B11B37">
        <w:rPr>
          <w:rFonts w:ascii="Times New Roman" w:hAnsi="Times New Roman" w:cs="Times New Roman"/>
          <w:color w:val="000000"/>
          <w:sz w:val="24"/>
          <w:szCs w:val="24"/>
        </w:rPr>
        <w:t>“</w:t>
      </w:r>
      <w:r>
        <w:rPr>
          <w:rFonts w:ascii="Times New Roman" w:hAnsi="Times New Roman" w:cs="Times New Roman"/>
          <w:color w:val="000000"/>
          <w:sz w:val="24"/>
          <w:szCs w:val="24"/>
        </w:rPr>
        <w:t xml:space="preserve">every will </w:t>
      </w:r>
      <w:r w:rsidR="00B11B37">
        <w:rPr>
          <w:rFonts w:ascii="Times New Roman" w:hAnsi="Times New Roman" w:cs="Times New Roman"/>
          <w:color w:val="000000"/>
          <w:sz w:val="24"/>
          <w:szCs w:val="24"/>
        </w:rPr>
        <w:t xml:space="preserve">must be its own </w:t>
      </w:r>
      <w:r w:rsidR="00D7450A">
        <w:rPr>
          <w:rFonts w:ascii="Times New Roman" w:hAnsi="Times New Roman" w:cs="Times New Roman"/>
          <w:color w:val="000000"/>
          <w:sz w:val="24"/>
          <w:szCs w:val="24"/>
        </w:rPr>
        <w:t xml:space="preserve">dictionary”. </w:t>
      </w:r>
      <w:r w:rsidR="0009559A">
        <w:rPr>
          <w:rFonts w:ascii="Times New Roman" w:hAnsi="Times New Roman" w:cs="Times New Roman"/>
          <w:color w:val="000000"/>
          <w:sz w:val="24"/>
          <w:szCs w:val="24"/>
        </w:rPr>
        <w:t>Herein, the “dictionary” must be the trust deed</w:t>
      </w:r>
      <w:r w:rsidR="00240D85">
        <w:rPr>
          <w:rFonts w:ascii="Times New Roman" w:hAnsi="Times New Roman" w:cs="Times New Roman"/>
          <w:color w:val="000000"/>
          <w:sz w:val="24"/>
          <w:szCs w:val="24"/>
        </w:rPr>
        <w:t xml:space="preserve"> and one must commence with it</w:t>
      </w:r>
      <w:r w:rsidR="0009559A">
        <w:rPr>
          <w:rFonts w:ascii="Times New Roman" w:hAnsi="Times New Roman" w:cs="Times New Roman"/>
          <w:color w:val="000000"/>
          <w:sz w:val="24"/>
          <w:szCs w:val="24"/>
        </w:rPr>
        <w:t xml:space="preserve">. </w:t>
      </w:r>
      <w:r w:rsidR="00716F50">
        <w:rPr>
          <w:rFonts w:ascii="Times New Roman" w:hAnsi="Times New Roman" w:cs="Times New Roman"/>
          <w:color w:val="000000"/>
          <w:sz w:val="24"/>
          <w:szCs w:val="24"/>
        </w:rPr>
        <w:t xml:space="preserve">And the golden rule of interpretation must be applied </w:t>
      </w:r>
      <w:r w:rsidR="00240D85">
        <w:rPr>
          <w:rFonts w:ascii="Times New Roman" w:hAnsi="Times New Roman" w:cs="Times New Roman"/>
          <w:color w:val="000000"/>
          <w:sz w:val="24"/>
          <w:szCs w:val="24"/>
        </w:rPr>
        <w:t>in construing this document</w:t>
      </w:r>
      <w:r w:rsidR="00716F50">
        <w:rPr>
          <w:rFonts w:ascii="Times New Roman" w:hAnsi="Times New Roman" w:cs="Times New Roman"/>
          <w:color w:val="000000"/>
          <w:sz w:val="24"/>
          <w:szCs w:val="24"/>
        </w:rPr>
        <w:t xml:space="preserve">. Is it couched in plain, unambiguous language whose grammatical meaning does not lead to absurdity? Or obscure and subvert the intention of the settlor? </w:t>
      </w:r>
      <w:r w:rsidR="0009559A">
        <w:rPr>
          <w:rFonts w:ascii="Times New Roman" w:hAnsi="Times New Roman" w:cs="Times New Roman"/>
          <w:color w:val="000000"/>
          <w:sz w:val="24"/>
          <w:szCs w:val="24"/>
        </w:rPr>
        <w:t xml:space="preserve">This instrument </w:t>
      </w:r>
      <w:r w:rsidR="009D0226">
        <w:rPr>
          <w:rFonts w:ascii="Times New Roman" w:hAnsi="Times New Roman" w:cs="Times New Roman"/>
          <w:color w:val="000000"/>
          <w:sz w:val="24"/>
          <w:szCs w:val="24"/>
        </w:rPr>
        <w:t xml:space="preserve">may be described as </w:t>
      </w:r>
      <w:r w:rsidR="0009559A">
        <w:rPr>
          <w:rFonts w:ascii="Times New Roman" w:hAnsi="Times New Roman" w:cs="Times New Roman"/>
          <w:color w:val="000000"/>
          <w:sz w:val="24"/>
          <w:szCs w:val="24"/>
        </w:rPr>
        <w:t xml:space="preserve">of </w:t>
      </w:r>
      <w:r w:rsidR="009D0226">
        <w:rPr>
          <w:rFonts w:ascii="Times New Roman" w:hAnsi="Times New Roman" w:cs="Times New Roman"/>
          <w:color w:val="000000"/>
          <w:sz w:val="24"/>
          <w:szCs w:val="24"/>
        </w:rPr>
        <w:t>the type and standard commonly encountered in th</w:t>
      </w:r>
      <w:r w:rsidR="0009559A">
        <w:rPr>
          <w:rFonts w:ascii="Times New Roman" w:hAnsi="Times New Roman" w:cs="Times New Roman"/>
          <w:color w:val="000000"/>
          <w:sz w:val="24"/>
          <w:szCs w:val="24"/>
        </w:rPr>
        <w:t>is</w:t>
      </w:r>
      <w:r w:rsidR="009D0226">
        <w:rPr>
          <w:rFonts w:ascii="Times New Roman" w:hAnsi="Times New Roman" w:cs="Times New Roman"/>
          <w:color w:val="000000"/>
          <w:sz w:val="24"/>
          <w:szCs w:val="24"/>
        </w:rPr>
        <w:t xml:space="preserve"> jurisdiction. Its sets out the purpose</w:t>
      </w:r>
      <w:r w:rsidR="0009559A">
        <w:rPr>
          <w:rFonts w:ascii="Times New Roman" w:hAnsi="Times New Roman" w:cs="Times New Roman"/>
          <w:color w:val="000000"/>
          <w:sz w:val="24"/>
          <w:szCs w:val="24"/>
        </w:rPr>
        <w:t xml:space="preserve"> of first respondent trust and</w:t>
      </w:r>
      <w:r w:rsidR="009D0226">
        <w:rPr>
          <w:rFonts w:ascii="Times New Roman" w:hAnsi="Times New Roman" w:cs="Times New Roman"/>
          <w:color w:val="000000"/>
          <w:sz w:val="24"/>
          <w:szCs w:val="24"/>
        </w:rPr>
        <w:t xml:space="preserve"> deals with </w:t>
      </w:r>
      <w:r w:rsidR="00CE35A7">
        <w:rPr>
          <w:rFonts w:ascii="Times New Roman" w:hAnsi="Times New Roman" w:cs="Times New Roman"/>
          <w:color w:val="000000"/>
          <w:sz w:val="24"/>
          <w:szCs w:val="24"/>
        </w:rPr>
        <w:t>the appointment</w:t>
      </w:r>
      <w:r w:rsidR="009D0226">
        <w:rPr>
          <w:rFonts w:ascii="Times New Roman" w:hAnsi="Times New Roman" w:cs="Times New Roman"/>
          <w:color w:val="000000"/>
          <w:sz w:val="24"/>
          <w:szCs w:val="24"/>
        </w:rPr>
        <w:t>, retirement and replacement</w:t>
      </w:r>
      <w:r w:rsidR="00CE35A7">
        <w:rPr>
          <w:rFonts w:ascii="Times New Roman" w:hAnsi="Times New Roman" w:cs="Times New Roman"/>
          <w:color w:val="000000"/>
          <w:sz w:val="24"/>
          <w:szCs w:val="24"/>
        </w:rPr>
        <w:t xml:space="preserve"> of the trustees. It also outlines the duties, powers and privileges of the said trustees. </w:t>
      </w:r>
    </w:p>
    <w:p w14:paraId="40CD64B4" w14:textId="3DC2012F" w:rsidR="009D0226" w:rsidRDefault="00B37D5F"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w:t>
      </w:r>
      <w:r w:rsidR="00CE35A7">
        <w:rPr>
          <w:rFonts w:ascii="Times New Roman" w:hAnsi="Times New Roman" w:cs="Times New Roman"/>
          <w:color w:val="000000"/>
          <w:sz w:val="24"/>
          <w:szCs w:val="24"/>
        </w:rPr>
        <w:t>It</w:t>
      </w:r>
      <w:r w:rsidR="009D0226">
        <w:rPr>
          <w:rFonts w:ascii="Times New Roman" w:hAnsi="Times New Roman" w:cs="Times New Roman"/>
          <w:color w:val="000000"/>
          <w:sz w:val="24"/>
          <w:szCs w:val="24"/>
        </w:rPr>
        <w:t xml:space="preserve"> </w:t>
      </w:r>
      <w:r w:rsidR="00CE35A7">
        <w:rPr>
          <w:rFonts w:ascii="Times New Roman" w:hAnsi="Times New Roman" w:cs="Times New Roman"/>
          <w:color w:val="000000"/>
          <w:sz w:val="24"/>
          <w:szCs w:val="24"/>
        </w:rPr>
        <w:t>proceeds to provide</w:t>
      </w:r>
      <w:r w:rsidR="009D0226">
        <w:rPr>
          <w:rFonts w:ascii="Times New Roman" w:hAnsi="Times New Roman" w:cs="Times New Roman"/>
          <w:color w:val="000000"/>
          <w:sz w:val="24"/>
          <w:szCs w:val="24"/>
        </w:rPr>
        <w:t xml:space="preserve"> for matters incidental to administration of the trust. Typically, it then addresses how </w:t>
      </w:r>
      <w:r w:rsidR="00B11B37">
        <w:rPr>
          <w:rFonts w:ascii="Times New Roman" w:hAnsi="Times New Roman" w:cs="Times New Roman"/>
          <w:color w:val="000000"/>
          <w:sz w:val="24"/>
          <w:szCs w:val="24"/>
        </w:rPr>
        <w:t xml:space="preserve">the trust </w:t>
      </w:r>
      <w:r w:rsidR="009D0226">
        <w:rPr>
          <w:rFonts w:ascii="Times New Roman" w:hAnsi="Times New Roman" w:cs="Times New Roman"/>
          <w:color w:val="000000"/>
          <w:sz w:val="24"/>
          <w:szCs w:val="24"/>
        </w:rPr>
        <w:t xml:space="preserve">shall be wound up once the objects have been fulfilled or frustrated by </w:t>
      </w:r>
      <w:r w:rsidR="00B11B37">
        <w:rPr>
          <w:rFonts w:ascii="Times New Roman" w:hAnsi="Times New Roman" w:cs="Times New Roman"/>
          <w:color w:val="000000"/>
          <w:sz w:val="24"/>
          <w:szCs w:val="24"/>
        </w:rPr>
        <w:t>fate.</w:t>
      </w:r>
      <w:r w:rsidR="009D0226">
        <w:rPr>
          <w:rFonts w:ascii="Times New Roman" w:hAnsi="Times New Roman" w:cs="Times New Roman"/>
          <w:color w:val="000000"/>
          <w:sz w:val="24"/>
          <w:szCs w:val="24"/>
        </w:rPr>
        <w:t xml:space="preserve"> </w:t>
      </w:r>
      <w:r w:rsidR="00B11B37">
        <w:rPr>
          <w:rFonts w:ascii="Times New Roman" w:hAnsi="Times New Roman" w:cs="Times New Roman"/>
          <w:color w:val="000000"/>
          <w:sz w:val="24"/>
          <w:szCs w:val="24"/>
        </w:rPr>
        <w:t xml:space="preserve">In addition, the trust deed of course takes the moment to define who or what are the donation`s “beneficiaries”. And what their </w:t>
      </w:r>
      <w:r w:rsidR="009D0226">
        <w:rPr>
          <w:rFonts w:ascii="Times New Roman" w:hAnsi="Times New Roman" w:cs="Times New Roman"/>
          <w:color w:val="000000"/>
          <w:sz w:val="24"/>
          <w:szCs w:val="24"/>
        </w:rPr>
        <w:t>entitlement</w:t>
      </w:r>
      <w:r w:rsidR="00B11B37">
        <w:rPr>
          <w:rFonts w:ascii="Times New Roman" w:hAnsi="Times New Roman" w:cs="Times New Roman"/>
          <w:color w:val="000000"/>
          <w:sz w:val="24"/>
          <w:szCs w:val="24"/>
        </w:rPr>
        <w:t xml:space="preserve"> is</w:t>
      </w:r>
      <w:r w:rsidR="009D0226">
        <w:rPr>
          <w:rFonts w:ascii="Times New Roman" w:hAnsi="Times New Roman" w:cs="Times New Roman"/>
          <w:color w:val="000000"/>
          <w:sz w:val="24"/>
          <w:szCs w:val="24"/>
        </w:rPr>
        <w:t>.</w:t>
      </w:r>
    </w:p>
    <w:p w14:paraId="28895AFB" w14:textId="4EB457D7" w:rsidR="001C1B2E" w:rsidRDefault="001C1B2E" w:rsidP="0070609A">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B37D5F">
        <w:rPr>
          <w:rFonts w:ascii="Times New Roman" w:hAnsi="Times New Roman" w:cs="Times New Roman"/>
          <w:color w:val="000000"/>
          <w:sz w:val="24"/>
          <w:szCs w:val="24"/>
        </w:rPr>
        <w:t>53]</w:t>
      </w:r>
      <w:r>
        <w:rPr>
          <w:rFonts w:ascii="Times New Roman" w:hAnsi="Times New Roman" w:cs="Times New Roman"/>
          <w:color w:val="000000"/>
          <w:sz w:val="24"/>
          <w:szCs w:val="24"/>
        </w:rPr>
        <w:t xml:space="preserve"> Clause 5 </w:t>
      </w:r>
      <w:r w:rsidR="00B11B37">
        <w:rPr>
          <w:rFonts w:ascii="Times New Roman" w:hAnsi="Times New Roman" w:cs="Times New Roman"/>
          <w:color w:val="000000"/>
          <w:sz w:val="24"/>
          <w:szCs w:val="24"/>
        </w:rPr>
        <w:t xml:space="preserve">of the trust deed </w:t>
      </w:r>
      <w:r w:rsidRPr="001C1B2E">
        <w:rPr>
          <w:rFonts w:ascii="Times New Roman" w:hAnsi="Times New Roman" w:cs="Times New Roman"/>
          <w:color w:val="000000"/>
          <w:sz w:val="24"/>
          <w:szCs w:val="24"/>
        </w:rPr>
        <w:t>is the critical provision primarily providing for definition and identification of beneficiaries. Mr</w:t>
      </w:r>
      <w:r>
        <w:rPr>
          <w:rFonts w:ascii="Times New Roman" w:hAnsi="Times New Roman" w:cs="Times New Roman"/>
          <w:color w:val="000000"/>
          <w:sz w:val="24"/>
          <w:szCs w:val="24"/>
        </w:rPr>
        <w:t>.</w:t>
      </w:r>
      <w:r w:rsidRPr="001C1B2E">
        <w:rPr>
          <w:rFonts w:ascii="Times New Roman" w:hAnsi="Times New Roman" w:cs="Times New Roman"/>
          <w:i/>
          <w:iCs/>
          <w:color w:val="000000"/>
          <w:sz w:val="24"/>
          <w:szCs w:val="24"/>
        </w:rPr>
        <w:t xml:space="preserve"> Mpofu</w:t>
      </w:r>
      <w:r w:rsidRPr="001C1B2E">
        <w:rPr>
          <w:rFonts w:ascii="Times New Roman" w:hAnsi="Times New Roman" w:cs="Times New Roman"/>
          <w:color w:val="000000"/>
          <w:sz w:val="24"/>
          <w:szCs w:val="24"/>
        </w:rPr>
        <w:t xml:space="preserve"> argued that it defined beneficiaries specifically and generally. In its own wording the trust deed stated in clause 5 that “…</w:t>
      </w:r>
      <w:r w:rsidRPr="001C1B2E">
        <w:rPr>
          <w:rFonts w:ascii="Times New Roman" w:hAnsi="Times New Roman" w:cs="Times New Roman"/>
          <w:i/>
          <w:iCs/>
          <w:sz w:val="24"/>
          <w:szCs w:val="24"/>
        </w:rPr>
        <w:t>the term “the beneficiaries” shall include all or any of the following persons or classes of persons</w:t>
      </w:r>
      <w:r w:rsidRPr="001C1B2E">
        <w:rPr>
          <w:rFonts w:ascii="Times New Roman" w:hAnsi="Times New Roman" w:cs="Times New Roman"/>
          <w:sz w:val="24"/>
          <w:szCs w:val="24"/>
        </w:rPr>
        <w:t>…”</w:t>
      </w:r>
      <w:r>
        <w:rPr>
          <w:rFonts w:ascii="Times New Roman" w:hAnsi="Times New Roman" w:cs="Times New Roman"/>
          <w:sz w:val="24"/>
          <w:szCs w:val="24"/>
        </w:rPr>
        <w:t>. The qualifier “all or any” must then be applied to the succeeding subclauses.</w:t>
      </w:r>
    </w:p>
    <w:p w14:paraId="3A9F622A" w14:textId="39AE3DA0" w:rsidR="001C1B2E" w:rsidRDefault="001C1B2E"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7D5F">
        <w:rPr>
          <w:rFonts w:ascii="Times New Roman" w:hAnsi="Times New Roman" w:cs="Times New Roman"/>
          <w:sz w:val="24"/>
          <w:szCs w:val="24"/>
        </w:rPr>
        <w:t>54</w:t>
      </w:r>
      <w:r>
        <w:rPr>
          <w:rFonts w:ascii="Times New Roman" w:hAnsi="Times New Roman" w:cs="Times New Roman"/>
          <w:sz w:val="24"/>
          <w:szCs w:val="24"/>
        </w:rPr>
        <w:t xml:space="preserve">] Clause 5 (a) lists Mr.and Mrs Bredenkamp. There is no question of there being </w:t>
      </w:r>
      <w:r w:rsidR="009F4CEA">
        <w:rPr>
          <w:rFonts w:ascii="Times New Roman" w:hAnsi="Times New Roman" w:cs="Times New Roman"/>
          <w:sz w:val="24"/>
          <w:szCs w:val="24"/>
        </w:rPr>
        <w:t xml:space="preserve">no </w:t>
      </w:r>
      <w:r>
        <w:rPr>
          <w:rFonts w:ascii="Times New Roman" w:hAnsi="Times New Roman" w:cs="Times New Roman"/>
          <w:sz w:val="24"/>
          <w:szCs w:val="24"/>
        </w:rPr>
        <w:t xml:space="preserve">other </w:t>
      </w:r>
      <w:r w:rsidR="00B11B37">
        <w:rPr>
          <w:rFonts w:ascii="Times New Roman" w:hAnsi="Times New Roman" w:cs="Times New Roman"/>
          <w:sz w:val="24"/>
          <w:szCs w:val="24"/>
        </w:rPr>
        <w:t>“</w:t>
      </w:r>
      <w:r>
        <w:rPr>
          <w:rFonts w:ascii="Times New Roman" w:hAnsi="Times New Roman" w:cs="Times New Roman"/>
          <w:sz w:val="24"/>
          <w:szCs w:val="24"/>
        </w:rPr>
        <w:t>persons o</w:t>
      </w:r>
      <w:r w:rsidR="009F4CEA">
        <w:rPr>
          <w:rFonts w:ascii="Times New Roman" w:hAnsi="Times New Roman" w:cs="Times New Roman"/>
          <w:sz w:val="24"/>
          <w:szCs w:val="24"/>
        </w:rPr>
        <w:t>r</w:t>
      </w:r>
      <w:r>
        <w:rPr>
          <w:rFonts w:ascii="Times New Roman" w:hAnsi="Times New Roman" w:cs="Times New Roman"/>
          <w:sz w:val="24"/>
          <w:szCs w:val="24"/>
        </w:rPr>
        <w:t xml:space="preserve"> class of persons</w:t>
      </w:r>
      <w:r w:rsidR="00B11B37">
        <w:rPr>
          <w:rFonts w:ascii="Times New Roman" w:hAnsi="Times New Roman" w:cs="Times New Roman"/>
          <w:sz w:val="24"/>
          <w:szCs w:val="24"/>
        </w:rPr>
        <w:t>”</w:t>
      </w:r>
      <w:r>
        <w:rPr>
          <w:rFonts w:ascii="Times New Roman" w:hAnsi="Times New Roman" w:cs="Times New Roman"/>
          <w:sz w:val="24"/>
          <w:szCs w:val="24"/>
        </w:rPr>
        <w:t xml:space="preserve"> falling under this clause. </w:t>
      </w:r>
      <w:r w:rsidR="005A054A">
        <w:rPr>
          <w:rFonts w:ascii="Times New Roman" w:hAnsi="Times New Roman" w:cs="Times New Roman"/>
          <w:sz w:val="24"/>
          <w:szCs w:val="24"/>
        </w:rPr>
        <w:t>I may skip the contentious clause 5 (b) dealing with children</w:t>
      </w:r>
      <w:r w:rsidR="009F4CEA">
        <w:rPr>
          <w:rFonts w:ascii="Times New Roman" w:hAnsi="Times New Roman" w:cs="Times New Roman"/>
          <w:sz w:val="24"/>
          <w:szCs w:val="24"/>
        </w:rPr>
        <w:t>,</w:t>
      </w:r>
      <w:r w:rsidR="005A054A">
        <w:rPr>
          <w:rFonts w:ascii="Times New Roman" w:hAnsi="Times New Roman" w:cs="Times New Roman"/>
          <w:sz w:val="24"/>
          <w:szCs w:val="24"/>
        </w:rPr>
        <w:t xml:space="preserve"> </w:t>
      </w:r>
      <w:r w:rsidR="00B11B37">
        <w:rPr>
          <w:rFonts w:ascii="Times New Roman" w:hAnsi="Times New Roman" w:cs="Times New Roman"/>
          <w:sz w:val="24"/>
          <w:szCs w:val="24"/>
        </w:rPr>
        <w:t>in order to quickly d</w:t>
      </w:r>
      <w:r w:rsidR="005A054A">
        <w:rPr>
          <w:rFonts w:ascii="Times New Roman" w:hAnsi="Times New Roman" w:cs="Times New Roman"/>
          <w:sz w:val="24"/>
          <w:szCs w:val="24"/>
        </w:rPr>
        <w:t>ispose of clauses 5 (</w:t>
      </w:r>
      <w:r w:rsidR="007221F6">
        <w:rPr>
          <w:rFonts w:ascii="Times New Roman" w:hAnsi="Times New Roman" w:cs="Times New Roman"/>
          <w:sz w:val="24"/>
          <w:szCs w:val="24"/>
        </w:rPr>
        <w:t>c)</w:t>
      </w:r>
      <w:r w:rsidR="005A054A">
        <w:rPr>
          <w:rFonts w:ascii="Times New Roman" w:hAnsi="Times New Roman" w:cs="Times New Roman"/>
          <w:sz w:val="24"/>
          <w:szCs w:val="24"/>
        </w:rPr>
        <w:t xml:space="preserve"> and (d</w:t>
      </w:r>
      <w:r w:rsidR="00D64B62">
        <w:rPr>
          <w:rFonts w:ascii="Times New Roman" w:hAnsi="Times New Roman" w:cs="Times New Roman"/>
          <w:sz w:val="24"/>
          <w:szCs w:val="24"/>
        </w:rPr>
        <w:t>). These</w:t>
      </w:r>
      <w:r w:rsidR="00B11B37">
        <w:rPr>
          <w:rFonts w:ascii="Times New Roman" w:hAnsi="Times New Roman" w:cs="Times New Roman"/>
          <w:sz w:val="24"/>
          <w:szCs w:val="24"/>
        </w:rPr>
        <w:t xml:space="preserve"> two clauses quite </w:t>
      </w:r>
      <w:r w:rsidR="005A054A">
        <w:rPr>
          <w:rFonts w:ascii="Times New Roman" w:hAnsi="Times New Roman" w:cs="Times New Roman"/>
          <w:sz w:val="24"/>
          <w:szCs w:val="24"/>
        </w:rPr>
        <w:t>clearly carry a formula for identifying “persons or classes of persons”. Returning to clause 5 (b), it is necessary to reproduce it once again; -</w:t>
      </w:r>
    </w:p>
    <w:p w14:paraId="3E5D11FD" w14:textId="629666DE" w:rsidR="005A054A" w:rsidRPr="005A054A" w:rsidRDefault="005A054A" w:rsidP="005A054A">
      <w:pPr>
        <w:pStyle w:val="ListParagraph"/>
        <w:numPr>
          <w:ilvl w:val="0"/>
          <w:numId w:val="5"/>
        </w:numPr>
        <w:spacing w:line="360" w:lineRule="auto"/>
        <w:jc w:val="both"/>
        <w:rPr>
          <w:rFonts w:ascii="Times New Roman" w:hAnsi="Times New Roman" w:cs="Times New Roman"/>
          <w:sz w:val="24"/>
          <w:szCs w:val="24"/>
        </w:rPr>
      </w:pPr>
      <w:r w:rsidRPr="005A054A">
        <w:rPr>
          <w:rFonts w:ascii="Times New Roman" w:hAnsi="Times New Roman" w:cs="Times New Roman"/>
          <w:sz w:val="24"/>
          <w:szCs w:val="24"/>
        </w:rPr>
        <w:t xml:space="preserve">the children of the said </w:t>
      </w:r>
      <w:r w:rsidRPr="005A054A">
        <w:rPr>
          <w:rFonts w:ascii="Times New Roman" w:hAnsi="Times New Roman" w:cs="Times New Roman"/>
          <w:sz w:val="20"/>
          <w:szCs w:val="20"/>
        </w:rPr>
        <w:t>JOHN ARNOLD BREDENKAMP;</w:t>
      </w:r>
    </w:p>
    <w:p w14:paraId="1387E9C9" w14:textId="77777777" w:rsidR="005A054A" w:rsidRPr="00193184" w:rsidRDefault="005A054A" w:rsidP="005A054A">
      <w:pPr>
        <w:pStyle w:val="ListParagraph"/>
        <w:numPr>
          <w:ilvl w:val="0"/>
          <w:numId w:val="3"/>
        </w:numPr>
        <w:spacing w:line="360" w:lineRule="auto"/>
        <w:jc w:val="both"/>
        <w:rPr>
          <w:rFonts w:ascii="Times New Roman" w:hAnsi="Times New Roman" w:cs="Times New Roman"/>
          <w:sz w:val="24"/>
          <w:szCs w:val="24"/>
        </w:rPr>
      </w:pPr>
      <w:r w:rsidRPr="00193184">
        <w:rPr>
          <w:rFonts w:ascii="Times New Roman" w:hAnsi="Times New Roman" w:cs="Times New Roman"/>
          <w:sz w:val="24"/>
          <w:szCs w:val="24"/>
        </w:rPr>
        <w:t>Caro</w:t>
      </w:r>
      <w:r>
        <w:rPr>
          <w:rFonts w:ascii="Times New Roman" w:hAnsi="Times New Roman" w:cs="Times New Roman"/>
          <w:sz w:val="24"/>
          <w:szCs w:val="24"/>
        </w:rPr>
        <w:t>n</w:t>
      </w:r>
      <w:r w:rsidRPr="00193184">
        <w:rPr>
          <w:rFonts w:ascii="Times New Roman" w:hAnsi="Times New Roman" w:cs="Times New Roman"/>
          <w:sz w:val="24"/>
          <w:szCs w:val="24"/>
        </w:rPr>
        <w:t xml:space="preserve"> Lee Bredenkamp</w:t>
      </w:r>
    </w:p>
    <w:p w14:paraId="60207373" w14:textId="77777777" w:rsidR="005A054A" w:rsidRPr="00193184" w:rsidRDefault="005A054A" w:rsidP="005A054A">
      <w:pPr>
        <w:pStyle w:val="ListParagraph"/>
        <w:numPr>
          <w:ilvl w:val="0"/>
          <w:numId w:val="3"/>
        </w:numPr>
        <w:spacing w:line="360" w:lineRule="auto"/>
        <w:jc w:val="both"/>
        <w:rPr>
          <w:rFonts w:ascii="Times New Roman" w:hAnsi="Times New Roman" w:cs="Times New Roman"/>
          <w:sz w:val="24"/>
          <w:szCs w:val="24"/>
        </w:rPr>
      </w:pPr>
      <w:r w:rsidRPr="00193184">
        <w:rPr>
          <w:rFonts w:ascii="Times New Roman" w:hAnsi="Times New Roman" w:cs="Times New Roman"/>
          <w:sz w:val="24"/>
          <w:szCs w:val="24"/>
        </w:rPr>
        <w:t>Sarah Lee Bredenkamp</w:t>
      </w:r>
    </w:p>
    <w:p w14:paraId="0478AE1E" w14:textId="00369947" w:rsidR="005A054A" w:rsidRPr="005A054A" w:rsidRDefault="005A054A" w:rsidP="006C6967">
      <w:pPr>
        <w:pStyle w:val="ListParagraph"/>
        <w:numPr>
          <w:ilvl w:val="0"/>
          <w:numId w:val="3"/>
        </w:numPr>
        <w:spacing w:line="360" w:lineRule="auto"/>
        <w:jc w:val="both"/>
        <w:rPr>
          <w:rFonts w:ascii="Times New Roman" w:hAnsi="Times New Roman" w:cs="Times New Roman"/>
          <w:sz w:val="24"/>
          <w:szCs w:val="24"/>
        </w:rPr>
      </w:pPr>
      <w:r w:rsidRPr="005A054A">
        <w:rPr>
          <w:rFonts w:ascii="Times New Roman" w:hAnsi="Times New Roman" w:cs="Times New Roman"/>
          <w:sz w:val="24"/>
          <w:szCs w:val="24"/>
        </w:rPr>
        <w:lastRenderedPageBreak/>
        <w:t>John Scott Bredenkamp</w:t>
      </w:r>
    </w:p>
    <w:p w14:paraId="27727FE5" w14:textId="6A959460" w:rsidR="007A576B" w:rsidRPr="00CE35A7" w:rsidRDefault="005A054A" w:rsidP="0070609A">
      <w:pPr>
        <w:spacing w:line="360" w:lineRule="auto"/>
        <w:jc w:val="both"/>
        <w:rPr>
          <w:rFonts w:ascii="Times New Roman" w:hAnsi="Times New Roman" w:cs="Times New Roman"/>
          <w:sz w:val="24"/>
          <w:szCs w:val="24"/>
        </w:rPr>
      </w:pPr>
      <w:r w:rsidRPr="00CE35A7">
        <w:rPr>
          <w:rFonts w:ascii="Times New Roman" w:hAnsi="Times New Roman" w:cs="Times New Roman"/>
          <w:sz w:val="24"/>
          <w:szCs w:val="24"/>
        </w:rPr>
        <w:t>[</w:t>
      </w:r>
      <w:r w:rsidR="003B1DF8" w:rsidRPr="00CE35A7">
        <w:rPr>
          <w:rFonts w:ascii="Times New Roman" w:hAnsi="Times New Roman" w:cs="Times New Roman"/>
          <w:sz w:val="24"/>
          <w:szCs w:val="24"/>
        </w:rPr>
        <w:t>5</w:t>
      </w:r>
      <w:r w:rsidR="00B37D5F">
        <w:rPr>
          <w:rFonts w:ascii="Times New Roman" w:hAnsi="Times New Roman" w:cs="Times New Roman"/>
          <w:sz w:val="24"/>
          <w:szCs w:val="24"/>
        </w:rPr>
        <w:t>5</w:t>
      </w:r>
      <w:r w:rsidRPr="00CE35A7">
        <w:rPr>
          <w:rFonts w:ascii="Times New Roman" w:hAnsi="Times New Roman" w:cs="Times New Roman"/>
          <w:sz w:val="24"/>
          <w:szCs w:val="24"/>
        </w:rPr>
        <w:t xml:space="preserve">] So </w:t>
      </w:r>
      <w:r w:rsidR="00D64B62" w:rsidRPr="00CE35A7">
        <w:rPr>
          <w:rFonts w:ascii="Times New Roman" w:hAnsi="Times New Roman" w:cs="Times New Roman"/>
          <w:sz w:val="24"/>
          <w:szCs w:val="24"/>
        </w:rPr>
        <w:t xml:space="preserve">the issue </w:t>
      </w:r>
      <w:r w:rsidR="00CE35A7" w:rsidRPr="00CE35A7">
        <w:rPr>
          <w:rFonts w:ascii="Times New Roman" w:hAnsi="Times New Roman" w:cs="Times New Roman"/>
          <w:sz w:val="24"/>
          <w:szCs w:val="24"/>
        </w:rPr>
        <w:t xml:space="preserve">on clause 5 (b) </w:t>
      </w:r>
      <w:r w:rsidR="0095707D" w:rsidRPr="00CE35A7">
        <w:rPr>
          <w:rFonts w:ascii="Times New Roman" w:hAnsi="Times New Roman" w:cs="Times New Roman"/>
          <w:sz w:val="24"/>
          <w:szCs w:val="24"/>
        </w:rPr>
        <w:t>is; -</w:t>
      </w:r>
      <w:r w:rsidRPr="00CE35A7">
        <w:rPr>
          <w:rFonts w:ascii="Times New Roman" w:hAnsi="Times New Roman" w:cs="Times New Roman"/>
          <w:sz w:val="24"/>
          <w:szCs w:val="24"/>
        </w:rPr>
        <w:t xml:space="preserve">who are the </w:t>
      </w:r>
      <w:r w:rsidR="00B11B37" w:rsidRPr="00CE35A7">
        <w:rPr>
          <w:rFonts w:ascii="Times New Roman" w:hAnsi="Times New Roman" w:cs="Times New Roman"/>
          <w:sz w:val="24"/>
          <w:szCs w:val="24"/>
        </w:rPr>
        <w:t>“</w:t>
      </w:r>
      <w:r w:rsidRPr="00CE35A7">
        <w:rPr>
          <w:rFonts w:ascii="Times New Roman" w:hAnsi="Times New Roman" w:cs="Times New Roman"/>
          <w:sz w:val="24"/>
          <w:szCs w:val="24"/>
        </w:rPr>
        <w:t>persons or classes of persons</w:t>
      </w:r>
      <w:r w:rsidR="00B11B37" w:rsidRPr="00CE35A7">
        <w:rPr>
          <w:rFonts w:ascii="Times New Roman" w:hAnsi="Times New Roman" w:cs="Times New Roman"/>
          <w:sz w:val="24"/>
          <w:szCs w:val="24"/>
        </w:rPr>
        <w:t>”</w:t>
      </w:r>
      <w:r w:rsidRPr="00CE35A7">
        <w:rPr>
          <w:rFonts w:ascii="Times New Roman" w:hAnsi="Times New Roman" w:cs="Times New Roman"/>
          <w:sz w:val="24"/>
          <w:szCs w:val="24"/>
        </w:rPr>
        <w:t xml:space="preserve"> falling into this </w:t>
      </w:r>
      <w:r w:rsidR="00CE35A7" w:rsidRPr="00CE35A7">
        <w:rPr>
          <w:rFonts w:ascii="Times New Roman" w:hAnsi="Times New Roman" w:cs="Times New Roman"/>
          <w:sz w:val="24"/>
          <w:szCs w:val="24"/>
        </w:rPr>
        <w:t>category?</w:t>
      </w:r>
      <w:r w:rsidRPr="00CE35A7">
        <w:rPr>
          <w:rFonts w:ascii="Times New Roman" w:hAnsi="Times New Roman" w:cs="Times New Roman"/>
          <w:sz w:val="24"/>
          <w:szCs w:val="24"/>
        </w:rPr>
        <w:t xml:space="preserve">  The persons are </w:t>
      </w:r>
      <w:r w:rsidR="00CE35A7" w:rsidRPr="00CE35A7">
        <w:rPr>
          <w:rFonts w:ascii="Times New Roman" w:hAnsi="Times New Roman" w:cs="Times New Roman"/>
          <w:sz w:val="24"/>
          <w:szCs w:val="24"/>
        </w:rPr>
        <w:t xml:space="preserve">actually </w:t>
      </w:r>
      <w:r w:rsidRPr="00CE35A7">
        <w:rPr>
          <w:rFonts w:ascii="Times New Roman" w:hAnsi="Times New Roman" w:cs="Times New Roman"/>
          <w:sz w:val="24"/>
          <w:szCs w:val="24"/>
        </w:rPr>
        <w:t>stipulated</w:t>
      </w:r>
      <w:r w:rsidR="00CE35A7" w:rsidRPr="00CE35A7">
        <w:rPr>
          <w:rFonts w:ascii="Times New Roman" w:hAnsi="Times New Roman" w:cs="Times New Roman"/>
          <w:sz w:val="24"/>
          <w:szCs w:val="24"/>
        </w:rPr>
        <w:t xml:space="preserve"> in that clause</w:t>
      </w:r>
      <w:r w:rsidRPr="00CE35A7">
        <w:rPr>
          <w:rFonts w:ascii="Times New Roman" w:hAnsi="Times New Roman" w:cs="Times New Roman"/>
          <w:sz w:val="24"/>
          <w:szCs w:val="24"/>
        </w:rPr>
        <w:t xml:space="preserve">. They </w:t>
      </w:r>
      <w:r w:rsidR="00CE35A7" w:rsidRPr="00CE35A7">
        <w:rPr>
          <w:rFonts w:ascii="Times New Roman" w:hAnsi="Times New Roman" w:cs="Times New Roman"/>
          <w:sz w:val="24"/>
          <w:szCs w:val="24"/>
        </w:rPr>
        <w:t xml:space="preserve">are Caron, Sarah and John. That list </w:t>
      </w:r>
      <w:r w:rsidRPr="00CE35A7">
        <w:rPr>
          <w:rFonts w:ascii="Times New Roman" w:hAnsi="Times New Roman" w:cs="Times New Roman"/>
          <w:sz w:val="24"/>
          <w:szCs w:val="24"/>
        </w:rPr>
        <w:t>exclude</w:t>
      </w:r>
      <w:r w:rsidR="00CE35A7" w:rsidRPr="00CE35A7">
        <w:rPr>
          <w:rFonts w:ascii="Times New Roman" w:hAnsi="Times New Roman" w:cs="Times New Roman"/>
          <w:sz w:val="24"/>
          <w:szCs w:val="24"/>
        </w:rPr>
        <w:t>s</w:t>
      </w:r>
      <w:r w:rsidRPr="00CE35A7">
        <w:rPr>
          <w:rFonts w:ascii="Times New Roman" w:hAnsi="Times New Roman" w:cs="Times New Roman"/>
          <w:sz w:val="24"/>
          <w:szCs w:val="24"/>
        </w:rPr>
        <w:t xml:space="preserve"> applicant. </w:t>
      </w:r>
      <w:r w:rsidR="00CE35A7" w:rsidRPr="00CE35A7">
        <w:rPr>
          <w:rFonts w:ascii="Times New Roman" w:hAnsi="Times New Roman" w:cs="Times New Roman"/>
          <w:sz w:val="24"/>
          <w:szCs w:val="24"/>
        </w:rPr>
        <w:t>The question is; -d</w:t>
      </w:r>
      <w:r w:rsidRPr="00CE35A7">
        <w:rPr>
          <w:rFonts w:ascii="Times New Roman" w:hAnsi="Times New Roman" w:cs="Times New Roman"/>
          <w:sz w:val="24"/>
          <w:szCs w:val="24"/>
        </w:rPr>
        <w:t>oes he get automatically included</w:t>
      </w:r>
      <w:r w:rsidR="00CE35A7" w:rsidRPr="00CE35A7">
        <w:rPr>
          <w:rFonts w:ascii="Times New Roman" w:hAnsi="Times New Roman" w:cs="Times New Roman"/>
          <w:sz w:val="24"/>
          <w:szCs w:val="24"/>
        </w:rPr>
        <w:t xml:space="preserve">, as argued by Mr, </w:t>
      </w:r>
      <w:r w:rsidR="00CE35A7" w:rsidRPr="00CE35A7">
        <w:rPr>
          <w:rFonts w:ascii="Times New Roman" w:hAnsi="Times New Roman" w:cs="Times New Roman"/>
          <w:i/>
          <w:iCs/>
          <w:sz w:val="24"/>
          <w:szCs w:val="24"/>
        </w:rPr>
        <w:t>Mpofu,</w:t>
      </w:r>
      <w:r w:rsidR="00CE35A7" w:rsidRPr="00CE35A7">
        <w:rPr>
          <w:rFonts w:ascii="Times New Roman" w:hAnsi="Times New Roman" w:cs="Times New Roman"/>
          <w:sz w:val="24"/>
          <w:szCs w:val="24"/>
        </w:rPr>
        <w:t xml:space="preserve"> under</w:t>
      </w:r>
      <w:r w:rsidRPr="00CE35A7">
        <w:rPr>
          <w:rFonts w:ascii="Times New Roman" w:hAnsi="Times New Roman" w:cs="Times New Roman"/>
          <w:sz w:val="24"/>
          <w:szCs w:val="24"/>
        </w:rPr>
        <w:t xml:space="preserve"> the qualifie</w:t>
      </w:r>
      <w:r w:rsidR="00B11B37" w:rsidRPr="00CE35A7">
        <w:rPr>
          <w:rFonts w:ascii="Times New Roman" w:hAnsi="Times New Roman" w:cs="Times New Roman"/>
          <w:sz w:val="24"/>
          <w:szCs w:val="24"/>
        </w:rPr>
        <w:t>r</w:t>
      </w:r>
      <w:r w:rsidRPr="00CE35A7">
        <w:rPr>
          <w:rFonts w:ascii="Times New Roman" w:hAnsi="Times New Roman" w:cs="Times New Roman"/>
          <w:sz w:val="24"/>
          <w:szCs w:val="24"/>
        </w:rPr>
        <w:t xml:space="preserve"> “children of the said</w:t>
      </w:r>
      <w:r w:rsidR="00B11B37" w:rsidRPr="00CE35A7">
        <w:rPr>
          <w:rFonts w:ascii="Times New Roman" w:hAnsi="Times New Roman" w:cs="Times New Roman"/>
          <w:sz w:val="24"/>
          <w:szCs w:val="24"/>
        </w:rPr>
        <w:t xml:space="preserve"> John Arnold Bredenkamp</w:t>
      </w:r>
      <w:r w:rsidRPr="00CE35A7">
        <w:rPr>
          <w:rFonts w:ascii="Times New Roman" w:hAnsi="Times New Roman" w:cs="Times New Roman"/>
          <w:sz w:val="24"/>
          <w:szCs w:val="24"/>
        </w:rPr>
        <w:t xml:space="preserve">”? </w:t>
      </w:r>
      <w:r w:rsidR="00B11B37" w:rsidRPr="00CE35A7">
        <w:rPr>
          <w:rFonts w:ascii="Times New Roman" w:hAnsi="Times New Roman" w:cs="Times New Roman"/>
          <w:sz w:val="24"/>
          <w:szCs w:val="24"/>
        </w:rPr>
        <w:t xml:space="preserve">Before giving a definite answer, </w:t>
      </w:r>
      <w:r w:rsidRPr="00CE35A7">
        <w:rPr>
          <w:rFonts w:ascii="Times New Roman" w:hAnsi="Times New Roman" w:cs="Times New Roman"/>
          <w:sz w:val="24"/>
          <w:szCs w:val="24"/>
        </w:rPr>
        <w:t>I return once again to the legal arguments and authorities cited.</w:t>
      </w:r>
    </w:p>
    <w:p w14:paraId="070636C0" w14:textId="58FD077E" w:rsidR="005A054A" w:rsidRPr="000536A8" w:rsidRDefault="007A576B" w:rsidP="0070609A">
      <w:pPr>
        <w:spacing w:line="360" w:lineRule="auto"/>
        <w:jc w:val="both"/>
        <w:rPr>
          <w:rFonts w:ascii="Times New Roman" w:hAnsi="Times New Roman" w:cs="Times New Roman"/>
          <w:sz w:val="24"/>
          <w:szCs w:val="24"/>
        </w:rPr>
      </w:pPr>
      <w:r w:rsidRPr="00CE35A7">
        <w:rPr>
          <w:rFonts w:ascii="Times New Roman" w:hAnsi="Times New Roman" w:cs="Times New Roman"/>
          <w:sz w:val="24"/>
          <w:szCs w:val="24"/>
        </w:rPr>
        <w:t>[</w:t>
      </w:r>
      <w:r w:rsidR="00B37D5F">
        <w:rPr>
          <w:rFonts w:ascii="Times New Roman" w:hAnsi="Times New Roman" w:cs="Times New Roman"/>
          <w:sz w:val="24"/>
          <w:szCs w:val="24"/>
        </w:rPr>
        <w:t>56</w:t>
      </w:r>
      <w:r w:rsidR="00DD6535" w:rsidRPr="00CE35A7">
        <w:rPr>
          <w:rFonts w:ascii="Times New Roman" w:hAnsi="Times New Roman" w:cs="Times New Roman"/>
          <w:sz w:val="24"/>
          <w:szCs w:val="24"/>
        </w:rPr>
        <w:t>] In</w:t>
      </w:r>
      <w:r w:rsidR="00A431B4" w:rsidRPr="00CE35A7">
        <w:rPr>
          <w:rFonts w:ascii="Times New Roman" w:hAnsi="Times New Roman" w:cs="Times New Roman"/>
          <w:sz w:val="24"/>
          <w:szCs w:val="24"/>
        </w:rPr>
        <w:t xml:space="preserve"> doing so, I may comment that </w:t>
      </w:r>
      <w:r w:rsidR="005A054A" w:rsidRPr="00CE35A7">
        <w:rPr>
          <w:rFonts w:ascii="Times New Roman" w:hAnsi="Times New Roman" w:cs="Times New Roman"/>
          <w:sz w:val="24"/>
          <w:szCs w:val="24"/>
        </w:rPr>
        <w:t xml:space="preserve">the interpretational discourse in </w:t>
      </w:r>
      <w:r w:rsidR="005A054A" w:rsidRPr="00CE35A7">
        <w:rPr>
          <w:rFonts w:ascii="Times New Roman" w:hAnsi="Times New Roman" w:cs="Times New Roman"/>
          <w:i/>
          <w:iCs/>
          <w:sz w:val="24"/>
          <w:szCs w:val="24"/>
        </w:rPr>
        <w:t xml:space="preserve">Harvey v </w:t>
      </w:r>
      <w:r w:rsidR="00A431B4" w:rsidRPr="00CE35A7">
        <w:rPr>
          <w:rFonts w:ascii="Times New Roman" w:hAnsi="Times New Roman" w:cs="Times New Roman"/>
          <w:i/>
          <w:iCs/>
          <w:sz w:val="24"/>
          <w:szCs w:val="24"/>
        </w:rPr>
        <w:t>Crawford</w:t>
      </w:r>
      <w:r w:rsidR="00A431B4" w:rsidRPr="00CE35A7">
        <w:rPr>
          <w:rFonts w:ascii="Times New Roman" w:hAnsi="Times New Roman" w:cs="Times New Roman"/>
          <w:sz w:val="24"/>
          <w:szCs w:val="24"/>
        </w:rPr>
        <w:t>, could have further enriched argument herein had it</w:t>
      </w:r>
      <w:r w:rsidR="00A431B4">
        <w:rPr>
          <w:rFonts w:ascii="Times New Roman" w:hAnsi="Times New Roman" w:cs="Times New Roman"/>
          <w:sz w:val="24"/>
          <w:szCs w:val="24"/>
        </w:rPr>
        <w:t xml:space="preserve"> been granted fuller attention. </w:t>
      </w:r>
      <w:r w:rsidR="00A431B4" w:rsidRPr="00A431B4">
        <w:rPr>
          <w:rFonts w:ascii="Times New Roman" w:hAnsi="Times New Roman" w:cs="Times New Roman"/>
          <w:sz w:val="24"/>
          <w:szCs w:val="24"/>
        </w:rPr>
        <w:t xml:space="preserve">I </w:t>
      </w:r>
      <w:r w:rsidR="00A431B4">
        <w:rPr>
          <w:rFonts w:ascii="Times New Roman" w:hAnsi="Times New Roman" w:cs="Times New Roman"/>
          <w:sz w:val="24"/>
          <w:szCs w:val="24"/>
        </w:rPr>
        <w:t xml:space="preserve">also take the view that neither </w:t>
      </w:r>
      <w:r w:rsidR="00A431B4" w:rsidRPr="00A431B4">
        <w:rPr>
          <w:rFonts w:ascii="Times New Roman" w:hAnsi="Times New Roman" w:cs="Times New Roman"/>
          <w:sz w:val="24"/>
          <w:szCs w:val="24"/>
        </w:rPr>
        <w:t>counsel`s duty was made</w:t>
      </w:r>
      <w:r w:rsidR="00A431B4">
        <w:rPr>
          <w:rFonts w:ascii="Times New Roman" w:hAnsi="Times New Roman" w:cs="Times New Roman"/>
          <w:sz w:val="24"/>
          <w:szCs w:val="24"/>
        </w:rPr>
        <w:t xml:space="preserve"> </w:t>
      </w:r>
      <w:r w:rsidR="009F4CEA">
        <w:rPr>
          <w:rFonts w:ascii="Times New Roman" w:hAnsi="Times New Roman" w:cs="Times New Roman"/>
          <w:sz w:val="24"/>
          <w:szCs w:val="24"/>
        </w:rPr>
        <w:t xml:space="preserve">any </w:t>
      </w:r>
      <w:r w:rsidR="00A431B4">
        <w:rPr>
          <w:rFonts w:ascii="Times New Roman" w:hAnsi="Times New Roman" w:cs="Times New Roman"/>
          <w:sz w:val="24"/>
          <w:szCs w:val="24"/>
        </w:rPr>
        <w:t xml:space="preserve">lighter </w:t>
      </w:r>
      <w:r w:rsidR="000536A8">
        <w:rPr>
          <w:rFonts w:ascii="Times New Roman" w:hAnsi="Times New Roman" w:cs="Times New Roman"/>
          <w:sz w:val="24"/>
          <w:szCs w:val="24"/>
        </w:rPr>
        <w:t xml:space="preserve">by </w:t>
      </w:r>
      <w:r w:rsidR="006E3EA1">
        <w:rPr>
          <w:rFonts w:ascii="Times New Roman" w:hAnsi="Times New Roman" w:cs="Times New Roman"/>
          <w:sz w:val="24"/>
          <w:szCs w:val="24"/>
        </w:rPr>
        <w:t xml:space="preserve">certain </w:t>
      </w:r>
      <w:r w:rsidR="000536A8">
        <w:rPr>
          <w:rFonts w:ascii="Times New Roman" w:hAnsi="Times New Roman" w:cs="Times New Roman"/>
          <w:sz w:val="24"/>
          <w:szCs w:val="24"/>
        </w:rPr>
        <w:t>s</w:t>
      </w:r>
      <w:r w:rsidR="000536A8" w:rsidRPr="000536A8">
        <w:rPr>
          <w:rFonts w:ascii="Times New Roman" w:hAnsi="Times New Roman" w:cs="Times New Roman"/>
          <w:sz w:val="24"/>
          <w:szCs w:val="24"/>
        </w:rPr>
        <w:t xml:space="preserve">hortcomings in </w:t>
      </w:r>
      <w:r w:rsidR="00B11B37">
        <w:rPr>
          <w:rFonts w:ascii="Times New Roman" w:hAnsi="Times New Roman" w:cs="Times New Roman"/>
          <w:sz w:val="24"/>
          <w:szCs w:val="24"/>
        </w:rPr>
        <w:t>pleading aspects</w:t>
      </w:r>
      <w:r w:rsidR="000536A8">
        <w:rPr>
          <w:rFonts w:ascii="Times New Roman" w:hAnsi="Times New Roman" w:cs="Times New Roman"/>
          <w:sz w:val="24"/>
          <w:szCs w:val="24"/>
        </w:rPr>
        <w:t xml:space="preserve"> of </w:t>
      </w:r>
      <w:r w:rsidR="000536A8" w:rsidRPr="000536A8">
        <w:rPr>
          <w:rFonts w:ascii="Times New Roman" w:hAnsi="Times New Roman" w:cs="Times New Roman"/>
          <w:sz w:val="24"/>
          <w:szCs w:val="24"/>
        </w:rPr>
        <w:t xml:space="preserve">the causa and </w:t>
      </w:r>
      <w:r w:rsidR="006E3EA1" w:rsidRPr="000536A8">
        <w:rPr>
          <w:rFonts w:ascii="Times New Roman" w:hAnsi="Times New Roman" w:cs="Times New Roman"/>
          <w:sz w:val="24"/>
          <w:szCs w:val="24"/>
        </w:rPr>
        <w:t>defence</w:t>
      </w:r>
      <w:r w:rsidR="006E3EA1">
        <w:rPr>
          <w:rFonts w:ascii="Times New Roman" w:hAnsi="Times New Roman" w:cs="Times New Roman"/>
          <w:sz w:val="24"/>
          <w:szCs w:val="24"/>
        </w:rPr>
        <w:t>. I shall point such out in the succeeding paragraphs.</w:t>
      </w:r>
    </w:p>
    <w:p w14:paraId="13F990E8" w14:textId="77777777" w:rsidR="000536A8" w:rsidRPr="0095707D" w:rsidRDefault="000536A8"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STATUTE, CONTRACT, WILL AND DEED-THE INTERPRETATIONAL OPTIONS</w:t>
      </w:r>
    </w:p>
    <w:p w14:paraId="5CD08AAC" w14:textId="6DDE17E3" w:rsidR="00C93B22" w:rsidRDefault="005A054A" w:rsidP="0070609A">
      <w:pPr>
        <w:spacing w:line="360" w:lineRule="auto"/>
        <w:jc w:val="both"/>
        <w:rPr>
          <w:rFonts w:ascii="Times New Roman" w:hAnsi="Times New Roman" w:cs="Times New Roman"/>
          <w:sz w:val="24"/>
          <w:szCs w:val="24"/>
        </w:rPr>
      </w:pPr>
      <w:r w:rsidRPr="000536A8">
        <w:rPr>
          <w:rFonts w:ascii="Times New Roman" w:hAnsi="Times New Roman" w:cs="Times New Roman"/>
          <w:sz w:val="24"/>
          <w:szCs w:val="24"/>
        </w:rPr>
        <w:t>[</w:t>
      </w:r>
      <w:r w:rsidR="00CD6B3C">
        <w:rPr>
          <w:rFonts w:ascii="Times New Roman" w:hAnsi="Times New Roman" w:cs="Times New Roman"/>
          <w:sz w:val="24"/>
          <w:szCs w:val="24"/>
        </w:rPr>
        <w:t>5</w:t>
      </w:r>
      <w:r w:rsidR="00B37D5F">
        <w:rPr>
          <w:rFonts w:ascii="Times New Roman" w:hAnsi="Times New Roman" w:cs="Times New Roman"/>
          <w:sz w:val="24"/>
          <w:szCs w:val="24"/>
        </w:rPr>
        <w:t>7</w:t>
      </w:r>
      <w:r w:rsidRPr="000536A8">
        <w:rPr>
          <w:rFonts w:ascii="Times New Roman" w:hAnsi="Times New Roman" w:cs="Times New Roman"/>
          <w:sz w:val="24"/>
          <w:szCs w:val="24"/>
        </w:rPr>
        <w:t xml:space="preserve">] </w:t>
      </w:r>
      <w:r w:rsidR="000536A8">
        <w:rPr>
          <w:rFonts w:ascii="Times New Roman" w:hAnsi="Times New Roman" w:cs="Times New Roman"/>
          <w:sz w:val="24"/>
          <w:szCs w:val="24"/>
        </w:rPr>
        <w:t xml:space="preserve">The </w:t>
      </w:r>
      <w:r w:rsidR="00A431B4">
        <w:rPr>
          <w:rFonts w:ascii="Times New Roman" w:hAnsi="Times New Roman" w:cs="Times New Roman"/>
          <w:sz w:val="24"/>
          <w:szCs w:val="24"/>
        </w:rPr>
        <w:t xml:space="preserve">South African Supreme Court </w:t>
      </w:r>
      <w:r w:rsidR="00B11B37">
        <w:rPr>
          <w:rFonts w:ascii="Times New Roman" w:hAnsi="Times New Roman" w:cs="Times New Roman"/>
          <w:sz w:val="24"/>
          <w:szCs w:val="24"/>
        </w:rPr>
        <w:t xml:space="preserve">in </w:t>
      </w:r>
      <w:r w:rsidR="00B11B37" w:rsidRPr="00A24EB9">
        <w:rPr>
          <w:rFonts w:ascii="Times New Roman" w:hAnsi="Times New Roman" w:cs="Times New Roman"/>
          <w:i/>
          <w:iCs/>
          <w:sz w:val="24"/>
          <w:szCs w:val="24"/>
        </w:rPr>
        <w:t>Harvey v Crawford</w:t>
      </w:r>
      <w:r w:rsidR="00B11B37">
        <w:rPr>
          <w:rFonts w:ascii="Times New Roman" w:hAnsi="Times New Roman" w:cs="Times New Roman"/>
          <w:sz w:val="24"/>
          <w:szCs w:val="24"/>
        </w:rPr>
        <w:t xml:space="preserve"> </w:t>
      </w:r>
      <w:r w:rsidR="00A431B4">
        <w:rPr>
          <w:rFonts w:ascii="Times New Roman" w:hAnsi="Times New Roman" w:cs="Times New Roman"/>
          <w:sz w:val="24"/>
          <w:szCs w:val="24"/>
        </w:rPr>
        <w:t xml:space="preserve">explored, in a majority and dissenting decision, </w:t>
      </w:r>
      <w:r w:rsidR="006E3EA1">
        <w:rPr>
          <w:rFonts w:ascii="Times New Roman" w:hAnsi="Times New Roman" w:cs="Times New Roman"/>
          <w:sz w:val="24"/>
          <w:szCs w:val="24"/>
        </w:rPr>
        <w:t xml:space="preserve">interpretational approaches to construct a trust deed placed before </w:t>
      </w:r>
      <w:r w:rsidR="00A12DD7">
        <w:rPr>
          <w:rFonts w:ascii="Times New Roman" w:hAnsi="Times New Roman" w:cs="Times New Roman"/>
          <w:sz w:val="24"/>
          <w:szCs w:val="24"/>
        </w:rPr>
        <w:t xml:space="preserve">it. Having asserted the right to testamentary freedom, the court proceeded to consider various rules of interpretation as </w:t>
      </w:r>
      <w:r w:rsidR="00B11B37">
        <w:rPr>
          <w:rFonts w:ascii="Times New Roman" w:hAnsi="Times New Roman" w:cs="Times New Roman"/>
          <w:sz w:val="24"/>
          <w:szCs w:val="24"/>
        </w:rPr>
        <w:t xml:space="preserve">they differently or commonly applied to </w:t>
      </w:r>
      <w:r w:rsidR="00A12DD7">
        <w:rPr>
          <w:rFonts w:ascii="Times New Roman" w:hAnsi="Times New Roman" w:cs="Times New Roman"/>
          <w:sz w:val="24"/>
          <w:szCs w:val="24"/>
        </w:rPr>
        <w:t xml:space="preserve">statues, contract, wills and deeds. In the matter before it, the </w:t>
      </w:r>
      <w:r w:rsidR="00A24EB9">
        <w:rPr>
          <w:rFonts w:ascii="Times New Roman" w:hAnsi="Times New Roman" w:cs="Times New Roman"/>
          <w:sz w:val="24"/>
          <w:szCs w:val="24"/>
        </w:rPr>
        <w:t>various definitions of “</w:t>
      </w:r>
      <w:r w:rsidR="00C93B22">
        <w:rPr>
          <w:rFonts w:ascii="Times New Roman" w:hAnsi="Times New Roman" w:cs="Times New Roman"/>
          <w:sz w:val="24"/>
          <w:szCs w:val="24"/>
        </w:rPr>
        <w:t>children</w:t>
      </w:r>
      <w:r w:rsidR="00A24EB9">
        <w:rPr>
          <w:rFonts w:ascii="Times New Roman" w:hAnsi="Times New Roman" w:cs="Times New Roman"/>
          <w:sz w:val="24"/>
          <w:szCs w:val="24"/>
        </w:rPr>
        <w:t>”</w:t>
      </w:r>
      <w:r w:rsidR="00C93B22">
        <w:rPr>
          <w:rFonts w:ascii="Times New Roman" w:hAnsi="Times New Roman" w:cs="Times New Roman"/>
          <w:sz w:val="24"/>
          <w:szCs w:val="24"/>
        </w:rPr>
        <w:t xml:space="preserve">, </w:t>
      </w:r>
      <w:r w:rsidR="00A24EB9">
        <w:rPr>
          <w:rFonts w:ascii="Times New Roman" w:hAnsi="Times New Roman" w:cs="Times New Roman"/>
          <w:sz w:val="24"/>
          <w:szCs w:val="24"/>
        </w:rPr>
        <w:t>“</w:t>
      </w:r>
      <w:r w:rsidR="00C93B22">
        <w:rPr>
          <w:rFonts w:ascii="Times New Roman" w:hAnsi="Times New Roman" w:cs="Times New Roman"/>
          <w:sz w:val="24"/>
          <w:szCs w:val="24"/>
        </w:rPr>
        <w:t>issue</w:t>
      </w:r>
      <w:r w:rsidR="00A24EB9">
        <w:rPr>
          <w:rFonts w:ascii="Times New Roman" w:hAnsi="Times New Roman" w:cs="Times New Roman"/>
          <w:sz w:val="24"/>
          <w:szCs w:val="24"/>
        </w:rPr>
        <w:t>”</w:t>
      </w:r>
      <w:r w:rsidR="00C93B22">
        <w:rPr>
          <w:rFonts w:ascii="Times New Roman" w:hAnsi="Times New Roman" w:cs="Times New Roman"/>
          <w:sz w:val="24"/>
          <w:szCs w:val="24"/>
        </w:rPr>
        <w:t xml:space="preserve">, </w:t>
      </w:r>
      <w:r w:rsidR="00A24EB9">
        <w:rPr>
          <w:rFonts w:ascii="Times New Roman" w:hAnsi="Times New Roman" w:cs="Times New Roman"/>
          <w:sz w:val="24"/>
          <w:szCs w:val="24"/>
        </w:rPr>
        <w:t>“</w:t>
      </w:r>
      <w:r w:rsidR="00C93B22">
        <w:rPr>
          <w:rFonts w:ascii="Times New Roman" w:hAnsi="Times New Roman" w:cs="Times New Roman"/>
          <w:sz w:val="24"/>
          <w:szCs w:val="24"/>
        </w:rPr>
        <w:t>descendants</w:t>
      </w:r>
      <w:r w:rsidR="00A24EB9">
        <w:rPr>
          <w:rFonts w:ascii="Times New Roman" w:hAnsi="Times New Roman" w:cs="Times New Roman"/>
          <w:sz w:val="24"/>
          <w:szCs w:val="24"/>
        </w:rPr>
        <w:t>”</w:t>
      </w:r>
      <w:r w:rsidR="00C93B22">
        <w:rPr>
          <w:rFonts w:ascii="Times New Roman" w:hAnsi="Times New Roman" w:cs="Times New Roman"/>
          <w:sz w:val="24"/>
          <w:szCs w:val="24"/>
        </w:rPr>
        <w:t xml:space="preserve"> and </w:t>
      </w:r>
      <w:r w:rsidR="00A24EB9">
        <w:rPr>
          <w:rFonts w:ascii="Times New Roman" w:hAnsi="Times New Roman" w:cs="Times New Roman"/>
          <w:sz w:val="24"/>
          <w:szCs w:val="24"/>
        </w:rPr>
        <w:t>“</w:t>
      </w:r>
      <w:r w:rsidR="00C93B22">
        <w:rPr>
          <w:rFonts w:ascii="Times New Roman" w:hAnsi="Times New Roman" w:cs="Times New Roman"/>
          <w:sz w:val="24"/>
          <w:szCs w:val="24"/>
        </w:rPr>
        <w:t>legal descendants</w:t>
      </w:r>
      <w:r w:rsidR="00A24EB9">
        <w:rPr>
          <w:rFonts w:ascii="Times New Roman" w:hAnsi="Times New Roman" w:cs="Times New Roman"/>
          <w:sz w:val="24"/>
          <w:szCs w:val="24"/>
        </w:rPr>
        <w:t>”</w:t>
      </w:r>
      <w:r w:rsidR="00C93B22">
        <w:rPr>
          <w:rFonts w:ascii="Times New Roman" w:hAnsi="Times New Roman" w:cs="Times New Roman"/>
          <w:sz w:val="24"/>
          <w:szCs w:val="24"/>
        </w:rPr>
        <w:t xml:space="preserve"> w</w:t>
      </w:r>
      <w:r w:rsidR="00A24EB9">
        <w:rPr>
          <w:rFonts w:ascii="Times New Roman" w:hAnsi="Times New Roman" w:cs="Times New Roman"/>
          <w:sz w:val="24"/>
          <w:szCs w:val="24"/>
        </w:rPr>
        <w:t xml:space="preserve">ere </w:t>
      </w:r>
      <w:r w:rsidR="00C93B22">
        <w:rPr>
          <w:rFonts w:ascii="Times New Roman" w:hAnsi="Times New Roman" w:cs="Times New Roman"/>
          <w:sz w:val="24"/>
          <w:szCs w:val="24"/>
        </w:rPr>
        <w:t xml:space="preserve">considered. </w:t>
      </w:r>
    </w:p>
    <w:p w14:paraId="1E482ABE" w14:textId="571D0CAA" w:rsidR="00A24EB9" w:rsidRDefault="00C93B22"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D6B3C">
        <w:rPr>
          <w:rFonts w:ascii="Times New Roman" w:hAnsi="Times New Roman" w:cs="Times New Roman"/>
          <w:sz w:val="24"/>
          <w:szCs w:val="24"/>
        </w:rPr>
        <w:t>5</w:t>
      </w:r>
      <w:r w:rsidR="00B37D5F">
        <w:rPr>
          <w:rFonts w:ascii="Times New Roman" w:hAnsi="Times New Roman" w:cs="Times New Roman"/>
          <w:sz w:val="24"/>
          <w:szCs w:val="24"/>
        </w:rPr>
        <w:t>8</w:t>
      </w:r>
      <w:r>
        <w:rPr>
          <w:rFonts w:ascii="Times New Roman" w:hAnsi="Times New Roman" w:cs="Times New Roman"/>
          <w:sz w:val="24"/>
          <w:szCs w:val="24"/>
        </w:rPr>
        <w:t xml:space="preserve">] Herein, </w:t>
      </w:r>
      <w:r w:rsidR="00A24EB9">
        <w:rPr>
          <w:rFonts w:ascii="Times New Roman" w:hAnsi="Times New Roman" w:cs="Times New Roman"/>
          <w:sz w:val="24"/>
          <w:szCs w:val="24"/>
        </w:rPr>
        <w:t xml:space="preserve">by comparison, argument on </w:t>
      </w:r>
      <w:r>
        <w:rPr>
          <w:rFonts w:ascii="Times New Roman" w:hAnsi="Times New Roman" w:cs="Times New Roman"/>
          <w:sz w:val="24"/>
          <w:szCs w:val="24"/>
        </w:rPr>
        <w:t>th</w:t>
      </w:r>
      <w:r w:rsidR="00A24EB9">
        <w:rPr>
          <w:rFonts w:ascii="Times New Roman" w:hAnsi="Times New Roman" w:cs="Times New Roman"/>
          <w:sz w:val="24"/>
          <w:szCs w:val="24"/>
        </w:rPr>
        <w:t>e interpretational approaches did not explicitly distinguish the instrument under review-statute, contract, will or deed. Secondly, the issue of definition of “children” did again not extend to the various options</w:t>
      </w:r>
      <w:r w:rsidR="00D64B62">
        <w:rPr>
          <w:rFonts w:ascii="Times New Roman" w:hAnsi="Times New Roman" w:cs="Times New Roman"/>
          <w:sz w:val="24"/>
          <w:szCs w:val="24"/>
        </w:rPr>
        <w:t>-natural, progeny, legal, illegitimate or issue. Neither</w:t>
      </w:r>
      <w:r w:rsidR="00A24EB9">
        <w:rPr>
          <w:rFonts w:ascii="Times New Roman" w:hAnsi="Times New Roman" w:cs="Times New Roman"/>
          <w:sz w:val="24"/>
          <w:szCs w:val="24"/>
        </w:rPr>
        <w:t xml:space="preserve"> the founding no</w:t>
      </w:r>
      <w:r>
        <w:rPr>
          <w:rFonts w:ascii="Times New Roman" w:hAnsi="Times New Roman" w:cs="Times New Roman"/>
          <w:sz w:val="24"/>
          <w:szCs w:val="24"/>
        </w:rPr>
        <w:t xml:space="preserve">r opposing papers </w:t>
      </w:r>
      <w:r w:rsidR="00A24EB9">
        <w:rPr>
          <w:rFonts w:ascii="Times New Roman" w:hAnsi="Times New Roman" w:cs="Times New Roman"/>
          <w:sz w:val="24"/>
          <w:szCs w:val="24"/>
        </w:rPr>
        <w:t>raised the definition of “children” as basis</w:t>
      </w:r>
      <w:r>
        <w:rPr>
          <w:rFonts w:ascii="Times New Roman" w:hAnsi="Times New Roman" w:cs="Times New Roman"/>
          <w:sz w:val="24"/>
          <w:szCs w:val="24"/>
        </w:rPr>
        <w:t xml:space="preserve"> to support the inclusion or exclusion of applicant as a beneficiary of the trust. </w:t>
      </w:r>
    </w:p>
    <w:p w14:paraId="79CB124A" w14:textId="73B05664" w:rsidR="00A24EB9" w:rsidRDefault="00A24EB9"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B37D5F">
        <w:rPr>
          <w:rFonts w:ascii="Times New Roman" w:hAnsi="Times New Roman" w:cs="Times New Roman"/>
          <w:sz w:val="24"/>
          <w:szCs w:val="24"/>
        </w:rPr>
        <w:t>9</w:t>
      </w:r>
      <w:r>
        <w:rPr>
          <w:rFonts w:ascii="Times New Roman" w:hAnsi="Times New Roman" w:cs="Times New Roman"/>
          <w:sz w:val="24"/>
          <w:szCs w:val="24"/>
        </w:rPr>
        <w:t>] The term “</w:t>
      </w:r>
      <w:r w:rsidR="00C93B22">
        <w:rPr>
          <w:rFonts w:ascii="Times New Roman" w:hAnsi="Times New Roman" w:cs="Times New Roman"/>
          <w:sz w:val="24"/>
          <w:szCs w:val="24"/>
        </w:rPr>
        <w:t xml:space="preserve">children” </w:t>
      </w:r>
      <w:r>
        <w:rPr>
          <w:rFonts w:ascii="Times New Roman" w:hAnsi="Times New Roman" w:cs="Times New Roman"/>
          <w:sz w:val="24"/>
          <w:szCs w:val="24"/>
        </w:rPr>
        <w:t>formed a core</w:t>
      </w:r>
      <w:r w:rsidR="00C93B22">
        <w:rPr>
          <w:rFonts w:ascii="Times New Roman" w:hAnsi="Times New Roman" w:cs="Times New Roman"/>
          <w:sz w:val="24"/>
          <w:szCs w:val="24"/>
        </w:rPr>
        <w:t xml:space="preserve"> term in </w:t>
      </w:r>
      <w:r>
        <w:rPr>
          <w:rFonts w:ascii="Times New Roman" w:hAnsi="Times New Roman" w:cs="Times New Roman"/>
          <w:sz w:val="24"/>
          <w:szCs w:val="24"/>
        </w:rPr>
        <w:t xml:space="preserve">contention. </w:t>
      </w:r>
      <w:r w:rsidR="00D64B62">
        <w:rPr>
          <w:rFonts w:ascii="Times New Roman" w:hAnsi="Times New Roman" w:cs="Times New Roman"/>
          <w:sz w:val="24"/>
          <w:szCs w:val="24"/>
        </w:rPr>
        <w:t>It was necessary that it be fully articulated in the pleadings and argument. But</w:t>
      </w:r>
      <w:r>
        <w:rPr>
          <w:rFonts w:ascii="Times New Roman" w:hAnsi="Times New Roman" w:cs="Times New Roman"/>
          <w:sz w:val="24"/>
          <w:szCs w:val="24"/>
        </w:rPr>
        <w:t xml:space="preserve"> the parties applied it casually if not loosely. </w:t>
      </w:r>
      <w:r w:rsidR="00AC0248">
        <w:rPr>
          <w:rFonts w:ascii="Times New Roman" w:hAnsi="Times New Roman" w:cs="Times New Roman"/>
          <w:sz w:val="24"/>
          <w:szCs w:val="24"/>
        </w:rPr>
        <w:t>(The court may have been lured unwittingly into this trap</w:t>
      </w:r>
      <w:r w:rsidR="00CD6B3C">
        <w:rPr>
          <w:rFonts w:ascii="Times New Roman" w:hAnsi="Times New Roman" w:cs="Times New Roman"/>
          <w:sz w:val="24"/>
          <w:szCs w:val="24"/>
        </w:rPr>
        <w:t>). A</w:t>
      </w:r>
      <w:r>
        <w:rPr>
          <w:rFonts w:ascii="Times New Roman" w:hAnsi="Times New Roman" w:cs="Times New Roman"/>
          <w:sz w:val="24"/>
          <w:szCs w:val="24"/>
        </w:rPr>
        <w:t xml:space="preserve"> more technical interpretation could have </w:t>
      </w:r>
      <w:r w:rsidR="00D64B62">
        <w:rPr>
          <w:rFonts w:ascii="Times New Roman" w:hAnsi="Times New Roman" w:cs="Times New Roman"/>
          <w:sz w:val="24"/>
          <w:szCs w:val="24"/>
        </w:rPr>
        <w:t xml:space="preserve">aided </w:t>
      </w:r>
      <w:r w:rsidR="00C93B22">
        <w:rPr>
          <w:rFonts w:ascii="Times New Roman" w:hAnsi="Times New Roman" w:cs="Times New Roman"/>
          <w:sz w:val="24"/>
          <w:szCs w:val="24"/>
        </w:rPr>
        <w:t xml:space="preserve">the “persons or classes of persons” </w:t>
      </w:r>
      <w:r w:rsidR="00D64B62">
        <w:rPr>
          <w:rFonts w:ascii="Times New Roman" w:hAnsi="Times New Roman" w:cs="Times New Roman"/>
          <w:sz w:val="24"/>
          <w:szCs w:val="24"/>
        </w:rPr>
        <w:t xml:space="preserve">interpretation in </w:t>
      </w:r>
      <w:r w:rsidR="008D49B2">
        <w:rPr>
          <w:rFonts w:ascii="Times New Roman" w:hAnsi="Times New Roman" w:cs="Times New Roman"/>
          <w:sz w:val="24"/>
          <w:szCs w:val="24"/>
        </w:rPr>
        <w:t>clause</w:t>
      </w:r>
      <w:r w:rsidR="00C93B22">
        <w:rPr>
          <w:rFonts w:ascii="Times New Roman" w:hAnsi="Times New Roman" w:cs="Times New Roman"/>
          <w:sz w:val="24"/>
          <w:szCs w:val="24"/>
        </w:rPr>
        <w:t xml:space="preserve"> 5 (b</w:t>
      </w:r>
      <w:r w:rsidR="008D49B2">
        <w:rPr>
          <w:rFonts w:ascii="Times New Roman" w:hAnsi="Times New Roman" w:cs="Times New Roman"/>
          <w:sz w:val="24"/>
          <w:szCs w:val="24"/>
        </w:rPr>
        <w:t>). In</w:t>
      </w:r>
      <w:r w:rsidR="00C93B22">
        <w:rPr>
          <w:rFonts w:ascii="Times New Roman" w:hAnsi="Times New Roman" w:cs="Times New Roman"/>
          <w:sz w:val="24"/>
          <w:szCs w:val="24"/>
        </w:rPr>
        <w:t xml:space="preserve"> the absence of </w:t>
      </w:r>
      <w:r w:rsidR="00D64B62">
        <w:rPr>
          <w:rFonts w:ascii="Times New Roman" w:hAnsi="Times New Roman" w:cs="Times New Roman"/>
          <w:sz w:val="24"/>
          <w:szCs w:val="24"/>
        </w:rPr>
        <w:t xml:space="preserve">a cogent </w:t>
      </w:r>
      <w:r w:rsidR="00C93B22">
        <w:rPr>
          <w:rFonts w:ascii="Times New Roman" w:hAnsi="Times New Roman" w:cs="Times New Roman"/>
          <w:sz w:val="24"/>
          <w:szCs w:val="24"/>
        </w:rPr>
        <w:t>articulation of the term “</w:t>
      </w:r>
      <w:r w:rsidR="008D49B2">
        <w:rPr>
          <w:rFonts w:ascii="Times New Roman" w:hAnsi="Times New Roman" w:cs="Times New Roman"/>
          <w:sz w:val="24"/>
          <w:szCs w:val="24"/>
        </w:rPr>
        <w:t>children”</w:t>
      </w:r>
      <w:r w:rsidR="00D64B62">
        <w:rPr>
          <w:rFonts w:ascii="Times New Roman" w:hAnsi="Times New Roman" w:cs="Times New Roman"/>
          <w:sz w:val="24"/>
          <w:szCs w:val="24"/>
        </w:rPr>
        <w:t>,</w:t>
      </w:r>
      <w:r w:rsidR="00C93B22">
        <w:rPr>
          <w:rFonts w:ascii="Times New Roman" w:hAnsi="Times New Roman" w:cs="Times New Roman"/>
          <w:sz w:val="24"/>
          <w:szCs w:val="24"/>
        </w:rPr>
        <w:t xml:space="preserve"> I am unable to agree that by implication, applicant automatically fell into the </w:t>
      </w:r>
      <w:r w:rsidR="00D64B62">
        <w:rPr>
          <w:rFonts w:ascii="Times New Roman" w:hAnsi="Times New Roman" w:cs="Times New Roman"/>
          <w:sz w:val="24"/>
          <w:szCs w:val="24"/>
        </w:rPr>
        <w:t xml:space="preserve">closed or locked </w:t>
      </w:r>
      <w:r w:rsidR="00C93B22">
        <w:rPr>
          <w:rFonts w:ascii="Times New Roman" w:hAnsi="Times New Roman" w:cs="Times New Roman"/>
          <w:sz w:val="24"/>
          <w:szCs w:val="24"/>
        </w:rPr>
        <w:t xml:space="preserve">category of </w:t>
      </w:r>
      <w:r w:rsidR="008D49B2">
        <w:rPr>
          <w:rFonts w:ascii="Times New Roman" w:hAnsi="Times New Roman" w:cs="Times New Roman"/>
          <w:sz w:val="24"/>
          <w:szCs w:val="24"/>
        </w:rPr>
        <w:t>those persons listed</w:t>
      </w:r>
      <w:r>
        <w:rPr>
          <w:rFonts w:ascii="Times New Roman" w:hAnsi="Times New Roman" w:cs="Times New Roman"/>
          <w:sz w:val="24"/>
          <w:szCs w:val="24"/>
        </w:rPr>
        <w:t xml:space="preserve"> in 5 (b)</w:t>
      </w:r>
      <w:r w:rsidR="008D49B2">
        <w:rPr>
          <w:rFonts w:ascii="Times New Roman" w:hAnsi="Times New Roman" w:cs="Times New Roman"/>
          <w:sz w:val="24"/>
          <w:szCs w:val="24"/>
        </w:rPr>
        <w:t xml:space="preserve">. </w:t>
      </w:r>
    </w:p>
    <w:p w14:paraId="2C9E01CC" w14:textId="094DEE8A" w:rsidR="002F4402" w:rsidRDefault="00A24EB9"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B37D5F">
        <w:rPr>
          <w:rFonts w:ascii="Times New Roman" w:hAnsi="Times New Roman" w:cs="Times New Roman"/>
          <w:sz w:val="24"/>
          <w:szCs w:val="24"/>
        </w:rPr>
        <w:t>60</w:t>
      </w:r>
      <w:r>
        <w:rPr>
          <w:rFonts w:ascii="Times New Roman" w:hAnsi="Times New Roman" w:cs="Times New Roman"/>
          <w:sz w:val="24"/>
          <w:szCs w:val="24"/>
        </w:rPr>
        <w:t xml:space="preserve">] </w:t>
      </w:r>
      <w:r w:rsidR="00D64B62">
        <w:rPr>
          <w:rFonts w:ascii="Times New Roman" w:hAnsi="Times New Roman" w:cs="Times New Roman"/>
          <w:sz w:val="24"/>
          <w:szCs w:val="24"/>
        </w:rPr>
        <w:t>I am further persuaded in that regard because t</w:t>
      </w:r>
      <w:r w:rsidR="008D49B2">
        <w:rPr>
          <w:rFonts w:ascii="Times New Roman" w:hAnsi="Times New Roman" w:cs="Times New Roman"/>
          <w:sz w:val="24"/>
          <w:szCs w:val="24"/>
        </w:rPr>
        <w:t>h</w:t>
      </w:r>
      <w:r w:rsidR="00D64B62">
        <w:rPr>
          <w:rFonts w:ascii="Times New Roman" w:hAnsi="Times New Roman" w:cs="Times New Roman"/>
          <w:sz w:val="24"/>
          <w:szCs w:val="24"/>
        </w:rPr>
        <w:t xml:space="preserve">e list in clause 5 (b) </w:t>
      </w:r>
      <w:r w:rsidR="008D49B2">
        <w:rPr>
          <w:rFonts w:ascii="Times New Roman" w:hAnsi="Times New Roman" w:cs="Times New Roman"/>
          <w:sz w:val="24"/>
          <w:szCs w:val="24"/>
        </w:rPr>
        <w:t xml:space="preserve">is restricted and </w:t>
      </w:r>
      <w:r w:rsidR="00D64B62">
        <w:rPr>
          <w:rFonts w:ascii="Times New Roman" w:hAnsi="Times New Roman" w:cs="Times New Roman"/>
          <w:sz w:val="24"/>
          <w:szCs w:val="24"/>
        </w:rPr>
        <w:t>specific. Yet it occurs in</w:t>
      </w:r>
      <w:r w:rsidR="008D49B2">
        <w:rPr>
          <w:rFonts w:ascii="Times New Roman" w:hAnsi="Times New Roman" w:cs="Times New Roman"/>
          <w:sz w:val="24"/>
          <w:szCs w:val="24"/>
        </w:rPr>
        <w:t xml:space="preserve"> a trust deed that deliberately created open-ended classifications in </w:t>
      </w:r>
      <w:r w:rsidR="00D64B62">
        <w:rPr>
          <w:rFonts w:ascii="Times New Roman" w:hAnsi="Times New Roman" w:cs="Times New Roman"/>
          <w:sz w:val="24"/>
          <w:szCs w:val="24"/>
        </w:rPr>
        <w:t>the very next two subclauses. C</w:t>
      </w:r>
      <w:r w:rsidR="008D49B2">
        <w:rPr>
          <w:rFonts w:ascii="Times New Roman" w:hAnsi="Times New Roman" w:cs="Times New Roman"/>
          <w:sz w:val="24"/>
          <w:szCs w:val="24"/>
        </w:rPr>
        <w:t>lause 5 (</w:t>
      </w:r>
      <w:r>
        <w:rPr>
          <w:rFonts w:ascii="Times New Roman" w:hAnsi="Times New Roman" w:cs="Times New Roman"/>
          <w:sz w:val="24"/>
          <w:szCs w:val="24"/>
        </w:rPr>
        <w:t>c)</w:t>
      </w:r>
      <w:r w:rsidR="008D49B2">
        <w:rPr>
          <w:rFonts w:ascii="Times New Roman" w:hAnsi="Times New Roman" w:cs="Times New Roman"/>
          <w:sz w:val="24"/>
          <w:szCs w:val="24"/>
        </w:rPr>
        <w:t xml:space="preserve"> recognised grand</w:t>
      </w:r>
      <w:r w:rsidR="00C93B22">
        <w:rPr>
          <w:rFonts w:ascii="Times New Roman" w:hAnsi="Times New Roman" w:cs="Times New Roman"/>
          <w:sz w:val="24"/>
          <w:szCs w:val="24"/>
        </w:rPr>
        <w:t xml:space="preserve">children </w:t>
      </w:r>
      <w:r w:rsidR="008D49B2">
        <w:rPr>
          <w:rFonts w:ascii="Times New Roman" w:hAnsi="Times New Roman" w:cs="Times New Roman"/>
          <w:sz w:val="24"/>
          <w:szCs w:val="24"/>
        </w:rPr>
        <w:t xml:space="preserve">“now born or to be born thereafter”. Similarly, clause 5 (d) provided for inclusion of additional beneficiaries by specific or general stipulation through amendment to the trust deed by “will or deed”.  </w:t>
      </w:r>
      <w:r>
        <w:rPr>
          <w:rFonts w:ascii="Times New Roman" w:hAnsi="Times New Roman" w:cs="Times New Roman"/>
          <w:sz w:val="24"/>
          <w:szCs w:val="24"/>
        </w:rPr>
        <w:t>It is therefore safe to conclude that t</w:t>
      </w:r>
      <w:r w:rsidR="008D49B2">
        <w:rPr>
          <w:rFonts w:ascii="Times New Roman" w:hAnsi="Times New Roman" w:cs="Times New Roman"/>
          <w:sz w:val="24"/>
          <w:szCs w:val="24"/>
        </w:rPr>
        <w:t>he intention of the settlor was clear. He mention</w:t>
      </w:r>
      <w:r w:rsidR="00F7796E">
        <w:rPr>
          <w:rFonts w:ascii="Times New Roman" w:hAnsi="Times New Roman" w:cs="Times New Roman"/>
          <w:sz w:val="24"/>
          <w:szCs w:val="24"/>
        </w:rPr>
        <w:t>ed</w:t>
      </w:r>
      <w:r w:rsidR="008D49B2">
        <w:rPr>
          <w:rFonts w:ascii="Times New Roman" w:hAnsi="Times New Roman" w:cs="Times New Roman"/>
          <w:sz w:val="24"/>
          <w:szCs w:val="24"/>
        </w:rPr>
        <w:t xml:space="preserve"> those </w:t>
      </w:r>
      <w:r w:rsidR="00F7796E">
        <w:rPr>
          <w:rFonts w:ascii="Times New Roman" w:hAnsi="Times New Roman" w:cs="Times New Roman"/>
          <w:sz w:val="24"/>
          <w:szCs w:val="24"/>
        </w:rPr>
        <w:t xml:space="preserve">persons or classes of persons whom </w:t>
      </w:r>
      <w:r w:rsidR="008D49B2">
        <w:rPr>
          <w:rFonts w:ascii="Times New Roman" w:hAnsi="Times New Roman" w:cs="Times New Roman"/>
          <w:sz w:val="24"/>
          <w:szCs w:val="24"/>
        </w:rPr>
        <w:t>he intended to provide for by name or class. Applicant does not fall into either category.</w:t>
      </w:r>
    </w:p>
    <w:p w14:paraId="579C9B5B" w14:textId="349A8EC6" w:rsidR="002F4402" w:rsidRPr="0095707D" w:rsidRDefault="002F4402" w:rsidP="0070609A">
      <w:pPr>
        <w:spacing w:line="360" w:lineRule="auto"/>
        <w:jc w:val="both"/>
        <w:rPr>
          <w:rFonts w:ascii="Times New Roman" w:hAnsi="Times New Roman" w:cs="Times New Roman"/>
          <w:sz w:val="20"/>
          <w:szCs w:val="20"/>
        </w:rPr>
      </w:pPr>
      <w:r w:rsidRPr="0095707D">
        <w:rPr>
          <w:rFonts w:ascii="Times New Roman" w:hAnsi="Times New Roman" w:cs="Times New Roman"/>
          <w:sz w:val="20"/>
          <w:szCs w:val="20"/>
        </w:rPr>
        <w:t>THE</w:t>
      </w:r>
      <w:r w:rsidR="007A576B">
        <w:rPr>
          <w:rFonts w:ascii="Times New Roman" w:hAnsi="Times New Roman" w:cs="Times New Roman"/>
          <w:sz w:val="20"/>
          <w:szCs w:val="20"/>
        </w:rPr>
        <w:t xml:space="preserve"> “</w:t>
      </w:r>
      <w:r w:rsidRPr="0095707D">
        <w:rPr>
          <w:rFonts w:ascii="Times New Roman" w:hAnsi="Times New Roman" w:cs="Times New Roman"/>
          <w:sz w:val="20"/>
          <w:szCs w:val="20"/>
        </w:rPr>
        <w:t>CONTEMPORANEOUS DOCUMENTS”</w:t>
      </w:r>
    </w:p>
    <w:p w14:paraId="13EE9F12" w14:textId="79B41B52" w:rsidR="00852289" w:rsidRDefault="002F4402" w:rsidP="0070609A">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00B37D5F">
        <w:rPr>
          <w:rFonts w:ascii="Times New Roman" w:hAnsi="Times New Roman" w:cs="Times New Roman"/>
          <w:sz w:val="24"/>
          <w:szCs w:val="24"/>
        </w:rPr>
        <w:t>61</w:t>
      </w:r>
      <w:r>
        <w:rPr>
          <w:rFonts w:ascii="Times New Roman" w:hAnsi="Times New Roman" w:cs="Times New Roman"/>
          <w:sz w:val="24"/>
          <w:szCs w:val="24"/>
        </w:rPr>
        <w:t>] I</w:t>
      </w:r>
      <w:r w:rsidR="008D49B2">
        <w:rPr>
          <w:rFonts w:ascii="Times New Roman" w:hAnsi="Times New Roman" w:cs="Times New Roman"/>
          <w:sz w:val="24"/>
          <w:szCs w:val="24"/>
        </w:rPr>
        <w:t xml:space="preserve"> </w:t>
      </w:r>
      <w:r w:rsidR="009B0585">
        <w:rPr>
          <w:rFonts w:ascii="Times New Roman" w:hAnsi="Times New Roman" w:cs="Times New Roman"/>
          <w:sz w:val="24"/>
          <w:szCs w:val="24"/>
        </w:rPr>
        <w:t xml:space="preserve">now </w:t>
      </w:r>
      <w:r w:rsidR="008D49B2">
        <w:rPr>
          <w:rFonts w:ascii="Times New Roman" w:hAnsi="Times New Roman" w:cs="Times New Roman"/>
          <w:sz w:val="24"/>
          <w:szCs w:val="24"/>
        </w:rPr>
        <w:t xml:space="preserve">proceed to </w:t>
      </w:r>
      <w:r w:rsidR="009B0585">
        <w:rPr>
          <w:rFonts w:ascii="Times New Roman" w:hAnsi="Times New Roman" w:cs="Times New Roman"/>
          <w:sz w:val="24"/>
          <w:szCs w:val="24"/>
        </w:rPr>
        <w:t>establish i</w:t>
      </w:r>
      <w:r w:rsidR="008D49B2">
        <w:rPr>
          <w:rFonts w:ascii="Times New Roman" w:hAnsi="Times New Roman" w:cs="Times New Roman"/>
          <w:sz w:val="24"/>
          <w:szCs w:val="24"/>
        </w:rPr>
        <w:t xml:space="preserve">f the contemporaneous documentation can intrude </w:t>
      </w:r>
      <w:r w:rsidR="009B0585">
        <w:rPr>
          <w:rFonts w:ascii="Times New Roman" w:hAnsi="Times New Roman" w:cs="Times New Roman"/>
          <w:sz w:val="24"/>
          <w:szCs w:val="24"/>
        </w:rPr>
        <w:t xml:space="preserve">and reverse this initial </w:t>
      </w:r>
      <w:r w:rsidR="00D32E59">
        <w:rPr>
          <w:rFonts w:ascii="Times New Roman" w:hAnsi="Times New Roman" w:cs="Times New Roman"/>
          <w:sz w:val="24"/>
          <w:szCs w:val="24"/>
        </w:rPr>
        <w:t xml:space="preserve">conclusion. </w:t>
      </w:r>
      <w:r w:rsidR="00D32E59">
        <w:rPr>
          <w:rFonts w:ascii="Times New Roman" w:hAnsi="Times New Roman" w:cs="Times New Roman"/>
          <w:color w:val="000000"/>
          <w:sz w:val="24"/>
          <w:szCs w:val="24"/>
        </w:rPr>
        <w:t xml:space="preserve">In that regard, how do the contemporaneous documents stand as interpretational tools to decode the trust deed? </w:t>
      </w:r>
      <w:r w:rsidR="008D49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will </w:t>
      </w:r>
      <w:r w:rsidR="009D0226">
        <w:rPr>
          <w:rFonts w:ascii="Times New Roman" w:hAnsi="Times New Roman" w:cs="Times New Roman"/>
          <w:color w:val="000000"/>
          <w:sz w:val="24"/>
          <w:szCs w:val="24"/>
        </w:rPr>
        <w:t xml:space="preserve">side-step </w:t>
      </w:r>
      <w:r>
        <w:rPr>
          <w:rFonts w:ascii="Times New Roman" w:hAnsi="Times New Roman" w:cs="Times New Roman"/>
          <w:color w:val="000000"/>
          <w:sz w:val="24"/>
          <w:szCs w:val="24"/>
        </w:rPr>
        <w:t xml:space="preserve">for </w:t>
      </w:r>
      <w:r w:rsidR="009B0585">
        <w:rPr>
          <w:rFonts w:ascii="Times New Roman" w:hAnsi="Times New Roman" w:cs="Times New Roman"/>
          <w:color w:val="000000"/>
          <w:sz w:val="24"/>
          <w:szCs w:val="24"/>
        </w:rPr>
        <w:t>now;</w:t>
      </w:r>
      <w:r>
        <w:rPr>
          <w:rFonts w:ascii="Times New Roman" w:hAnsi="Times New Roman" w:cs="Times New Roman"/>
          <w:color w:val="000000"/>
          <w:sz w:val="24"/>
          <w:szCs w:val="24"/>
        </w:rPr>
        <w:t xml:space="preserve"> the</w:t>
      </w:r>
      <w:r w:rsidR="009D0226">
        <w:rPr>
          <w:rFonts w:ascii="Times New Roman" w:hAnsi="Times New Roman" w:cs="Times New Roman"/>
          <w:color w:val="000000"/>
          <w:sz w:val="24"/>
          <w:szCs w:val="24"/>
        </w:rPr>
        <w:t xml:space="preserve"> </w:t>
      </w:r>
      <w:r w:rsidR="003551CF">
        <w:rPr>
          <w:rFonts w:ascii="Times New Roman" w:hAnsi="Times New Roman" w:cs="Times New Roman"/>
          <w:color w:val="000000"/>
          <w:sz w:val="24"/>
          <w:szCs w:val="24"/>
        </w:rPr>
        <w:t xml:space="preserve">authenticity </w:t>
      </w:r>
      <w:r w:rsidR="009D0226">
        <w:rPr>
          <w:rFonts w:ascii="Times New Roman" w:hAnsi="Times New Roman" w:cs="Times New Roman"/>
          <w:color w:val="000000"/>
          <w:sz w:val="24"/>
          <w:szCs w:val="24"/>
        </w:rPr>
        <w:t>challenge mounted against the</w:t>
      </w:r>
      <w:r w:rsidR="00852289">
        <w:rPr>
          <w:rFonts w:ascii="Times New Roman" w:hAnsi="Times New Roman" w:cs="Times New Roman"/>
          <w:color w:val="000000"/>
          <w:sz w:val="24"/>
          <w:szCs w:val="24"/>
        </w:rPr>
        <w:t xml:space="preserve"> documents </w:t>
      </w:r>
      <w:r>
        <w:rPr>
          <w:rFonts w:ascii="Times New Roman" w:hAnsi="Times New Roman" w:cs="Times New Roman"/>
          <w:color w:val="000000"/>
          <w:sz w:val="24"/>
          <w:szCs w:val="24"/>
        </w:rPr>
        <w:t xml:space="preserve">and </w:t>
      </w:r>
      <w:r w:rsidR="009B0585">
        <w:rPr>
          <w:rFonts w:ascii="Times New Roman" w:hAnsi="Times New Roman" w:cs="Times New Roman"/>
          <w:color w:val="000000"/>
          <w:sz w:val="24"/>
          <w:szCs w:val="24"/>
        </w:rPr>
        <w:t xml:space="preserve">take their </w:t>
      </w:r>
      <w:r w:rsidR="0095707D">
        <w:rPr>
          <w:rFonts w:ascii="Times New Roman" w:hAnsi="Times New Roman" w:cs="Times New Roman"/>
          <w:color w:val="000000"/>
          <w:sz w:val="24"/>
          <w:szCs w:val="24"/>
        </w:rPr>
        <w:t>worth at</w:t>
      </w:r>
      <w:r>
        <w:rPr>
          <w:rFonts w:ascii="Times New Roman" w:hAnsi="Times New Roman" w:cs="Times New Roman"/>
          <w:color w:val="000000"/>
          <w:sz w:val="24"/>
          <w:szCs w:val="24"/>
        </w:rPr>
        <w:t xml:space="preserve"> first value. </w:t>
      </w:r>
      <w:r w:rsidR="00852289">
        <w:rPr>
          <w:rFonts w:ascii="Times New Roman" w:hAnsi="Times New Roman" w:cs="Times New Roman"/>
          <w:color w:val="000000"/>
          <w:sz w:val="24"/>
          <w:szCs w:val="24"/>
        </w:rPr>
        <w:t xml:space="preserve">The argument by Mr. </w:t>
      </w:r>
      <w:r w:rsidR="00852289" w:rsidRPr="00E12797">
        <w:rPr>
          <w:rFonts w:ascii="Times New Roman" w:hAnsi="Times New Roman" w:cs="Times New Roman"/>
          <w:i/>
          <w:iCs/>
          <w:color w:val="000000"/>
          <w:sz w:val="24"/>
          <w:szCs w:val="24"/>
        </w:rPr>
        <w:t>Mpofu</w:t>
      </w:r>
      <w:r w:rsidR="00852289">
        <w:rPr>
          <w:rFonts w:ascii="Times New Roman" w:hAnsi="Times New Roman" w:cs="Times New Roman"/>
          <w:color w:val="000000"/>
          <w:sz w:val="24"/>
          <w:szCs w:val="24"/>
        </w:rPr>
        <w:t xml:space="preserve"> that the will demonstrates that the late Mr. Bredenkamp acknowledged, recognised and endorsed applicant as a beneficiary </w:t>
      </w:r>
      <w:r w:rsidR="009B0585">
        <w:rPr>
          <w:rFonts w:ascii="Times New Roman" w:hAnsi="Times New Roman" w:cs="Times New Roman"/>
          <w:color w:val="000000"/>
          <w:sz w:val="24"/>
          <w:szCs w:val="24"/>
        </w:rPr>
        <w:t xml:space="preserve">becomes </w:t>
      </w:r>
      <w:r w:rsidR="00852289">
        <w:rPr>
          <w:rFonts w:ascii="Times New Roman" w:hAnsi="Times New Roman" w:cs="Times New Roman"/>
          <w:color w:val="000000"/>
          <w:sz w:val="24"/>
          <w:szCs w:val="24"/>
        </w:rPr>
        <w:t>correct on the face of it.</w:t>
      </w:r>
    </w:p>
    <w:p w14:paraId="0FECB6F4" w14:textId="5F799B0E" w:rsidR="007A576B" w:rsidRDefault="00852289"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A576B">
        <w:rPr>
          <w:rFonts w:ascii="Times New Roman" w:hAnsi="Times New Roman" w:cs="Times New Roman"/>
          <w:color w:val="000000"/>
          <w:sz w:val="24"/>
          <w:szCs w:val="24"/>
        </w:rPr>
        <w:t>6</w:t>
      </w:r>
      <w:r w:rsidR="00B37D5F">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002F4402">
        <w:rPr>
          <w:rFonts w:ascii="Times New Roman" w:hAnsi="Times New Roman" w:cs="Times New Roman"/>
          <w:color w:val="000000"/>
          <w:sz w:val="24"/>
          <w:szCs w:val="24"/>
        </w:rPr>
        <w:t>It</w:t>
      </w:r>
      <w:r w:rsidR="009D02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therefore </w:t>
      </w:r>
      <w:r w:rsidR="009B0585">
        <w:rPr>
          <w:rFonts w:ascii="Times New Roman" w:hAnsi="Times New Roman" w:cs="Times New Roman"/>
          <w:color w:val="000000"/>
          <w:sz w:val="24"/>
          <w:szCs w:val="24"/>
        </w:rPr>
        <w:t xml:space="preserve">becomes </w:t>
      </w:r>
      <w:r w:rsidR="009D0226">
        <w:rPr>
          <w:rFonts w:ascii="Times New Roman" w:hAnsi="Times New Roman" w:cs="Times New Roman"/>
          <w:color w:val="000000"/>
          <w:sz w:val="24"/>
          <w:szCs w:val="24"/>
        </w:rPr>
        <w:t>clear from the contemporaneous documents</w:t>
      </w:r>
      <w:r w:rsidR="002F4402">
        <w:rPr>
          <w:rFonts w:ascii="Times New Roman" w:hAnsi="Times New Roman" w:cs="Times New Roman"/>
          <w:color w:val="000000"/>
          <w:sz w:val="24"/>
          <w:szCs w:val="24"/>
        </w:rPr>
        <w:t>,</w:t>
      </w:r>
      <w:r w:rsidR="009D0226">
        <w:rPr>
          <w:rFonts w:ascii="Times New Roman" w:hAnsi="Times New Roman" w:cs="Times New Roman"/>
          <w:color w:val="000000"/>
          <w:sz w:val="24"/>
          <w:szCs w:val="24"/>
        </w:rPr>
        <w:t xml:space="preserve"> </w:t>
      </w:r>
      <w:r w:rsidR="005D6FD0">
        <w:rPr>
          <w:rFonts w:ascii="Times New Roman" w:hAnsi="Times New Roman" w:cs="Times New Roman"/>
          <w:color w:val="000000"/>
          <w:sz w:val="24"/>
          <w:szCs w:val="24"/>
        </w:rPr>
        <w:t>that Mr. Bredenkamp</w:t>
      </w:r>
      <w:r w:rsidR="009D0226">
        <w:rPr>
          <w:rFonts w:ascii="Times New Roman" w:hAnsi="Times New Roman" w:cs="Times New Roman"/>
          <w:color w:val="000000"/>
          <w:sz w:val="24"/>
          <w:szCs w:val="24"/>
        </w:rPr>
        <w:t xml:space="preserve"> intended to provide for </w:t>
      </w:r>
      <w:r w:rsidR="005D6FD0">
        <w:rPr>
          <w:rFonts w:ascii="Times New Roman" w:hAnsi="Times New Roman" w:cs="Times New Roman"/>
          <w:color w:val="000000"/>
          <w:sz w:val="24"/>
          <w:szCs w:val="24"/>
        </w:rPr>
        <w:t>applicant.</w:t>
      </w:r>
      <w:r w:rsidR="002F4402">
        <w:rPr>
          <w:rFonts w:ascii="Times New Roman" w:hAnsi="Times New Roman" w:cs="Times New Roman"/>
          <w:color w:val="000000"/>
          <w:sz w:val="24"/>
          <w:szCs w:val="24"/>
        </w:rPr>
        <w:t xml:space="preserve"> The</w:t>
      </w:r>
      <w:r w:rsidR="005D6FD0">
        <w:rPr>
          <w:rFonts w:ascii="Times New Roman" w:hAnsi="Times New Roman" w:cs="Times New Roman"/>
          <w:color w:val="000000"/>
          <w:sz w:val="24"/>
          <w:szCs w:val="24"/>
        </w:rPr>
        <w:t xml:space="preserve"> question is why did neither Mr. Bredenkamp nor his </w:t>
      </w:r>
      <w:r w:rsidR="009B0585">
        <w:rPr>
          <w:rFonts w:ascii="Times New Roman" w:hAnsi="Times New Roman" w:cs="Times New Roman"/>
          <w:color w:val="000000"/>
          <w:sz w:val="24"/>
          <w:szCs w:val="24"/>
        </w:rPr>
        <w:t xml:space="preserve">esteemed </w:t>
      </w:r>
      <w:r w:rsidR="005D6FD0">
        <w:rPr>
          <w:rFonts w:ascii="Times New Roman" w:hAnsi="Times New Roman" w:cs="Times New Roman"/>
          <w:color w:val="000000"/>
          <w:sz w:val="24"/>
          <w:szCs w:val="24"/>
        </w:rPr>
        <w:t>trustees take steps to ensure that applicant`s case was addressed with clarity?</w:t>
      </w:r>
      <w:r w:rsidR="002F4402">
        <w:rPr>
          <w:rFonts w:ascii="Times New Roman" w:hAnsi="Times New Roman" w:cs="Times New Roman"/>
          <w:color w:val="000000"/>
          <w:sz w:val="24"/>
          <w:szCs w:val="24"/>
        </w:rPr>
        <w:t xml:space="preserve"> </w:t>
      </w:r>
      <w:r w:rsidR="005D6FD0">
        <w:rPr>
          <w:rFonts w:ascii="Times New Roman" w:hAnsi="Times New Roman" w:cs="Times New Roman"/>
          <w:color w:val="000000"/>
          <w:sz w:val="24"/>
          <w:szCs w:val="24"/>
        </w:rPr>
        <w:t>Why did they not specifically amend the trust deed to include applicant</w:t>
      </w:r>
      <w:r>
        <w:rPr>
          <w:rFonts w:ascii="Times New Roman" w:hAnsi="Times New Roman" w:cs="Times New Roman"/>
          <w:color w:val="000000"/>
          <w:sz w:val="24"/>
          <w:szCs w:val="24"/>
        </w:rPr>
        <w:t xml:space="preserve"> if the contemporaneous documents expressed Mr. Bredenkamp`s wishes</w:t>
      </w:r>
      <w:r w:rsidR="005D6FD0">
        <w:rPr>
          <w:rFonts w:ascii="Times New Roman" w:hAnsi="Times New Roman" w:cs="Times New Roman"/>
          <w:color w:val="000000"/>
          <w:sz w:val="24"/>
          <w:szCs w:val="24"/>
        </w:rPr>
        <w:t>?</w:t>
      </w:r>
    </w:p>
    <w:p w14:paraId="7A9F4E77" w14:textId="72E9CB7B" w:rsidR="002F4402" w:rsidRDefault="007A576B"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9B02F7">
        <w:rPr>
          <w:rFonts w:ascii="Times New Roman" w:hAnsi="Times New Roman" w:cs="Times New Roman"/>
          <w:color w:val="000000"/>
          <w:sz w:val="24"/>
          <w:szCs w:val="24"/>
        </w:rPr>
        <w:t>3</w:t>
      </w:r>
      <w:r>
        <w:rPr>
          <w:rFonts w:ascii="Times New Roman" w:hAnsi="Times New Roman" w:cs="Times New Roman"/>
          <w:color w:val="000000"/>
          <w:sz w:val="24"/>
          <w:szCs w:val="24"/>
        </w:rPr>
        <w:t>] Mr.</w:t>
      </w:r>
      <w:r w:rsidR="009B0585">
        <w:rPr>
          <w:rFonts w:ascii="Times New Roman" w:hAnsi="Times New Roman" w:cs="Times New Roman"/>
          <w:color w:val="000000"/>
          <w:sz w:val="24"/>
          <w:szCs w:val="24"/>
        </w:rPr>
        <w:t xml:space="preserve"> Bredenkamp made</w:t>
      </w:r>
      <w:r w:rsidR="00B37D5F">
        <w:rPr>
          <w:rFonts w:ascii="Times New Roman" w:hAnsi="Times New Roman" w:cs="Times New Roman"/>
          <w:color w:val="000000"/>
          <w:sz w:val="24"/>
          <w:szCs w:val="24"/>
        </w:rPr>
        <w:t>, according to the story borne in the contemporaneous documents,</w:t>
      </w:r>
      <w:r w:rsidR="009B0585">
        <w:rPr>
          <w:rFonts w:ascii="Times New Roman" w:hAnsi="Times New Roman" w:cs="Times New Roman"/>
          <w:color w:val="000000"/>
          <w:sz w:val="24"/>
          <w:szCs w:val="24"/>
        </w:rPr>
        <w:t xml:space="preserve"> consistent efforts to assert applicant`s rights</w:t>
      </w:r>
      <w:r w:rsidR="00B37D5F">
        <w:rPr>
          <w:rFonts w:ascii="Times New Roman" w:hAnsi="Times New Roman" w:cs="Times New Roman"/>
          <w:color w:val="000000"/>
          <w:sz w:val="24"/>
          <w:szCs w:val="24"/>
        </w:rPr>
        <w:t xml:space="preserve">. </w:t>
      </w:r>
      <w:r w:rsidR="009B0585">
        <w:rPr>
          <w:rFonts w:ascii="Times New Roman" w:hAnsi="Times New Roman" w:cs="Times New Roman"/>
          <w:color w:val="000000"/>
          <w:sz w:val="24"/>
          <w:szCs w:val="24"/>
        </w:rPr>
        <w:t>He was an important man, wealthy and commanding a</w:t>
      </w:r>
      <w:r w:rsidR="00B37D5F">
        <w:rPr>
          <w:rFonts w:ascii="Times New Roman" w:hAnsi="Times New Roman" w:cs="Times New Roman"/>
          <w:color w:val="000000"/>
          <w:sz w:val="24"/>
          <w:szCs w:val="24"/>
        </w:rPr>
        <w:t>n impressive coterie</w:t>
      </w:r>
      <w:r w:rsidR="009B0585">
        <w:rPr>
          <w:rFonts w:ascii="Times New Roman" w:hAnsi="Times New Roman" w:cs="Times New Roman"/>
          <w:color w:val="000000"/>
          <w:sz w:val="24"/>
          <w:szCs w:val="24"/>
        </w:rPr>
        <w:t xml:space="preserve"> of lawyers, accountants and other experts. Why did he not simplify matters by providing for applicant with clarity? </w:t>
      </w:r>
      <w:r w:rsidR="00B37D5F">
        <w:rPr>
          <w:rFonts w:ascii="Times New Roman" w:hAnsi="Times New Roman" w:cs="Times New Roman"/>
          <w:color w:val="000000"/>
          <w:sz w:val="24"/>
          <w:szCs w:val="24"/>
        </w:rPr>
        <w:t xml:space="preserve">Have </w:t>
      </w:r>
      <w:r w:rsidR="009B0585">
        <w:rPr>
          <w:rFonts w:ascii="Times New Roman" w:hAnsi="Times New Roman" w:cs="Times New Roman"/>
          <w:color w:val="000000"/>
          <w:sz w:val="24"/>
          <w:szCs w:val="24"/>
        </w:rPr>
        <w:t>the contemporaneous documents help</w:t>
      </w:r>
      <w:r w:rsidR="00B37D5F">
        <w:rPr>
          <w:rFonts w:ascii="Times New Roman" w:hAnsi="Times New Roman" w:cs="Times New Roman"/>
          <w:color w:val="000000"/>
          <w:sz w:val="24"/>
          <w:szCs w:val="24"/>
        </w:rPr>
        <w:t>ed</w:t>
      </w:r>
      <w:r w:rsidR="009B0585">
        <w:rPr>
          <w:rFonts w:ascii="Times New Roman" w:hAnsi="Times New Roman" w:cs="Times New Roman"/>
          <w:color w:val="000000"/>
          <w:sz w:val="24"/>
          <w:szCs w:val="24"/>
        </w:rPr>
        <w:t xml:space="preserve"> provide an answer?</w:t>
      </w:r>
    </w:p>
    <w:p w14:paraId="21122964" w14:textId="4A87F792" w:rsidR="002F4402" w:rsidRDefault="002F4402"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A576B">
        <w:rPr>
          <w:rFonts w:ascii="Times New Roman" w:hAnsi="Times New Roman" w:cs="Times New Roman"/>
          <w:color w:val="000000"/>
          <w:sz w:val="24"/>
          <w:szCs w:val="24"/>
        </w:rPr>
        <w:t>6</w:t>
      </w:r>
      <w:r w:rsidR="009B02F7">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B37D5F">
        <w:rPr>
          <w:rFonts w:ascii="Times New Roman" w:hAnsi="Times New Roman" w:cs="Times New Roman"/>
          <w:color w:val="000000"/>
          <w:sz w:val="24"/>
          <w:szCs w:val="24"/>
        </w:rPr>
        <w:t>My conclusion is that n</w:t>
      </w:r>
      <w:r w:rsidR="009B0585">
        <w:rPr>
          <w:rFonts w:ascii="Times New Roman" w:hAnsi="Times New Roman" w:cs="Times New Roman"/>
          <w:color w:val="000000"/>
          <w:sz w:val="24"/>
          <w:szCs w:val="24"/>
        </w:rPr>
        <w:t xml:space="preserve">ot quite. </w:t>
      </w:r>
      <w:r w:rsidR="00B37D5F">
        <w:rPr>
          <w:rFonts w:ascii="Times New Roman" w:hAnsi="Times New Roman" w:cs="Times New Roman"/>
          <w:color w:val="000000"/>
          <w:sz w:val="24"/>
          <w:szCs w:val="24"/>
        </w:rPr>
        <w:t xml:space="preserve">Firstly, I believe that </w:t>
      </w:r>
      <w:r w:rsidR="005D6FD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trustees and their settlor </w:t>
      </w:r>
      <w:r w:rsidR="00B37D5F">
        <w:rPr>
          <w:rFonts w:ascii="Times New Roman" w:hAnsi="Times New Roman" w:cs="Times New Roman"/>
          <w:color w:val="000000"/>
          <w:sz w:val="24"/>
          <w:szCs w:val="24"/>
        </w:rPr>
        <w:t>were well-aware of the existence of applicant</w:t>
      </w:r>
      <w:r w:rsidR="009B02F7">
        <w:rPr>
          <w:rFonts w:ascii="Times New Roman" w:hAnsi="Times New Roman" w:cs="Times New Roman"/>
          <w:color w:val="000000"/>
          <w:sz w:val="24"/>
          <w:szCs w:val="24"/>
        </w:rPr>
        <w:t>, at the inception of first respondent trust on</w:t>
      </w:r>
      <w:r w:rsidR="00662D2B">
        <w:rPr>
          <w:rFonts w:ascii="Times New Roman" w:hAnsi="Times New Roman" w:cs="Times New Roman"/>
          <w:color w:val="000000"/>
          <w:sz w:val="24"/>
          <w:szCs w:val="24"/>
        </w:rPr>
        <w:t xml:space="preserve"> 9 August 1989</w:t>
      </w:r>
      <w:r w:rsidR="009B02F7">
        <w:rPr>
          <w:rFonts w:ascii="Times New Roman" w:hAnsi="Times New Roman" w:cs="Times New Roman"/>
          <w:color w:val="000000"/>
          <w:sz w:val="24"/>
          <w:szCs w:val="24"/>
        </w:rPr>
        <w:t xml:space="preserve">, or thereafter. They </w:t>
      </w:r>
      <w:r w:rsidR="005D6FD0">
        <w:rPr>
          <w:rFonts w:ascii="Times New Roman" w:hAnsi="Times New Roman" w:cs="Times New Roman"/>
          <w:color w:val="000000"/>
          <w:sz w:val="24"/>
          <w:szCs w:val="24"/>
        </w:rPr>
        <w:t xml:space="preserve">deliberately </w:t>
      </w:r>
      <w:r>
        <w:rPr>
          <w:rFonts w:ascii="Times New Roman" w:hAnsi="Times New Roman" w:cs="Times New Roman"/>
          <w:color w:val="000000"/>
          <w:sz w:val="24"/>
          <w:szCs w:val="24"/>
        </w:rPr>
        <w:t>excluded</w:t>
      </w:r>
      <w:r w:rsidR="009B02F7">
        <w:rPr>
          <w:rFonts w:ascii="Times New Roman" w:hAnsi="Times New Roman" w:cs="Times New Roman"/>
          <w:color w:val="000000"/>
          <w:sz w:val="24"/>
          <w:szCs w:val="24"/>
        </w:rPr>
        <w:t xml:space="preserve"> him from the trust deed`s list or classes of beneficiaries, again at inception and thereafter</w:t>
      </w:r>
      <w:r>
        <w:rPr>
          <w:rFonts w:ascii="Times New Roman" w:hAnsi="Times New Roman" w:cs="Times New Roman"/>
          <w:color w:val="000000"/>
          <w:sz w:val="24"/>
          <w:szCs w:val="24"/>
        </w:rPr>
        <w:t xml:space="preserve">. </w:t>
      </w:r>
      <w:r w:rsidR="009B02F7">
        <w:rPr>
          <w:rFonts w:ascii="Times New Roman" w:hAnsi="Times New Roman" w:cs="Times New Roman"/>
          <w:color w:val="000000"/>
          <w:sz w:val="24"/>
          <w:szCs w:val="24"/>
        </w:rPr>
        <w:t xml:space="preserve">This, as mentioned in preceding paragraphs, was a trust lawfully set, administered and governed by its instrument as well as the law. No suggestion of impropriety is made by applicant. </w:t>
      </w:r>
      <w:r w:rsidR="009B0585">
        <w:rPr>
          <w:rFonts w:ascii="Times New Roman" w:hAnsi="Times New Roman" w:cs="Times New Roman"/>
          <w:color w:val="000000"/>
          <w:sz w:val="24"/>
          <w:szCs w:val="24"/>
        </w:rPr>
        <w:t xml:space="preserve">In any event, the </w:t>
      </w:r>
      <w:r w:rsidR="00F7796E">
        <w:rPr>
          <w:rFonts w:ascii="Times New Roman" w:hAnsi="Times New Roman" w:cs="Times New Roman"/>
          <w:color w:val="000000"/>
          <w:sz w:val="24"/>
          <w:szCs w:val="24"/>
        </w:rPr>
        <w:t xml:space="preserve">trustees themselves have </w:t>
      </w:r>
      <w:r w:rsidR="00F7796E">
        <w:rPr>
          <w:rFonts w:ascii="Times New Roman" w:hAnsi="Times New Roman" w:cs="Times New Roman"/>
          <w:color w:val="000000"/>
          <w:sz w:val="24"/>
          <w:szCs w:val="24"/>
        </w:rPr>
        <w:lastRenderedPageBreak/>
        <w:t xml:space="preserve">spoken. They </w:t>
      </w:r>
      <w:r w:rsidR="003551CF">
        <w:rPr>
          <w:rFonts w:ascii="Times New Roman" w:hAnsi="Times New Roman" w:cs="Times New Roman"/>
          <w:color w:val="000000"/>
          <w:sz w:val="24"/>
          <w:szCs w:val="24"/>
        </w:rPr>
        <w:t>disowned applicant, prior to institution of these proceedings by letter dated applicant</w:t>
      </w:r>
      <w:r w:rsidR="00F7796E">
        <w:rPr>
          <w:rFonts w:ascii="Times New Roman" w:hAnsi="Times New Roman" w:cs="Times New Roman"/>
          <w:color w:val="000000"/>
          <w:sz w:val="24"/>
          <w:szCs w:val="24"/>
        </w:rPr>
        <w:t xml:space="preserve"> as a beneficiary. </w:t>
      </w:r>
    </w:p>
    <w:p w14:paraId="240B4F4B" w14:textId="2AAF1384" w:rsidR="00F7796E" w:rsidRDefault="002F4402"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A576B">
        <w:rPr>
          <w:rFonts w:ascii="Times New Roman" w:hAnsi="Times New Roman" w:cs="Times New Roman"/>
          <w:color w:val="000000"/>
          <w:sz w:val="24"/>
          <w:szCs w:val="24"/>
        </w:rPr>
        <w:t>6</w:t>
      </w:r>
      <w:r w:rsidR="009B02F7">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852289">
        <w:rPr>
          <w:rFonts w:ascii="Times New Roman" w:hAnsi="Times New Roman" w:cs="Times New Roman"/>
          <w:color w:val="000000"/>
          <w:sz w:val="24"/>
          <w:szCs w:val="24"/>
        </w:rPr>
        <w:t xml:space="preserve">The herein second to fifth respondent trustees </w:t>
      </w:r>
      <w:r w:rsidR="00F7796E">
        <w:rPr>
          <w:rFonts w:ascii="Times New Roman" w:hAnsi="Times New Roman" w:cs="Times New Roman"/>
          <w:color w:val="000000"/>
          <w:sz w:val="24"/>
          <w:szCs w:val="24"/>
        </w:rPr>
        <w:t xml:space="preserve">were not part of the original trustees, they were (i) lawfully appointed, (ii) supported by former trustee </w:t>
      </w:r>
      <w:r w:rsidR="00F7796E">
        <w:rPr>
          <w:rFonts w:ascii="Times New Roman" w:hAnsi="Times New Roman" w:cs="Times New Roman"/>
          <w:sz w:val="24"/>
          <w:szCs w:val="24"/>
        </w:rPr>
        <w:t>Mr Colin Richard Blythe-Wood</w:t>
      </w:r>
      <w:r w:rsidR="00F7796E">
        <w:rPr>
          <w:rFonts w:ascii="Times New Roman" w:hAnsi="Times New Roman" w:cs="Times New Roman"/>
          <w:color w:val="000000"/>
          <w:sz w:val="24"/>
          <w:szCs w:val="24"/>
        </w:rPr>
        <w:t xml:space="preserve"> and (iii) Mrs Bredenkamp. The relevance of these objections is that though coming from interested (if not conflicted) parties, they form part of the broad considerations around the “triad of text, context and </w:t>
      </w:r>
      <w:r>
        <w:rPr>
          <w:rFonts w:ascii="Times New Roman" w:hAnsi="Times New Roman" w:cs="Times New Roman"/>
          <w:color w:val="000000"/>
          <w:sz w:val="24"/>
          <w:szCs w:val="24"/>
        </w:rPr>
        <w:t xml:space="preserve">purpose”. My conclusion in that even taking the contemporaneous document at face value, they do not offset the position stated by the trustees.  </w:t>
      </w:r>
    </w:p>
    <w:p w14:paraId="602D0F71" w14:textId="19A21E17" w:rsidR="0029744F" w:rsidRDefault="00F7796E"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40D43">
        <w:rPr>
          <w:rFonts w:ascii="Times New Roman" w:hAnsi="Times New Roman" w:cs="Times New Roman"/>
          <w:color w:val="000000"/>
          <w:sz w:val="24"/>
          <w:szCs w:val="24"/>
        </w:rPr>
        <w:t>6</w:t>
      </w:r>
      <w:r w:rsidR="009B02F7">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9B02F7">
        <w:rPr>
          <w:rFonts w:ascii="Times New Roman" w:hAnsi="Times New Roman" w:cs="Times New Roman"/>
          <w:color w:val="000000"/>
          <w:sz w:val="24"/>
          <w:szCs w:val="24"/>
        </w:rPr>
        <w:t xml:space="preserve">The second reason why I carry the view that the contemporaneous documents have not aided the interpretation process is as follows; - one must take a closer look at these documents.  I commence with the </w:t>
      </w:r>
      <w:r w:rsidR="0029744F">
        <w:rPr>
          <w:rFonts w:ascii="Times New Roman" w:hAnsi="Times New Roman" w:cs="Times New Roman"/>
          <w:color w:val="000000"/>
          <w:sz w:val="24"/>
          <w:szCs w:val="24"/>
        </w:rPr>
        <w:t>will. This</w:t>
      </w:r>
      <w:r w:rsidR="009B02F7">
        <w:rPr>
          <w:rFonts w:ascii="Times New Roman" w:hAnsi="Times New Roman" w:cs="Times New Roman"/>
          <w:color w:val="000000"/>
          <w:sz w:val="24"/>
          <w:szCs w:val="24"/>
        </w:rPr>
        <w:t xml:space="preserve"> </w:t>
      </w:r>
      <w:r w:rsidR="0029744F">
        <w:rPr>
          <w:rFonts w:ascii="Times New Roman" w:hAnsi="Times New Roman" w:cs="Times New Roman"/>
          <w:color w:val="000000"/>
          <w:sz w:val="24"/>
          <w:szCs w:val="24"/>
        </w:rPr>
        <w:t>document reflects Mr. Bredenkamp’ s</w:t>
      </w:r>
      <w:r w:rsidR="009B02F7">
        <w:rPr>
          <w:rFonts w:ascii="Times New Roman" w:hAnsi="Times New Roman" w:cs="Times New Roman"/>
          <w:color w:val="000000"/>
          <w:sz w:val="24"/>
          <w:szCs w:val="24"/>
        </w:rPr>
        <w:t xml:space="preserve"> </w:t>
      </w:r>
      <w:r w:rsidR="0029744F">
        <w:rPr>
          <w:rFonts w:ascii="Times New Roman" w:hAnsi="Times New Roman" w:cs="Times New Roman"/>
          <w:color w:val="000000"/>
          <w:sz w:val="24"/>
          <w:szCs w:val="24"/>
        </w:rPr>
        <w:t xml:space="preserve">testamentary dispositions. These related, </w:t>
      </w:r>
      <w:r w:rsidR="009B02F7">
        <w:rPr>
          <w:rFonts w:ascii="Times New Roman" w:hAnsi="Times New Roman" w:cs="Times New Roman"/>
          <w:color w:val="000000"/>
          <w:sz w:val="24"/>
          <w:szCs w:val="24"/>
        </w:rPr>
        <w:t xml:space="preserve">as correctly noted by Mr. </w:t>
      </w:r>
      <w:r w:rsidR="009B02F7" w:rsidRPr="0029744F">
        <w:rPr>
          <w:rFonts w:ascii="Times New Roman" w:hAnsi="Times New Roman" w:cs="Times New Roman"/>
          <w:i/>
          <w:iCs/>
          <w:color w:val="000000"/>
          <w:sz w:val="24"/>
          <w:szCs w:val="24"/>
        </w:rPr>
        <w:t>Kachambwa</w:t>
      </w:r>
      <w:r w:rsidR="009B02F7">
        <w:rPr>
          <w:rFonts w:ascii="Times New Roman" w:hAnsi="Times New Roman" w:cs="Times New Roman"/>
          <w:color w:val="000000"/>
          <w:sz w:val="24"/>
          <w:szCs w:val="24"/>
        </w:rPr>
        <w:t xml:space="preserve">, </w:t>
      </w:r>
      <w:r w:rsidR="009365FD">
        <w:rPr>
          <w:rFonts w:ascii="Times New Roman" w:hAnsi="Times New Roman" w:cs="Times New Roman"/>
          <w:color w:val="000000"/>
          <w:sz w:val="24"/>
          <w:szCs w:val="24"/>
        </w:rPr>
        <w:t>to</w:t>
      </w:r>
      <w:r w:rsidR="009B02F7">
        <w:rPr>
          <w:rFonts w:ascii="Times New Roman" w:hAnsi="Times New Roman" w:cs="Times New Roman"/>
          <w:color w:val="000000"/>
          <w:sz w:val="24"/>
          <w:szCs w:val="24"/>
        </w:rPr>
        <w:t xml:space="preserve"> assets and property separate from the </w:t>
      </w:r>
      <w:r w:rsidR="0029744F">
        <w:rPr>
          <w:rFonts w:ascii="Times New Roman" w:hAnsi="Times New Roman" w:cs="Times New Roman"/>
          <w:color w:val="000000"/>
          <w:sz w:val="24"/>
          <w:szCs w:val="24"/>
        </w:rPr>
        <w:t xml:space="preserve">trust. The will </w:t>
      </w:r>
      <w:r w:rsidR="00E12797">
        <w:rPr>
          <w:rFonts w:ascii="Times New Roman" w:hAnsi="Times New Roman" w:cs="Times New Roman"/>
          <w:color w:val="000000"/>
          <w:sz w:val="24"/>
          <w:szCs w:val="24"/>
        </w:rPr>
        <w:t xml:space="preserve">did not apply to the first respondent </w:t>
      </w:r>
      <w:r w:rsidR="0029744F">
        <w:rPr>
          <w:rFonts w:ascii="Times New Roman" w:hAnsi="Times New Roman" w:cs="Times New Roman"/>
          <w:color w:val="000000"/>
          <w:sz w:val="24"/>
          <w:szCs w:val="24"/>
        </w:rPr>
        <w:t>donation.</w:t>
      </w:r>
      <w:r w:rsidR="00E12797">
        <w:rPr>
          <w:rFonts w:ascii="Times New Roman" w:hAnsi="Times New Roman" w:cs="Times New Roman"/>
          <w:color w:val="000000"/>
          <w:sz w:val="24"/>
          <w:szCs w:val="24"/>
        </w:rPr>
        <w:t xml:space="preserve"> </w:t>
      </w:r>
    </w:p>
    <w:p w14:paraId="64F75149" w14:textId="5BC750DA" w:rsidR="0029744F" w:rsidRDefault="0029744F"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[67] </w:t>
      </w:r>
      <w:r w:rsidR="00E12797">
        <w:rPr>
          <w:rFonts w:ascii="Times New Roman" w:hAnsi="Times New Roman" w:cs="Times New Roman"/>
          <w:color w:val="000000"/>
          <w:sz w:val="24"/>
          <w:szCs w:val="24"/>
        </w:rPr>
        <w:t xml:space="preserve">Whilst it specifically mentioned applicant as a “beneficiary”, </w:t>
      </w:r>
      <w:r w:rsidR="009365FD">
        <w:rPr>
          <w:rFonts w:ascii="Times New Roman" w:hAnsi="Times New Roman" w:cs="Times New Roman"/>
          <w:color w:val="000000"/>
          <w:sz w:val="24"/>
          <w:szCs w:val="24"/>
        </w:rPr>
        <w:t xml:space="preserve">the will </w:t>
      </w:r>
      <w:r w:rsidR="00E12797">
        <w:rPr>
          <w:rFonts w:ascii="Times New Roman" w:hAnsi="Times New Roman" w:cs="Times New Roman"/>
          <w:color w:val="000000"/>
          <w:sz w:val="24"/>
          <w:szCs w:val="24"/>
        </w:rPr>
        <w:t xml:space="preserve">did not amount to </w:t>
      </w:r>
      <w:r w:rsidR="00F7796E">
        <w:rPr>
          <w:rFonts w:ascii="Times New Roman" w:hAnsi="Times New Roman" w:cs="Times New Roman"/>
          <w:color w:val="000000"/>
          <w:sz w:val="24"/>
          <w:szCs w:val="24"/>
        </w:rPr>
        <w:t xml:space="preserve">a </w:t>
      </w:r>
      <w:r w:rsidR="00E12797">
        <w:rPr>
          <w:rFonts w:ascii="Times New Roman" w:hAnsi="Times New Roman" w:cs="Times New Roman"/>
          <w:color w:val="000000"/>
          <w:sz w:val="24"/>
          <w:szCs w:val="24"/>
        </w:rPr>
        <w:t xml:space="preserve">variation in terms of clause 5 (d) of the trust deed to include applicant as a beneficiary in first respondent. </w:t>
      </w:r>
      <w:r>
        <w:rPr>
          <w:rFonts w:ascii="Times New Roman" w:hAnsi="Times New Roman" w:cs="Times New Roman"/>
          <w:color w:val="000000"/>
          <w:sz w:val="24"/>
          <w:szCs w:val="24"/>
        </w:rPr>
        <w:t xml:space="preserve"> Further, </w:t>
      </w:r>
      <w:r w:rsidR="007F63DA">
        <w:rPr>
          <w:rFonts w:ascii="Times New Roman" w:hAnsi="Times New Roman" w:cs="Times New Roman"/>
          <w:color w:val="000000"/>
          <w:sz w:val="24"/>
          <w:szCs w:val="24"/>
        </w:rPr>
        <w:t xml:space="preserve">applicant did not furnish </w:t>
      </w:r>
      <w:r w:rsidR="00D32E59">
        <w:rPr>
          <w:rFonts w:ascii="Times New Roman" w:hAnsi="Times New Roman" w:cs="Times New Roman"/>
          <w:color w:val="000000"/>
          <w:sz w:val="24"/>
          <w:szCs w:val="24"/>
        </w:rPr>
        <w:t>addition</w:t>
      </w:r>
      <w:r>
        <w:rPr>
          <w:rFonts w:ascii="Times New Roman" w:hAnsi="Times New Roman" w:cs="Times New Roman"/>
          <w:color w:val="000000"/>
          <w:sz w:val="24"/>
          <w:szCs w:val="24"/>
        </w:rPr>
        <w:t>al</w:t>
      </w:r>
      <w:r w:rsidR="00D32E59">
        <w:rPr>
          <w:rFonts w:ascii="Times New Roman" w:hAnsi="Times New Roman" w:cs="Times New Roman"/>
          <w:color w:val="000000"/>
          <w:sz w:val="24"/>
          <w:szCs w:val="24"/>
        </w:rPr>
        <w:t xml:space="preserve"> </w:t>
      </w:r>
      <w:r w:rsidR="007F63DA">
        <w:rPr>
          <w:rFonts w:ascii="Times New Roman" w:hAnsi="Times New Roman" w:cs="Times New Roman"/>
          <w:color w:val="000000"/>
          <w:sz w:val="24"/>
          <w:szCs w:val="24"/>
        </w:rPr>
        <w:t>detail</w:t>
      </w:r>
      <w:r>
        <w:rPr>
          <w:rFonts w:ascii="Times New Roman" w:hAnsi="Times New Roman" w:cs="Times New Roman"/>
          <w:color w:val="000000"/>
          <w:sz w:val="24"/>
          <w:szCs w:val="24"/>
        </w:rPr>
        <w:t xml:space="preserve"> associated with this will</w:t>
      </w:r>
      <w:r w:rsidR="00D32E59">
        <w:rPr>
          <w:rFonts w:ascii="Times New Roman" w:hAnsi="Times New Roman" w:cs="Times New Roman"/>
          <w:color w:val="000000"/>
          <w:sz w:val="24"/>
          <w:szCs w:val="24"/>
        </w:rPr>
        <w:t>.</w:t>
      </w:r>
      <w:r w:rsidR="007F63DA">
        <w:rPr>
          <w:rFonts w:ascii="Times New Roman" w:hAnsi="Times New Roman" w:cs="Times New Roman"/>
          <w:color w:val="000000"/>
          <w:sz w:val="24"/>
          <w:szCs w:val="24"/>
        </w:rPr>
        <w:t xml:space="preserve"> What transpired after the will was deposed to? Did </w:t>
      </w:r>
      <w:r w:rsidR="00D32E59">
        <w:rPr>
          <w:rFonts w:ascii="Times New Roman" w:hAnsi="Times New Roman" w:cs="Times New Roman"/>
          <w:color w:val="000000"/>
          <w:sz w:val="24"/>
          <w:szCs w:val="24"/>
        </w:rPr>
        <w:t xml:space="preserve">applicant </w:t>
      </w:r>
      <w:r w:rsidR="007F63DA">
        <w:rPr>
          <w:rFonts w:ascii="Times New Roman" w:hAnsi="Times New Roman" w:cs="Times New Roman"/>
          <w:color w:val="000000"/>
          <w:sz w:val="24"/>
          <w:szCs w:val="24"/>
        </w:rPr>
        <w:t xml:space="preserve">pursue his rights and entitlement thereunder? </w:t>
      </w:r>
    </w:p>
    <w:p w14:paraId="3D8B94B7" w14:textId="0776F46A" w:rsidR="00DB7CCD" w:rsidRDefault="0029744F"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[68] Who brought it to his attention? Under what circumstances? </w:t>
      </w:r>
      <w:r w:rsidR="00D32E59">
        <w:rPr>
          <w:rFonts w:ascii="Times New Roman" w:hAnsi="Times New Roman" w:cs="Times New Roman"/>
          <w:color w:val="000000"/>
          <w:sz w:val="24"/>
          <w:szCs w:val="24"/>
        </w:rPr>
        <w:t>Similarly, th</w:t>
      </w:r>
      <w:r w:rsidR="00E12797">
        <w:rPr>
          <w:rFonts w:ascii="Times New Roman" w:hAnsi="Times New Roman" w:cs="Times New Roman"/>
          <w:color w:val="000000"/>
          <w:sz w:val="24"/>
          <w:szCs w:val="24"/>
        </w:rPr>
        <w:t xml:space="preserve">e letter of wishes was addressed to a third </w:t>
      </w:r>
      <w:r w:rsidR="00852289">
        <w:rPr>
          <w:rFonts w:ascii="Times New Roman" w:hAnsi="Times New Roman" w:cs="Times New Roman"/>
          <w:color w:val="000000"/>
          <w:sz w:val="24"/>
          <w:szCs w:val="24"/>
        </w:rPr>
        <w:t>party. In</w:t>
      </w:r>
      <w:r w:rsidR="00E12797">
        <w:rPr>
          <w:rFonts w:ascii="Times New Roman" w:hAnsi="Times New Roman" w:cs="Times New Roman"/>
          <w:color w:val="000000"/>
          <w:sz w:val="24"/>
          <w:szCs w:val="24"/>
        </w:rPr>
        <w:t xml:space="preserve"> that</w:t>
      </w:r>
      <w:r w:rsidR="00705DEB">
        <w:rPr>
          <w:rFonts w:ascii="Times New Roman" w:hAnsi="Times New Roman" w:cs="Times New Roman"/>
          <w:color w:val="000000"/>
          <w:sz w:val="24"/>
          <w:szCs w:val="24"/>
        </w:rPr>
        <w:t xml:space="preserve"> regard</w:t>
      </w:r>
      <w:r w:rsidR="00E12797">
        <w:rPr>
          <w:rFonts w:ascii="Times New Roman" w:hAnsi="Times New Roman" w:cs="Times New Roman"/>
          <w:color w:val="000000"/>
          <w:sz w:val="24"/>
          <w:szCs w:val="24"/>
        </w:rPr>
        <w:t xml:space="preserve">, </w:t>
      </w:r>
      <w:r w:rsidR="00705DEB">
        <w:rPr>
          <w:rFonts w:ascii="Times New Roman" w:hAnsi="Times New Roman" w:cs="Times New Roman"/>
          <w:color w:val="000000"/>
          <w:sz w:val="24"/>
          <w:szCs w:val="24"/>
        </w:rPr>
        <w:t xml:space="preserve">it </w:t>
      </w:r>
      <w:r w:rsidR="00E12797">
        <w:rPr>
          <w:rFonts w:ascii="Times New Roman" w:hAnsi="Times New Roman" w:cs="Times New Roman"/>
          <w:color w:val="000000"/>
          <w:sz w:val="24"/>
          <w:szCs w:val="24"/>
        </w:rPr>
        <w:t xml:space="preserve">lacked specific instructions requisite to fulfil the condition of applicant`s inclusion as a beneficiary in terms of clause 5 (d) of the trust deed. It must also be recognised </w:t>
      </w:r>
      <w:r w:rsidR="007F63DA">
        <w:rPr>
          <w:rFonts w:ascii="Times New Roman" w:hAnsi="Times New Roman" w:cs="Times New Roman"/>
          <w:color w:val="000000"/>
          <w:sz w:val="24"/>
          <w:szCs w:val="24"/>
        </w:rPr>
        <w:t>that, relevant to the present matter,</w:t>
      </w:r>
      <w:r w:rsidR="00E12797">
        <w:rPr>
          <w:rFonts w:ascii="Times New Roman" w:hAnsi="Times New Roman" w:cs="Times New Roman"/>
          <w:color w:val="000000"/>
          <w:sz w:val="24"/>
          <w:szCs w:val="24"/>
        </w:rPr>
        <w:t xml:space="preserve"> all that this letter did was mention </w:t>
      </w:r>
      <w:r w:rsidR="007F63DA">
        <w:rPr>
          <w:rFonts w:ascii="Times New Roman" w:hAnsi="Times New Roman" w:cs="Times New Roman"/>
          <w:color w:val="000000"/>
          <w:sz w:val="24"/>
          <w:szCs w:val="24"/>
        </w:rPr>
        <w:t>applicant`s status as a beneficiary.</w:t>
      </w:r>
    </w:p>
    <w:p w14:paraId="2914AF8D" w14:textId="733E52A1" w:rsidR="007A576B" w:rsidRDefault="00DB7CCD"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D6B3C">
        <w:rPr>
          <w:rFonts w:ascii="Times New Roman" w:hAnsi="Times New Roman" w:cs="Times New Roman"/>
          <w:color w:val="000000"/>
          <w:sz w:val="24"/>
          <w:szCs w:val="24"/>
        </w:rPr>
        <w:t>6</w:t>
      </w:r>
      <w:r w:rsidR="0029744F">
        <w:rPr>
          <w:rFonts w:ascii="Times New Roman" w:hAnsi="Times New Roman" w:cs="Times New Roman"/>
          <w:color w:val="000000"/>
          <w:sz w:val="24"/>
          <w:szCs w:val="24"/>
        </w:rPr>
        <w:t>9</w:t>
      </w:r>
      <w:r>
        <w:rPr>
          <w:rFonts w:ascii="Times New Roman" w:hAnsi="Times New Roman" w:cs="Times New Roman"/>
          <w:color w:val="000000"/>
          <w:sz w:val="24"/>
          <w:szCs w:val="24"/>
        </w:rPr>
        <w:t>] The</w:t>
      </w:r>
      <w:r w:rsidR="007F63DA">
        <w:rPr>
          <w:rFonts w:ascii="Times New Roman" w:hAnsi="Times New Roman" w:cs="Times New Roman"/>
          <w:color w:val="000000"/>
          <w:sz w:val="24"/>
          <w:szCs w:val="24"/>
        </w:rPr>
        <w:t xml:space="preserve"> relationship between the third-party recipient of that letter-Maitland Trust-and first respondent is not clear</w:t>
      </w:r>
      <w:r w:rsidR="0029744F">
        <w:rPr>
          <w:rFonts w:ascii="Times New Roman" w:hAnsi="Times New Roman" w:cs="Times New Roman"/>
          <w:color w:val="000000"/>
          <w:sz w:val="24"/>
          <w:szCs w:val="24"/>
        </w:rPr>
        <w:t xml:space="preserve"> from the letter</w:t>
      </w:r>
      <w:r w:rsidR="007F63DA">
        <w:rPr>
          <w:rFonts w:ascii="Times New Roman" w:hAnsi="Times New Roman" w:cs="Times New Roman"/>
          <w:color w:val="000000"/>
          <w:sz w:val="24"/>
          <w:szCs w:val="24"/>
        </w:rPr>
        <w:t xml:space="preserve">. Nor did applicant again, plead further facts regarding the action taken after the letter was written. </w:t>
      </w:r>
      <w:r w:rsidR="00F7796E">
        <w:rPr>
          <w:rFonts w:ascii="Times New Roman" w:hAnsi="Times New Roman" w:cs="Times New Roman"/>
          <w:color w:val="000000"/>
          <w:sz w:val="24"/>
          <w:szCs w:val="24"/>
        </w:rPr>
        <w:t xml:space="preserve"> The same fate ought to </w:t>
      </w:r>
      <w:r>
        <w:rPr>
          <w:rFonts w:ascii="Times New Roman" w:hAnsi="Times New Roman" w:cs="Times New Roman"/>
          <w:color w:val="000000"/>
          <w:sz w:val="24"/>
          <w:szCs w:val="24"/>
        </w:rPr>
        <w:t>befall the</w:t>
      </w:r>
      <w:r w:rsidR="00F7796E">
        <w:rPr>
          <w:rFonts w:ascii="Times New Roman" w:hAnsi="Times New Roman" w:cs="Times New Roman"/>
          <w:color w:val="000000"/>
          <w:sz w:val="24"/>
          <w:szCs w:val="24"/>
        </w:rPr>
        <w:t xml:space="preserve"> minutes of 20 August 2019 and Mr. Lawrence Majuru`s supporting </w:t>
      </w:r>
      <w:r w:rsidR="002573F2">
        <w:rPr>
          <w:rFonts w:ascii="Times New Roman" w:hAnsi="Times New Roman" w:cs="Times New Roman"/>
          <w:color w:val="000000"/>
          <w:sz w:val="24"/>
          <w:szCs w:val="24"/>
        </w:rPr>
        <w:t>affidavit. I</w:t>
      </w:r>
      <w:r>
        <w:rPr>
          <w:rFonts w:ascii="Times New Roman" w:hAnsi="Times New Roman" w:cs="Times New Roman"/>
          <w:color w:val="000000"/>
          <w:sz w:val="24"/>
          <w:szCs w:val="24"/>
        </w:rPr>
        <w:t xml:space="preserve"> </w:t>
      </w:r>
      <w:r w:rsidR="00852289">
        <w:rPr>
          <w:rFonts w:ascii="Times New Roman" w:hAnsi="Times New Roman" w:cs="Times New Roman"/>
          <w:color w:val="000000"/>
          <w:sz w:val="24"/>
          <w:szCs w:val="24"/>
        </w:rPr>
        <w:t>note, in conclusion,</w:t>
      </w:r>
      <w:r>
        <w:rPr>
          <w:rFonts w:ascii="Times New Roman" w:hAnsi="Times New Roman" w:cs="Times New Roman"/>
          <w:color w:val="000000"/>
          <w:sz w:val="24"/>
          <w:szCs w:val="24"/>
        </w:rPr>
        <w:t xml:space="preserve"> that apart from the contemporaneous documents, the founding affidavit did not advert to any further facts to found the contextual </w:t>
      </w:r>
      <w:r w:rsidR="002573F2">
        <w:rPr>
          <w:rFonts w:ascii="Times New Roman" w:hAnsi="Times New Roman" w:cs="Times New Roman"/>
          <w:color w:val="000000"/>
          <w:sz w:val="24"/>
          <w:szCs w:val="24"/>
        </w:rPr>
        <w:t>background</w:t>
      </w:r>
      <w:r>
        <w:rPr>
          <w:rFonts w:ascii="Times New Roman" w:hAnsi="Times New Roman" w:cs="Times New Roman"/>
          <w:color w:val="000000"/>
          <w:sz w:val="24"/>
          <w:szCs w:val="24"/>
        </w:rPr>
        <w:t xml:space="preserve"> </w:t>
      </w:r>
      <w:r w:rsidR="002573F2">
        <w:rPr>
          <w:rFonts w:ascii="Times New Roman" w:hAnsi="Times New Roman" w:cs="Times New Roman"/>
          <w:color w:val="000000"/>
          <w:sz w:val="24"/>
          <w:szCs w:val="24"/>
        </w:rPr>
        <w:t xml:space="preserve">helpful to the interpretation </w:t>
      </w:r>
      <w:r w:rsidR="00582154">
        <w:rPr>
          <w:rFonts w:ascii="Times New Roman" w:hAnsi="Times New Roman" w:cs="Times New Roman"/>
          <w:color w:val="000000"/>
          <w:sz w:val="24"/>
          <w:szCs w:val="24"/>
        </w:rPr>
        <w:t>process.</w:t>
      </w:r>
    </w:p>
    <w:p w14:paraId="628B04A0" w14:textId="47B8C897" w:rsidR="00DB7CCD" w:rsidRDefault="007A576B" w:rsidP="007060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9744F">
        <w:rPr>
          <w:rFonts w:ascii="Times New Roman" w:hAnsi="Times New Roman" w:cs="Times New Roman"/>
          <w:color w:val="000000"/>
          <w:sz w:val="24"/>
          <w:szCs w:val="24"/>
        </w:rPr>
        <w:t>70</w:t>
      </w:r>
      <w:r>
        <w:rPr>
          <w:rFonts w:ascii="Times New Roman" w:hAnsi="Times New Roman" w:cs="Times New Roman"/>
          <w:color w:val="000000"/>
          <w:sz w:val="24"/>
          <w:szCs w:val="24"/>
        </w:rPr>
        <w:t>] Overally, t</w:t>
      </w:r>
      <w:r w:rsidR="00582154">
        <w:rPr>
          <w:rFonts w:ascii="Times New Roman" w:hAnsi="Times New Roman" w:cs="Times New Roman"/>
          <w:color w:val="000000"/>
          <w:sz w:val="24"/>
          <w:szCs w:val="24"/>
        </w:rPr>
        <w:t xml:space="preserve">he applicant relayed a </w:t>
      </w:r>
      <w:r>
        <w:rPr>
          <w:rFonts w:ascii="Times New Roman" w:hAnsi="Times New Roman" w:cs="Times New Roman"/>
          <w:color w:val="000000"/>
          <w:sz w:val="24"/>
          <w:szCs w:val="24"/>
        </w:rPr>
        <w:t xml:space="preserve">rather </w:t>
      </w:r>
      <w:r w:rsidR="00582154">
        <w:rPr>
          <w:rFonts w:ascii="Times New Roman" w:hAnsi="Times New Roman" w:cs="Times New Roman"/>
          <w:color w:val="000000"/>
          <w:sz w:val="24"/>
          <w:szCs w:val="24"/>
        </w:rPr>
        <w:t xml:space="preserve">sterile </w:t>
      </w:r>
      <w:r>
        <w:rPr>
          <w:rFonts w:ascii="Times New Roman" w:hAnsi="Times New Roman" w:cs="Times New Roman"/>
          <w:color w:val="000000"/>
          <w:sz w:val="24"/>
          <w:szCs w:val="24"/>
        </w:rPr>
        <w:t xml:space="preserve">story. It disclosed practically </w:t>
      </w:r>
      <w:r w:rsidR="00582154">
        <w:rPr>
          <w:rFonts w:ascii="Times New Roman" w:hAnsi="Times New Roman" w:cs="Times New Roman"/>
          <w:color w:val="000000"/>
          <w:sz w:val="24"/>
          <w:szCs w:val="24"/>
        </w:rPr>
        <w:t xml:space="preserve">nothing of his relationship with the late Mr. </w:t>
      </w:r>
      <w:r>
        <w:rPr>
          <w:rFonts w:ascii="Times New Roman" w:hAnsi="Times New Roman" w:cs="Times New Roman"/>
          <w:color w:val="000000"/>
          <w:sz w:val="24"/>
          <w:szCs w:val="24"/>
        </w:rPr>
        <w:t xml:space="preserve">Bredenkemp are unaware of how applicant related with Mr. </w:t>
      </w:r>
      <w:r>
        <w:rPr>
          <w:rFonts w:ascii="Times New Roman" w:hAnsi="Times New Roman" w:cs="Times New Roman"/>
          <w:color w:val="000000"/>
          <w:sz w:val="24"/>
          <w:szCs w:val="24"/>
        </w:rPr>
        <w:lastRenderedPageBreak/>
        <w:t>Bredenkamp if at all. There was nothing regarding whether or not Mr. Bredenkamp provided for applicant`s upkeep.</w:t>
      </w:r>
      <w:r w:rsidR="00582154">
        <w:rPr>
          <w:rFonts w:ascii="Times New Roman" w:hAnsi="Times New Roman" w:cs="Times New Roman"/>
          <w:color w:val="000000"/>
          <w:sz w:val="24"/>
          <w:szCs w:val="24"/>
        </w:rPr>
        <w:t xml:space="preserve"> Applicant was 22 years when his father died. Yet not a smidgeon of personal interaction issues from his tale apart from references in the contemporaneous documents.</w:t>
      </w:r>
    </w:p>
    <w:p w14:paraId="2CA7DD50" w14:textId="0DFE39EC" w:rsidR="000F14FB" w:rsidRPr="00582154" w:rsidRDefault="000F14FB" w:rsidP="0070609A">
      <w:pPr>
        <w:spacing w:line="360" w:lineRule="auto"/>
        <w:jc w:val="both"/>
        <w:rPr>
          <w:rFonts w:ascii="Times New Roman" w:hAnsi="Times New Roman" w:cs="Times New Roman"/>
          <w:color w:val="000000"/>
          <w:sz w:val="20"/>
          <w:szCs w:val="20"/>
        </w:rPr>
      </w:pPr>
      <w:r w:rsidRPr="00582154">
        <w:rPr>
          <w:rFonts w:ascii="Times New Roman" w:hAnsi="Times New Roman" w:cs="Times New Roman"/>
          <w:color w:val="000000"/>
          <w:sz w:val="20"/>
          <w:szCs w:val="20"/>
        </w:rPr>
        <w:t xml:space="preserve">THE CONDITION </w:t>
      </w:r>
      <w:r w:rsidR="00705DEB" w:rsidRPr="00582154">
        <w:rPr>
          <w:rFonts w:ascii="Times New Roman" w:hAnsi="Times New Roman" w:cs="Times New Roman"/>
          <w:color w:val="000000"/>
          <w:sz w:val="20"/>
          <w:szCs w:val="20"/>
        </w:rPr>
        <w:t xml:space="preserve">IN </w:t>
      </w:r>
      <w:r w:rsidRPr="00582154">
        <w:rPr>
          <w:rFonts w:ascii="Times New Roman" w:hAnsi="Times New Roman" w:cs="Times New Roman"/>
          <w:color w:val="000000"/>
          <w:sz w:val="20"/>
          <w:szCs w:val="20"/>
        </w:rPr>
        <w:t xml:space="preserve">CLAUSE 7 OF THE TRUST </w:t>
      </w:r>
      <w:r w:rsidR="00B7238E" w:rsidRPr="00582154">
        <w:rPr>
          <w:rFonts w:ascii="Times New Roman" w:hAnsi="Times New Roman" w:cs="Times New Roman"/>
          <w:color w:val="000000"/>
          <w:sz w:val="20"/>
          <w:szCs w:val="20"/>
        </w:rPr>
        <w:t>DEED:</w:t>
      </w:r>
      <w:r w:rsidRPr="00582154">
        <w:rPr>
          <w:rFonts w:ascii="Times New Roman" w:hAnsi="Times New Roman" w:cs="Times New Roman"/>
          <w:color w:val="000000"/>
          <w:sz w:val="20"/>
          <w:szCs w:val="20"/>
        </w:rPr>
        <w:t xml:space="preserve"> “RESIDENT IN ZIMBABWE”</w:t>
      </w:r>
    </w:p>
    <w:p w14:paraId="7820F99E" w14:textId="2C5F4D48" w:rsidR="00B7238E" w:rsidRPr="00705DEB" w:rsidRDefault="00B7238E" w:rsidP="0070609A">
      <w:pPr>
        <w:spacing w:line="360" w:lineRule="auto"/>
        <w:jc w:val="both"/>
        <w:rPr>
          <w:rFonts w:ascii="Times New Roman" w:hAnsi="Times New Roman" w:cs="Times New Roman"/>
          <w:i/>
          <w:iCs/>
          <w:sz w:val="24"/>
          <w:szCs w:val="24"/>
          <w:u w:val="single"/>
        </w:rPr>
      </w:pPr>
      <w:r>
        <w:rPr>
          <w:rFonts w:ascii="Times New Roman" w:hAnsi="Times New Roman" w:cs="Times New Roman"/>
          <w:sz w:val="24"/>
          <w:szCs w:val="24"/>
        </w:rPr>
        <w:t>[</w:t>
      </w:r>
      <w:r w:rsidR="0029744F">
        <w:rPr>
          <w:rFonts w:ascii="Times New Roman" w:hAnsi="Times New Roman" w:cs="Times New Roman"/>
          <w:sz w:val="24"/>
          <w:szCs w:val="24"/>
        </w:rPr>
        <w:t>71</w:t>
      </w:r>
      <w:r>
        <w:rPr>
          <w:rFonts w:ascii="Times New Roman" w:hAnsi="Times New Roman" w:cs="Times New Roman"/>
          <w:sz w:val="24"/>
          <w:szCs w:val="24"/>
        </w:rPr>
        <w:t xml:space="preserve">] It is necessary </w:t>
      </w:r>
      <w:r w:rsidR="00852289">
        <w:rPr>
          <w:rFonts w:ascii="Times New Roman" w:hAnsi="Times New Roman" w:cs="Times New Roman"/>
          <w:sz w:val="24"/>
          <w:szCs w:val="24"/>
        </w:rPr>
        <w:t>that I a</w:t>
      </w:r>
      <w:r>
        <w:rPr>
          <w:rFonts w:ascii="Times New Roman" w:hAnsi="Times New Roman" w:cs="Times New Roman"/>
          <w:sz w:val="24"/>
          <w:szCs w:val="24"/>
        </w:rPr>
        <w:t>ddress an additional argument raised by the respondents. It was contended that applicant faced a second hurdle in his quest to assert beneficiary status. The trust deed provided that “</w:t>
      </w:r>
      <w:r w:rsidRPr="00193184">
        <w:rPr>
          <w:rFonts w:ascii="Times New Roman" w:hAnsi="Times New Roman" w:cs="Times New Roman"/>
          <w:sz w:val="24"/>
          <w:szCs w:val="24"/>
          <w:u w:val="single"/>
        </w:rPr>
        <w:t xml:space="preserve">For the purposes of this settlement the term “the beneficiaries” shall include all or any of the following persons or classes of persons </w:t>
      </w:r>
      <w:r w:rsidRPr="00705DEB">
        <w:rPr>
          <w:rFonts w:ascii="Times New Roman" w:hAnsi="Times New Roman" w:cs="Times New Roman"/>
          <w:i/>
          <w:iCs/>
          <w:sz w:val="24"/>
          <w:szCs w:val="24"/>
          <w:u w:val="single"/>
        </w:rPr>
        <w:t>provided that they reside in Zimbabwe.”</w:t>
      </w:r>
    </w:p>
    <w:p w14:paraId="7CCBE84D" w14:textId="18720C9F" w:rsidR="007A576B" w:rsidRDefault="00B7238E" w:rsidP="0070609A">
      <w:pPr>
        <w:spacing w:line="360" w:lineRule="auto"/>
        <w:jc w:val="both"/>
        <w:rPr>
          <w:rFonts w:ascii="Times New Roman" w:hAnsi="Times New Roman" w:cs="Times New Roman"/>
          <w:sz w:val="24"/>
          <w:szCs w:val="24"/>
        </w:rPr>
      </w:pPr>
      <w:r w:rsidRPr="00B7238E">
        <w:rPr>
          <w:rFonts w:ascii="Times New Roman" w:hAnsi="Times New Roman" w:cs="Times New Roman"/>
          <w:sz w:val="24"/>
          <w:szCs w:val="24"/>
        </w:rPr>
        <w:t>[</w:t>
      </w:r>
      <w:r w:rsidR="0029744F">
        <w:rPr>
          <w:rFonts w:ascii="Times New Roman" w:hAnsi="Times New Roman" w:cs="Times New Roman"/>
          <w:sz w:val="24"/>
          <w:szCs w:val="24"/>
        </w:rPr>
        <w:t>72</w:t>
      </w:r>
      <w:r w:rsidRPr="00B7238E">
        <w:rPr>
          <w:rFonts w:ascii="Times New Roman" w:hAnsi="Times New Roman" w:cs="Times New Roman"/>
          <w:sz w:val="24"/>
          <w:szCs w:val="24"/>
        </w:rPr>
        <w:t xml:space="preserve">] Applicant is a confirmed </w:t>
      </w:r>
      <w:r>
        <w:rPr>
          <w:rFonts w:ascii="Times New Roman" w:hAnsi="Times New Roman" w:cs="Times New Roman"/>
          <w:sz w:val="24"/>
          <w:szCs w:val="24"/>
        </w:rPr>
        <w:t>peregrin</w:t>
      </w:r>
      <w:r w:rsidR="007A576B">
        <w:rPr>
          <w:rFonts w:ascii="Times New Roman" w:hAnsi="Times New Roman" w:cs="Times New Roman"/>
          <w:sz w:val="24"/>
          <w:szCs w:val="24"/>
        </w:rPr>
        <w:t>e</w:t>
      </w:r>
      <w:r>
        <w:rPr>
          <w:rFonts w:ascii="Times New Roman" w:hAnsi="Times New Roman" w:cs="Times New Roman"/>
          <w:sz w:val="24"/>
          <w:szCs w:val="24"/>
        </w:rPr>
        <w:t xml:space="preserve">. He is resident in England in the United Kingdom where he was born. The proviso in the above excerpt </w:t>
      </w:r>
      <w:r w:rsidR="007A576B">
        <w:rPr>
          <w:rFonts w:ascii="Times New Roman" w:hAnsi="Times New Roman" w:cs="Times New Roman"/>
          <w:sz w:val="24"/>
          <w:szCs w:val="24"/>
        </w:rPr>
        <w:t>stands to d</w:t>
      </w:r>
      <w:r>
        <w:rPr>
          <w:rFonts w:ascii="Times New Roman" w:hAnsi="Times New Roman" w:cs="Times New Roman"/>
          <w:sz w:val="24"/>
          <w:szCs w:val="24"/>
        </w:rPr>
        <w:t xml:space="preserve">isqualify him as a beneficiary, argued the </w:t>
      </w:r>
      <w:r w:rsidR="000E234F">
        <w:rPr>
          <w:rFonts w:ascii="Times New Roman" w:hAnsi="Times New Roman" w:cs="Times New Roman"/>
          <w:sz w:val="24"/>
          <w:szCs w:val="24"/>
        </w:rPr>
        <w:t xml:space="preserve">respondent. Mr. </w:t>
      </w:r>
      <w:r w:rsidR="000E234F" w:rsidRPr="00852289">
        <w:rPr>
          <w:rFonts w:ascii="Times New Roman" w:hAnsi="Times New Roman" w:cs="Times New Roman"/>
          <w:i/>
          <w:iCs/>
          <w:sz w:val="24"/>
          <w:szCs w:val="24"/>
        </w:rPr>
        <w:t>Mpofu</w:t>
      </w:r>
      <w:r w:rsidR="000E234F">
        <w:rPr>
          <w:rFonts w:ascii="Times New Roman" w:hAnsi="Times New Roman" w:cs="Times New Roman"/>
          <w:sz w:val="24"/>
          <w:szCs w:val="24"/>
        </w:rPr>
        <w:t xml:space="preserve"> disputed this </w:t>
      </w:r>
      <w:r w:rsidR="007A576B">
        <w:rPr>
          <w:rFonts w:ascii="Times New Roman" w:hAnsi="Times New Roman" w:cs="Times New Roman"/>
          <w:sz w:val="24"/>
          <w:szCs w:val="24"/>
        </w:rPr>
        <w:t xml:space="preserve">conclusion, submitting, </w:t>
      </w:r>
      <w:r w:rsidR="000E234F">
        <w:rPr>
          <w:rFonts w:ascii="Times New Roman" w:hAnsi="Times New Roman" w:cs="Times New Roman"/>
          <w:sz w:val="24"/>
          <w:szCs w:val="24"/>
        </w:rPr>
        <w:t xml:space="preserve">in the process, that the issue of residence did not automatically disentitle </w:t>
      </w:r>
      <w:r w:rsidR="007A576B">
        <w:rPr>
          <w:rFonts w:ascii="Times New Roman" w:hAnsi="Times New Roman" w:cs="Times New Roman"/>
          <w:sz w:val="24"/>
          <w:szCs w:val="24"/>
        </w:rPr>
        <w:t xml:space="preserve">applicant. It was a matter that stood to be considered only at the stage of donation </w:t>
      </w:r>
      <w:r w:rsidR="00CF68CD">
        <w:rPr>
          <w:rFonts w:ascii="Times New Roman" w:hAnsi="Times New Roman" w:cs="Times New Roman"/>
          <w:sz w:val="24"/>
          <w:szCs w:val="24"/>
        </w:rPr>
        <w:t xml:space="preserve">distribution. This argument was raised as a legal interpretation of the trust deed`s clause 5. </w:t>
      </w:r>
    </w:p>
    <w:p w14:paraId="4BC0FD1E" w14:textId="3B9E6EE7" w:rsidR="00CF68CD" w:rsidRDefault="007A576B"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9744F">
        <w:rPr>
          <w:rFonts w:ascii="Times New Roman" w:hAnsi="Times New Roman" w:cs="Times New Roman"/>
          <w:sz w:val="24"/>
          <w:szCs w:val="24"/>
        </w:rPr>
        <w:t>3</w:t>
      </w:r>
      <w:r>
        <w:rPr>
          <w:rFonts w:ascii="Times New Roman" w:hAnsi="Times New Roman" w:cs="Times New Roman"/>
          <w:sz w:val="24"/>
          <w:szCs w:val="24"/>
        </w:rPr>
        <w:t xml:space="preserve">] </w:t>
      </w:r>
      <w:r w:rsidR="00DD6535">
        <w:rPr>
          <w:rFonts w:ascii="Times New Roman" w:hAnsi="Times New Roman" w:cs="Times New Roman"/>
          <w:sz w:val="24"/>
          <w:szCs w:val="24"/>
        </w:rPr>
        <w:t xml:space="preserve">The </w:t>
      </w:r>
      <w:r w:rsidR="007721AE">
        <w:rPr>
          <w:rFonts w:ascii="Times New Roman" w:hAnsi="Times New Roman" w:cs="Times New Roman"/>
          <w:sz w:val="24"/>
          <w:szCs w:val="24"/>
        </w:rPr>
        <w:t xml:space="preserve">trust deed uses the term “for purposes of this settlement” in clause 5. The wording is preceded by a description of how first respondent`s trustees may, carry out a final disbursement of the capital or residue of the donation. It is thus unclear as to whether the term “settlement” refers to the first respondent trust itself, the trust deed, or process of distribution. </w:t>
      </w:r>
      <w:r w:rsidR="00CF68CD">
        <w:rPr>
          <w:rFonts w:ascii="Times New Roman" w:hAnsi="Times New Roman" w:cs="Times New Roman"/>
          <w:sz w:val="24"/>
          <w:szCs w:val="24"/>
        </w:rPr>
        <w:t xml:space="preserve">This observation takes the issue of the peregrine status out of the realm of pure legal considerations. </w:t>
      </w:r>
    </w:p>
    <w:p w14:paraId="7295A9B0" w14:textId="5DFD508C" w:rsidR="000E234F" w:rsidRDefault="00CF68CD"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9744F">
        <w:rPr>
          <w:rFonts w:ascii="Times New Roman" w:hAnsi="Times New Roman" w:cs="Times New Roman"/>
          <w:sz w:val="24"/>
          <w:szCs w:val="24"/>
        </w:rPr>
        <w:t>4</w:t>
      </w:r>
      <w:r>
        <w:rPr>
          <w:rFonts w:ascii="Times New Roman" w:hAnsi="Times New Roman" w:cs="Times New Roman"/>
          <w:sz w:val="24"/>
          <w:szCs w:val="24"/>
        </w:rPr>
        <w:t>] Especially given that applicant is pursuing declaratory relief. The claim is based on rights created by clause 5.</w:t>
      </w:r>
      <w:r w:rsidRPr="007721AE">
        <w:rPr>
          <w:rFonts w:ascii="Times New Roman" w:hAnsi="Times New Roman" w:cs="Times New Roman"/>
          <w:sz w:val="24"/>
          <w:szCs w:val="24"/>
        </w:rPr>
        <w:t xml:space="preserve"> </w:t>
      </w:r>
      <w:r>
        <w:rPr>
          <w:rFonts w:ascii="Times New Roman" w:hAnsi="Times New Roman" w:cs="Times New Roman"/>
          <w:sz w:val="24"/>
          <w:szCs w:val="24"/>
        </w:rPr>
        <w:t xml:space="preserve">I believe the issue of residence ought to have been pleaded as it impacted the suite of rights which applicant claimed he possessed. Applicant did not do so. In paragraph 8 of his founding affidavit, applicant claimed that the three siblings Caron, Sarah and John were, like him, also resident out of Zimbabwe. That is the only reference he made to the issue of residence. Additionally, </w:t>
      </w:r>
      <w:r w:rsidR="007721AE">
        <w:rPr>
          <w:rFonts w:ascii="Times New Roman" w:hAnsi="Times New Roman" w:cs="Times New Roman"/>
          <w:sz w:val="24"/>
          <w:szCs w:val="24"/>
        </w:rPr>
        <w:t xml:space="preserve">clause 7 of the </w:t>
      </w:r>
      <w:r w:rsidR="00DD6535">
        <w:rPr>
          <w:rFonts w:ascii="Times New Roman" w:hAnsi="Times New Roman" w:cs="Times New Roman"/>
          <w:sz w:val="24"/>
          <w:szCs w:val="24"/>
        </w:rPr>
        <w:t xml:space="preserve">trust deed </w:t>
      </w:r>
      <w:r w:rsidR="000E234F">
        <w:rPr>
          <w:rFonts w:ascii="Times New Roman" w:hAnsi="Times New Roman" w:cs="Times New Roman"/>
          <w:sz w:val="24"/>
          <w:szCs w:val="24"/>
        </w:rPr>
        <w:t>which provided as follows; -</w:t>
      </w:r>
    </w:p>
    <w:p w14:paraId="41FEB8AF" w14:textId="2E3281FD" w:rsidR="000E234F" w:rsidRPr="00B7238E" w:rsidRDefault="00E90B8C" w:rsidP="00E90B8C">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“7. </w:t>
      </w:r>
      <w:r w:rsidR="000E234F">
        <w:rPr>
          <w:rFonts w:ascii="Times New Roman" w:hAnsi="Times New Roman" w:cs="Times New Roman"/>
          <w:sz w:val="24"/>
          <w:szCs w:val="24"/>
        </w:rPr>
        <w:t>That notwithstanding anything hereinbefore contained should there no longer be any legal restriction on payment from Zimbabwe to foreign residents under exchange control or any other legislation any restriction in this Deed requiring beneficiaries to be resident in Zimbabwe shall cease to have effect.”</w:t>
      </w:r>
    </w:p>
    <w:p w14:paraId="63A66352" w14:textId="58EC25F6" w:rsidR="004E2D9D" w:rsidRDefault="007721AE"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F68CD">
        <w:rPr>
          <w:rFonts w:ascii="Times New Roman" w:hAnsi="Times New Roman" w:cs="Times New Roman"/>
          <w:sz w:val="24"/>
          <w:szCs w:val="24"/>
        </w:rPr>
        <w:t>7</w:t>
      </w:r>
      <w:r w:rsidR="0029744F">
        <w:rPr>
          <w:rFonts w:ascii="Times New Roman" w:hAnsi="Times New Roman" w:cs="Times New Roman"/>
          <w:sz w:val="24"/>
          <w:szCs w:val="24"/>
        </w:rPr>
        <w:t>5</w:t>
      </w:r>
      <w:r w:rsidR="00CF68CD">
        <w:rPr>
          <w:rFonts w:ascii="Times New Roman" w:hAnsi="Times New Roman" w:cs="Times New Roman"/>
          <w:sz w:val="24"/>
          <w:szCs w:val="24"/>
        </w:rPr>
        <w:t>]</w:t>
      </w:r>
      <w:r>
        <w:rPr>
          <w:rFonts w:ascii="Times New Roman" w:hAnsi="Times New Roman" w:cs="Times New Roman"/>
          <w:sz w:val="24"/>
          <w:szCs w:val="24"/>
        </w:rPr>
        <w:t xml:space="preserve"> </w:t>
      </w:r>
      <w:r w:rsidR="00CF68CD">
        <w:rPr>
          <w:rFonts w:ascii="Times New Roman" w:hAnsi="Times New Roman" w:cs="Times New Roman"/>
          <w:sz w:val="24"/>
          <w:szCs w:val="24"/>
        </w:rPr>
        <w:t>T</w:t>
      </w:r>
      <w:r w:rsidR="00705DEB">
        <w:rPr>
          <w:rFonts w:ascii="Times New Roman" w:hAnsi="Times New Roman" w:cs="Times New Roman"/>
          <w:sz w:val="24"/>
          <w:szCs w:val="24"/>
        </w:rPr>
        <w:t xml:space="preserve">here was no comment on whether or not applicant qualified for the exemption stated in clause 7. There was no exploration of this matter especially the applicable exchange control regime to establish </w:t>
      </w:r>
      <w:r w:rsidR="00651A7C">
        <w:rPr>
          <w:rFonts w:ascii="Times New Roman" w:hAnsi="Times New Roman" w:cs="Times New Roman"/>
          <w:sz w:val="24"/>
          <w:szCs w:val="24"/>
        </w:rPr>
        <w:t xml:space="preserve">if they extended a reprieve to </w:t>
      </w:r>
      <w:r w:rsidR="00F45C72">
        <w:rPr>
          <w:rFonts w:ascii="Times New Roman" w:hAnsi="Times New Roman" w:cs="Times New Roman"/>
          <w:sz w:val="24"/>
          <w:szCs w:val="24"/>
        </w:rPr>
        <w:t>applicant.  Nor</w:t>
      </w:r>
      <w:r w:rsidR="00705DEB">
        <w:rPr>
          <w:rFonts w:ascii="Times New Roman" w:hAnsi="Times New Roman" w:cs="Times New Roman"/>
          <w:sz w:val="24"/>
          <w:szCs w:val="24"/>
        </w:rPr>
        <w:t xml:space="preserve"> did the respondents advert to the condition in this clause in furtherance of their defence.</w:t>
      </w:r>
      <w:r w:rsidR="00CF68CD">
        <w:rPr>
          <w:rFonts w:ascii="Times New Roman" w:hAnsi="Times New Roman" w:cs="Times New Roman"/>
          <w:sz w:val="24"/>
          <w:szCs w:val="24"/>
        </w:rPr>
        <w:t xml:space="preserve"> On</w:t>
      </w:r>
      <w:r w:rsidR="00651A7C">
        <w:rPr>
          <w:rFonts w:ascii="Times New Roman" w:hAnsi="Times New Roman" w:cs="Times New Roman"/>
          <w:sz w:val="24"/>
          <w:szCs w:val="24"/>
        </w:rPr>
        <w:t xml:space="preserve"> that basis</w:t>
      </w:r>
      <w:r w:rsidR="00F45C72">
        <w:rPr>
          <w:rFonts w:ascii="Times New Roman" w:hAnsi="Times New Roman" w:cs="Times New Roman"/>
          <w:sz w:val="24"/>
          <w:szCs w:val="24"/>
        </w:rPr>
        <w:t xml:space="preserve">, I find that applicant tendered </w:t>
      </w:r>
      <w:r w:rsidR="00CF68CD">
        <w:rPr>
          <w:rFonts w:ascii="Times New Roman" w:hAnsi="Times New Roman" w:cs="Times New Roman"/>
          <w:sz w:val="24"/>
          <w:szCs w:val="24"/>
        </w:rPr>
        <w:t>(i) ought to have pleaded the matter of e</w:t>
      </w:r>
      <w:r w:rsidR="00F45C72">
        <w:rPr>
          <w:rFonts w:ascii="Times New Roman" w:hAnsi="Times New Roman" w:cs="Times New Roman"/>
          <w:sz w:val="24"/>
          <w:szCs w:val="24"/>
        </w:rPr>
        <w:t xml:space="preserve">xtra-jurisdictional disqualification </w:t>
      </w:r>
      <w:r w:rsidR="00CF68CD">
        <w:rPr>
          <w:rFonts w:ascii="Times New Roman" w:hAnsi="Times New Roman" w:cs="Times New Roman"/>
          <w:sz w:val="24"/>
          <w:szCs w:val="24"/>
        </w:rPr>
        <w:t xml:space="preserve">and (ii) effectively tendered no feasible explanation on the facts to offset the impediment created </w:t>
      </w:r>
      <w:r w:rsidR="00F45C72">
        <w:rPr>
          <w:rFonts w:ascii="Times New Roman" w:hAnsi="Times New Roman" w:cs="Times New Roman"/>
          <w:sz w:val="24"/>
          <w:szCs w:val="24"/>
        </w:rPr>
        <w:t>in clause 5 of the trust deed.</w:t>
      </w:r>
    </w:p>
    <w:p w14:paraId="372435F2" w14:textId="3CEE75C5" w:rsidR="00F45C72" w:rsidRPr="00582154" w:rsidRDefault="00F45C72" w:rsidP="0070609A">
      <w:pPr>
        <w:spacing w:line="360" w:lineRule="auto"/>
        <w:jc w:val="both"/>
        <w:rPr>
          <w:rFonts w:ascii="Times New Roman" w:hAnsi="Times New Roman" w:cs="Times New Roman"/>
          <w:sz w:val="20"/>
          <w:szCs w:val="20"/>
        </w:rPr>
      </w:pPr>
      <w:r w:rsidRPr="00582154">
        <w:rPr>
          <w:rFonts w:ascii="Times New Roman" w:hAnsi="Times New Roman" w:cs="Times New Roman"/>
          <w:sz w:val="20"/>
          <w:szCs w:val="20"/>
        </w:rPr>
        <w:t>DISPOSITION</w:t>
      </w:r>
    </w:p>
    <w:p w14:paraId="0B85D353" w14:textId="20789165" w:rsidR="00F45C72" w:rsidRDefault="00F45C72" w:rsidP="007060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F68CD">
        <w:rPr>
          <w:rFonts w:ascii="Times New Roman" w:hAnsi="Times New Roman" w:cs="Times New Roman"/>
          <w:sz w:val="24"/>
          <w:szCs w:val="24"/>
        </w:rPr>
        <w:t>7</w:t>
      </w:r>
      <w:r w:rsidR="0029744F">
        <w:rPr>
          <w:rFonts w:ascii="Times New Roman" w:hAnsi="Times New Roman" w:cs="Times New Roman"/>
          <w:sz w:val="24"/>
          <w:szCs w:val="24"/>
        </w:rPr>
        <w:t>6</w:t>
      </w:r>
      <w:r w:rsidR="00CF68CD">
        <w:rPr>
          <w:rFonts w:ascii="Times New Roman" w:hAnsi="Times New Roman" w:cs="Times New Roman"/>
          <w:sz w:val="24"/>
          <w:szCs w:val="24"/>
        </w:rPr>
        <w:t>]</w:t>
      </w:r>
      <w:r>
        <w:rPr>
          <w:rFonts w:ascii="Times New Roman" w:hAnsi="Times New Roman" w:cs="Times New Roman"/>
          <w:sz w:val="24"/>
          <w:szCs w:val="24"/>
        </w:rPr>
        <w:t xml:space="preserve"> The aforegoing findings are dispositive of the matter. The applicant failed to meet the first stage of the requirements of a declaratur. As such it is not necessary t</w:t>
      </w:r>
      <w:r w:rsidR="00582154">
        <w:rPr>
          <w:rFonts w:ascii="Times New Roman" w:hAnsi="Times New Roman" w:cs="Times New Roman"/>
          <w:sz w:val="24"/>
          <w:szCs w:val="24"/>
        </w:rPr>
        <w:t xml:space="preserve">hat I </w:t>
      </w:r>
      <w:r>
        <w:rPr>
          <w:rFonts w:ascii="Times New Roman" w:hAnsi="Times New Roman" w:cs="Times New Roman"/>
          <w:sz w:val="24"/>
          <w:szCs w:val="24"/>
        </w:rPr>
        <w:t>wade into the discussion o</w:t>
      </w:r>
      <w:r w:rsidR="00582154">
        <w:rPr>
          <w:rFonts w:ascii="Times New Roman" w:hAnsi="Times New Roman" w:cs="Times New Roman"/>
          <w:sz w:val="24"/>
          <w:szCs w:val="24"/>
        </w:rPr>
        <w:t>n</w:t>
      </w:r>
      <w:r>
        <w:rPr>
          <w:rFonts w:ascii="Times New Roman" w:hAnsi="Times New Roman" w:cs="Times New Roman"/>
          <w:sz w:val="24"/>
          <w:szCs w:val="24"/>
        </w:rPr>
        <w:t xml:space="preserve"> ancillary relief</w:t>
      </w:r>
      <w:r w:rsidR="00582154">
        <w:rPr>
          <w:rFonts w:ascii="Times New Roman" w:hAnsi="Times New Roman" w:cs="Times New Roman"/>
          <w:sz w:val="24"/>
          <w:szCs w:val="24"/>
        </w:rPr>
        <w:t xml:space="preserve"> so vigorously contested by Mr. </w:t>
      </w:r>
      <w:r w:rsidR="00582154" w:rsidRPr="00582154">
        <w:rPr>
          <w:rFonts w:ascii="Times New Roman" w:hAnsi="Times New Roman" w:cs="Times New Roman"/>
          <w:i/>
          <w:iCs/>
          <w:sz w:val="24"/>
          <w:szCs w:val="24"/>
        </w:rPr>
        <w:t>Kachambwa</w:t>
      </w:r>
      <w:r w:rsidR="00582154">
        <w:rPr>
          <w:rFonts w:ascii="Times New Roman" w:hAnsi="Times New Roman" w:cs="Times New Roman"/>
          <w:sz w:val="24"/>
          <w:szCs w:val="24"/>
        </w:rPr>
        <w:t xml:space="preserve"> in his written submissions</w:t>
      </w:r>
      <w:r>
        <w:rPr>
          <w:rFonts w:ascii="Times New Roman" w:hAnsi="Times New Roman" w:cs="Times New Roman"/>
          <w:sz w:val="24"/>
          <w:szCs w:val="24"/>
        </w:rPr>
        <w:t xml:space="preserve">. I note </w:t>
      </w:r>
      <w:r w:rsidR="00582154">
        <w:rPr>
          <w:rFonts w:ascii="Times New Roman" w:hAnsi="Times New Roman" w:cs="Times New Roman"/>
          <w:sz w:val="24"/>
          <w:szCs w:val="24"/>
        </w:rPr>
        <w:t xml:space="preserve">too, </w:t>
      </w:r>
      <w:r>
        <w:rPr>
          <w:rFonts w:ascii="Times New Roman" w:hAnsi="Times New Roman" w:cs="Times New Roman"/>
          <w:sz w:val="24"/>
          <w:szCs w:val="24"/>
        </w:rPr>
        <w:t xml:space="preserve">that in the </w:t>
      </w:r>
      <w:r w:rsidR="00582154">
        <w:rPr>
          <w:rFonts w:ascii="Times New Roman" w:hAnsi="Times New Roman" w:cs="Times New Roman"/>
          <w:sz w:val="24"/>
          <w:szCs w:val="24"/>
        </w:rPr>
        <w:t xml:space="preserve">same written </w:t>
      </w:r>
      <w:r w:rsidR="0095707D">
        <w:rPr>
          <w:rFonts w:ascii="Times New Roman" w:hAnsi="Times New Roman" w:cs="Times New Roman"/>
          <w:sz w:val="24"/>
          <w:szCs w:val="24"/>
        </w:rPr>
        <w:t>submissions,</w:t>
      </w:r>
      <w:r>
        <w:rPr>
          <w:rFonts w:ascii="Times New Roman" w:hAnsi="Times New Roman" w:cs="Times New Roman"/>
          <w:sz w:val="24"/>
          <w:szCs w:val="24"/>
        </w:rPr>
        <w:t xml:space="preserve"> the respondents abandoned the</w:t>
      </w:r>
      <w:r w:rsidR="00582154">
        <w:rPr>
          <w:rFonts w:ascii="Times New Roman" w:hAnsi="Times New Roman" w:cs="Times New Roman"/>
          <w:sz w:val="24"/>
          <w:szCs w:val="24"/>
        </w:rPr>
        <w:t>ir</w:t>
      </w:r>
      <w:r>
        <w:rPr>
          <w:rFonts w:ascii="Times New Roman" w:hAnsi="Times New Roman" w:cs="Times New Roman"/>
          <w:sz w:val="24"/>
          <w:szCs w:val="24"/>
        </w:rPr>
        <w:t xml:space="preserve"> earlier claim for costs on a higher scale. In that regard, the following order is issued; -</w:t>
      </w:r>
    </w:p>
    <w:p w14:paraId="75A864C4" w14:textId="3F740607" w:rsidR="00F45C72" w:rsidRDefault="00F45C72" w:rsidP="00582154">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It is hereby ordered that the application for declaratory relief be and is hereby dismissed with costs.</w:t>
      </w:r>
    </w:p>
    <w:p w14:paraId="72B07255" w14:textId="77777777" w:rsidR="00F45C72" w:rsidRDefault="00F45C72" w:rsidP="0070609A">
      <w:pPr>
        <w:spacing w:line="360" w:lineRule="auto"/>
        <w:jc w:val="both"/>
        <w:rPr>
          <w:rFonts w:ascii="Times New Roman" w:hAnsi="Times New Roman" w:cs="Times New Roman"/>
          <w:sz w:val="24"/>
          <w:szCs w:val="24"/>
        </w:rPr>
      </w:pPr>
    </w:p>
    <w:p w14:paraId="233C8D09" w14:textId="48259D56" w:rsidR="00F45C72" w:rsidRPr="00F45C72" w:rsidRDefault="00F45C72" w:rsidP="00F45C72">
      <w:pPr>
        <w:pStyle w:val="NoSpacing"/>
        <w:rPr>
          <w:rFonts w:ascii="Times New Roman" w:hAnsi="Times New Roman" w:cs="Times New Roman"/>
          <w:sz w:val="24"/>
          <w:szCs w:val="24"/>
        </w:rPr>
      </w:pPr>
      <w:r w:rsidRPr="00F45C72">
        <w:rPr>
          <w:rFonts w:ascii="Times New Roman" w:hAnsi="Times New Roman" w:cs="Times New Roman"/>
          <w:i/>
          <w:iCs/>
          <w:sz w:val="24"/>
          <w:szCs w:val="24"/>
        </w:rPr>
        <w:t>Atherstone &amp; Cook</w:t>
      </w:r>
      <w:r w:rsidRPr="00F45C72">
        <w:rPr>
          <w:rFonts w:ascii="Times New Roman" w:hAnsi="Times New Roman" w:cs="Times New Roman"/>
          <w:sz w:val="24"/>
          <w:szCs w:val="24"/>
        </w:rPr>
        <w:t>- applicant`s legal practitioners</w:t>
      </w:r>
    </w:p>
    <w:p w14:paraId="5192D4B1" w14:textId="3FD6D654" w:rsidR="00F45C72" w:rsidRPr="00F45C72" w:rsidRDefault="00F45C72" w:rsidP="00F45C72">
      <w:pPr>
        <w:pStyle w:val="NoSpacing"/>
        <w:rPr>
          <w:rFonts w:ascii="Times New Roman" w:hAnsi="Times New Roman" w:cs="Times New Roman"/>
          <w:sz w:val="24"/>
          <w:szCs w:val="24"/>
        </w:rPr>
      </w:pPr>
      <w:r w:rsidRPr="00F45C72">
        <w:rPr>
          <w:rFonts w:ascii="Times New Roman" w:hAnsi="Times New Roman" w:cs="Times New Roman"/>
          <w:i/>
          <w:iCs/>
          <w:sz w:val="24"/>
          <w:szCs w:val="24"/>
        </w:rPr>
        <w:t>Ahmed &amp; Ziyambi</w:t>
      </w:r>
      <w:r w:rsidRPr="00F45C72">
        <w:rPr>
          <w:rFonts w:ascii="Times New Roman" w:hAnsi="Times New Roman" w:cs="Times New Roman"/>
          <w:sz w:val="24"/>
          <w:szCs w:val="24"/>
        </w:rPr>
        <w:t>-respondents` legal practitioners</w:t>
      </w:r>
    </w:p>
    <w:p w14:paraId="2161B6B0" w14:textId="77777777" w:rsidR="00F45C72" w:rsidRDefault="00F45C72" w:rsidP="0070609A">
      <w:pPr>
        <w:spacing w:line="360" w:lineRule="auto"/>
        <w:jc w:val="both"/>
        <w:rPr>
          <w:rFonts w:ascii="Times New Roman" w:hAnsi="Times New Roman" w:cs="Times New Roman"/>
          <w:sz w:val="24"/>
          <w:szCs w:val="24"/>
        </w:rPr>
      </w:pPr>
    </w:p>
    <w:p w14:paraId="6A27CACE" w14:textId="34E11626" w:rsidR="00F45C72" w:rsidRPr="00F45C72" w:rsidRDefault="00F45C72" w:rsidP="0070609A">
      <w:pPr>
        <w:spacing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F45C72">
        <w:rPr>
          <w:rFonts w:ascii="Times New Roman" w:hAnsi="Times New Roman" w:cs="Times New Roman"/>
          <w:b/>
          <w:bCs/>
          <w:sz w:val="16"/>
          <w:szCs w:val="16"/>
        </w:rPr>
        <w:t>[CHILIMBE J___6/11/24]</w:t>
      </w:r>
    </w:p>
    <w:p w14:paraId="5AACC922" w14:textId="77777777" w:rsidR="00547BBC" w:rsidRDefault="00547BBC" w:rsidP="0070609A">
      <w:pPr>
        <w:spacing w:line="360" w:lineRule="auto"/>
        <w:jc w:val="both"/>
        <w:rPr>
          <w:rFonts w:ascii="Times New Roman" w:hAnsi="Times New Roman" w:cs="Times New Roman"/>
          <w:sz w:val="24"/>
          <w:szCs w:val="24"/>
        </w:rPr>
      </w:pPr>
    </w:p>
    <w:p w14:paraId="6F51E00C" w14:textId="77777777" w:rsidR="0098033C" w:rsidRDefault="0098033C" w:rsidP="0070609A">
      <w:pPr>
        <w:spacing w:line="360" w:lineRule="auto"/>
        <w:jc w:val="both"/>
        <w:rPr>
          <w:rFonts w:ascii="Times New Roman" w:hAnsi="Times New Roman" w:cs="Times New Roman"/>
          <w:sz w:val="24"/>
          <w:szCs w:val="24"/>
        </w:rPr>
      </w:pPr>
    </w:p>
    <w:p w14:paraId="1BFD5BDB" w14:textId="77777777" w:rsidR="0098033C" w:rsidRDefault="0098033C" w:rsidP="0070609A">
      <w:pPr>
        <w:spacing w:line="360" w:lineRule="auto"/>
        <w:jc w:val="both"/>
        <w:rPr>
          <w:rFonts w:ascii="Times New Roman" w:hAnsi="Times New Roman" w:cs="Times New Roman"/>
          <w:sz w:val="24"/>
          <w:szCs w:val="24"/>
        </w:rPr>
      </w:pPr>
    </w:p>
    <w:p w14:paraId="27850E0A" w14:textId="77777777" w:rsidR="0098033C" w:rsidRDefault="0098033C" w:rsidP="0070609A">
      <w:pPr>
        <w:spacing w:line="360" w:lineRule="auto"/>
        <w:jc w:val="both"/>
        <w:rPr>
          <w:rFonts w:ascii="Times New Roman" w:hAnsi="Times New Roman" w:cs="Times New Roman"/>
          <w:sz w:val="24"/>
          <w:szCs w:val="24"/>
        </w:rPr>
      </w:pPr>
    </w:p>
    <w:p w14:paraId="4C2410F3" w14:textId="77777777" w:rsidR="00791BFA" w:rsidRDefault="00791BFA" w:rsidP="0070609A">
      <w:pPr>
        <w:spacing w:line="360" w:lineRule="auto"/>
        <w:jc w:val="both"/>
        <w:rPr>
          <w:rFonts w:ascii="Times New Roman" w:hAnsi="Times New Roman" w:cs="Times New Roman"/>
          <w:sz w:val="24"/>
          <w:szCs w:val="24"/>
        </w:rPr>
      </w:pPr>
    </w:p>
    <w:sectPr w:rsidR="00791B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73F3D" w14:textId="77777777" w:rsidR="00384BA4" w:rsidRDefault="00384BA4" w:rsidP="0086683D">
      <w:pPr>
        <w:spacing w:after="0" w:line="240" w:lineRule="auto"/>
      </w:pPr>
      <w:r>
        <w:separator/>
      </w:r>
    </w:p>
  </w:endnote>
  <w:endnote w:type="continuationSeparator" w:id="0">
    <w:p w14:paraId="7057187F" w14:textId="77777777" w:rsidR="00384BA4" w:rsidRDefault="00384BA4" w:rsidP="0086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3A60E" w14:textId="77777777" w:rsidR="005202D6" w:rsidRDefault="005202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A74E" w14:textId="77777777" w:rsidR="005202D6" w:rsidRDefault="005202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C033F" w14:textId="77777777" w:rsidR="005202D6" w:rsidRDefault="005202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0E933" w14:textId="77777777" w:rsidR="00384BA4" w:rsidRDefault="00384BA4" w:rsidP="0086683D">
      <w:pPr>
        <w:spacing w:after="0" w:line="240" w:lineRule="auto"/>
      </w:pPr>
      <w:r>
        <w:separator/>
      </w:r>
    </w:p>
  </w:footnote>
  <w:footnote w:type="continuationSeparator" w:id="0">
    <w:p w14:paraId="54CEB171" w14:textId="77777777" w:rsidR="00384BA4" w:rsidRDefault="00384BA4" w:rsidP="0086683D">
      <w:pPr>
        <w:spacing w:after="0" w:line="240" w:lineRule="auto"/>
      </w:pPr>
      <w:r>
        <w:continuationSeparator/>
      </w:r>
    </w:p>
  </w:footnote>
  <w:footnote w:id="1">
    <w:p w14:paraId="62ACFFF5" w14:textId="01B03BAB" w:rsidR="003B1DF8" w:rsidRDefault="003B1DF8">
      <w:pPr>
        <w:pStyle w:val="FootnoteText"/>
      </w:pPr>
      <w:r>
        <w:rPr>
          <w:rStyle w:val="FootnoteReference"/>
        </w:rPr>
        <w:footnoteRef/>
      </w:r>
      <w:r>
        <w:t xml:space="preserve"> Paragraph 15 of the founding affidavit at page 10 of the record.</w:t>
      </w:r>
    </w:p>
  </w:footnote>
  <w:footnote w:id="2">
    <w:p w14:paraId="7AD8F251" w14:textId="74E2AEE5" w:rsidR="003F3481" w:rsidRPr="003F3481" w:rsidRDefault="003F3481">
      <w:pPr>
        <w:pStyle w:val="FootnoteText"/>
        <w:rPr>
          <w:rFonts w:cstheme="minorHAnsi"/>
        </w:rPr>
      </w:pPr>
      <w:r>
        <w:rPr>
          <w:rStyle w:val="FootnoteReference"/>
        </w:rPr>
        <w:footnoteRef/>
      </w:r>
      <w:r>
        <w:t xml:space="preserve"> </w:t>
      </w:r>
      <w:r w:rsidRPr="003F3481">
        <w:rPr>
          <w:rFonts w:cstheme="minorHAnsi"/>
        </w:rPr>
        <w:t xml:space="preserve">The </w:t>
      </w:r>
      <w:r w:rsidRPr="003F3481">
        <w:rPr>
          <w:rFonts w:cstheme="minorHAnsi"/>
          <w:i/>
          <w:iCs/>
        </w:rPr>
        <w:t>Endumeni Municipality</w:t>
      </w:r>
      <w:r w:rsidRPr="003F3481">
        <w:rPr>
          <w:rFonts w:cstheme="minorHAnsi"/>
        </w:rPr>
        <w:t xml:space="preserve"> case was cited with approval in the Supreme Court decision of </w:t>
      </w:r>
      <w:bookmarkStart w:id="2" w:name="_Hlk170310997"/>
      <w:r w:rsidRPr="003F3481">
        <w:rPr>
          <w:rFonts w:cstheme="minorHAnsi"/>
          <w:i/>
          <w:iCs/>
        </w:rPr>
        <w:t>Zambezi Gas (Pvt) Ltd v N.R. Barber &amp; Anor SC 3/20</w:t>
      </w:r>
      <w:bookmarkEnd w:id="2"/>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5170" w14:textId="77777777" w:rsidR="005202D6" w:rsidRDefault="005202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GoBack" w:displacedByCustomXml="next"/>
  <w:sdt>
    <w:sdtPr>
      <w:rPr>
        <w:b/>
        <w:bCs/>
        <w:sz w:val="20"/>
        <w:szCs w:val="20"/>
      </w:rPr>
      <w:id w:val="142315483"/>
      <w:docPartObj>
        <w:docPartGallery w:val="Page Numbers (Top of Page)"/>
        <w:docPartUnique/>
      </w:docPartObj>
    </w:sdtPr>
    <w:sdtEndPr>
      <w:rPr>
        <w:noProof/>
      </w:rPr>
    </w:sdtEndPr>
    <w:sdtContent>
      <w:p w14:paraId="1B20BC82" w14:textId="411AE630" w:rsidR="0086683D" w:rsidRPr="00ED6590" w:rsidRDefault="0086683D" w:rsidP="005202D6">
        <w:pPr>
          <w:pStyle w:val="Header"/>
          <w:jc w:val="right"/>
          <w:rPr>
            <w:b/>
            <w:bCs/>
            <w:noProof/>
            <w:sz w:val="20"/>
            <w:szCs w:val="20"/>
          </w:rPr>
        </w:pPr>
        <w:r w:rsidRPr="00ED6590">
          <w:rPr>
            <w:b/>
            <w:bCs/>
            <w:sz w:val="20"/>
            <w:szCs w:val="20"/>
          </w:rPr>
          <w:fldChar w:fldCharType="begin"/>
        </w:r>
        <w:r w:rsidRPr="00ED6590">
          <w:rPr>
            <w:b/>
            <w:bCs/>
            <w:sz w:val="20"/>
            <w:szCs w:val="20"/>
          </w:rPr>
          <w:instrText xml:space="preserve"> PAGE   \* MERGEFORMAT </w:instrText>
        </w:r>
        <w:r w:rsidRPr="00ED6590">
          <w:rPr>
            <w:b/>
            <w:bCs/>
            <w:sz w:val="20"/>
            <w:szCs w:val="20"/>
          </w:rPr>
          <w:fldChar w:fldCharType="separate"/>
        </w:r>
        <w:r w:rsidR="000332A8">
          <w:rPr>
            <w:b/>
            <w:bCs/>
            <w:noProof/>
            <w:sz w:val="20"/>
            <w:szCs w:val="20"/>
          </w:rPr>
          <w:t>1</w:t>
        </w:r>
        <w:r w:rsidRPr="00ED6590">
          <w:rPr>
            <w:b/>
            <w:bCs/>
            <w:noProof/>
            <w:sz w:val="20"/>
            <w:szCs w:val="20"/>
          </w:rPr>
          <w:fldChar w:fldCharType="end"/>
        </w:r>
      </w:p>
      <w:p w14:paraId="70EA1E6B" w14:textId="0A446855" w:rsidR="0086683D" w:rsidRPr="00ED6590" w:rsidRDefault="0086683D" w:rsidP="005202D6">
        <w:pPr>
          <w:pStyle w:val="Header"/>
          <w:jc w:val="right"/>
          <w:rPr>
            <w:b/>
            <w:bCs/>
            <w:noProof/>
            <w:sz w:val="20"/>
            <w:szCs w:val="20"/>
          </w:rPr>
        </w:pPr>
        <w:r w:rsidRPr="00ED6590">
          <w:rPr>
            <w:b/>
            <w:bCs/>
            <w:noProof/>
            <w:sz w:val="20"/>
            <w:szCs w:val="20"/>
          </w:rPr>
          <w:t>HH</w:t>
        </w:r>
        <w:r w:rsidR="00E039D6" w:rsidRPr="00ED6590">
          <w:rPr>
            <w:b/>
            <w:bCs/>
            <w:noProof/>
            <w:sz w:val="20"/>
            <w:szCs w:val="20"/>
          </w:rPr>
          <w:t xml:space="preserve"> 496-24</w:t>
        </w:r>
      </w:p>
      <w:p w14:paraId="46DA679D" w14:textId="49D0F8EB" w:rsidR="0086683D" w:rsidRPr="00ED6590" w:rsidRDefault="0086683D" w:rsidP="005202D6">
        <w:pPr>
          <w:pStyle w:val="Header"/>
          <w:jc w:val="right"/>
          <w:rPr>
            <w:b/>
            <w:bCs/>
            <w:sz w:val="20"/>
            <w:szCs w:val="20"/>
          </w:rPr>
        </w:pPr>
        <w:r w:rsidRPr="00ED6590">
          <w:rPr>
            <w:b/>
            <w:bCs/>
            <w:noProof/>
            <w:sz w:val="20"/>
            <w:szCs w:val="20"/>
          </w:rPr>
          <w:t>HCHC 126/22</w:t>
        </w:r>
      </w:p>
    </w:sdtContent>
  </w:sdt>
  <w:bookmarkEnd w:id="3"/>
  <w:p w14:paraId="65491C63" w14:textId="77777777" w:rsidR="0086683D" w:rsidRDefault="0086683D" w:rsidP="005202D6">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0AA92" w14:textId="77777777" w:rsidR="005202D6" w:rsidRDefault="005202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ACA"/>
    <w:multiLevelType w:val="hybridMultilevel"/>
    <w:tmpl w:val="8BE42BAC"/>
    <w:lvl w:ilvl="0" w:tplc="30090005">
      <w:start w:val="1"/>
      <w:numFmt w:val="bullet"/>
      <w:lvlText w:val=""/>
      <w:lvlJc w:val="left"/>
      <w:pPr>
        <w:ind w:left="2194" w:hanging="360"/>
      </w:pPr>
      <w:rPr>
        <w:rFonts w:ascii="Wingdings" w:hAnsi="Wingdings" w:hint="default"/>
      </w:rPr>
    </w:lvl>
    <w:lvl w:ilvl="1" w:tplc="30090003" w:tentative="1">
      <w:start w:val="1"/>
      <w:numFmt w:val="bullet"/>
      <w:lvlText w:val="o"/>
      <w:lvlJc w:val="left"/>
      <w:pPr>
        <w:ind w:left="2914" w:hanging="360"/>
      </w:pPr>
      <w:rPr>
        <w:rFonts w:ascii="Courier New" w:hAnsi="Courier New" w:cs="Courier New" w:hint="default"/>
      </w:rPr>
    </w:lvl>
    <w:lvl w:ilvl="2" w:tplc="30090005" w:tentative="1">
      <w:start w:val="1"/>
      <w:numFmt w:val="bullet"/>
      <w:lvlText w:val=""/>
      <w:lvlJc w:val="left"/>
      <w:pPr>
        <w:ind w:left="3634" w:hanging="360"/>
      </w:pPr>
      <w:rPr>
        <w:rFonts w:ascii="Wingdings" w:hAnsi="Wingdings" w:hint="default"/>
      </w:rPr>
    </w:lvl>
    <w:lvl w:ilvl="3" w:tplc="30090001" w:tentative="1">
      <w:start w:val="1"/>
      <w:numFmt w:val="bullet"/>
      <w:lvlText w:val=""/>
      <w:lvlJc w:val="left"/>
      <w:pPr>
        <w:ind w:left="4354" w:hanging="360"/>
      </w:pPr>
      <w:rPr>
        <w:rFonts w:ascii="Symbol" w:hAnsi="Symbol" w:hint="default"/>
      </w:rPr>
    </w:lvl>
    <w:lvl w:ilvl="4" w:tplc="30090003" w:tentative="1">
      <w:start w:val="1"/>
      <w:numFmt w:val="bullet"/>
      <w:lvlText w:val="o"/>
      <w:lvlJc w:val="left"/>
      <w:pPr>
        <w:ind w:left="5074" w:hanging="360"/>
      </w:pPr>
      <w:rPr>
        <w:rFonts w:ascii="Courier New" w:hAnsi="Courier New" w:cs="Courier New" w:hint="default"/>
      </w:rPr>
    </w:lvl>
    <w:lvl w:ilvl="5" w:tplc="30090005" w:tentative="1">
      <w:start w:val="1"/>
      <w:numFmt w:val="bullet"/>
      <w:lvlText w:val=""/>
      <w:lvlJc w:val="left"/>
      <w:pPr>
        <w:ind w:left="5794" w:hanging="360"/>
      </w:pPr>
      <w:rPr>
        <w:rFonts w:ascii="Wingdings" w:hAnsi="Wingdings" w:hint="default"/>
      </w:rPr>
    </w:lvl>
    <w:lvl w:ilvl="6" w:tplc="30090001" w:tentative="1">
      <w:start w:val="1"/>
      <w:numFmt w:val="bullet"/>
      <w:lvlText w:val=""/>
      <w:lvlJc w:val="left"/>
      <w:pPr>
        <w:ind w:left="6514" w:hanging="360"/>
      </w:pPr>
      <w:rPr>
        <w:rFonts w:ascii="Symbol" w:hAnsi="Symbol" w:hint="default"/>
      </w:rPr>
    </w:lvl>
    <w:lvl w:ilvl="7" w:tplc="30090003" w:tentative="1">
      <w:start w:val="1"/>
      <w:numFmt w:val="bullet"/>
      <w:lvlText w:val="o"/>
      <w:lvlJc w:val="left"/>
      <w:pPr>
        <w:ind w:left="7234" w:hanging="360"/>
      </w:pPr>
      <w:rPr>
        <w:rFonts w:ascii="Courier New" w:hAnsi="Courier New" w:cs="Courier New" w:hint="default"/>
      </w:rPr>
    </w:lvl>
    <w:lvl w:ilvl="8" w:tplc="30090005" w:tentative="1">
      <w:start w:val="1"/>
      <w:numFmt w:val="bullet"/>
      <w:lvlText w:val=""/>
      <w:lvlJc w:val="left"/>
      <w:pPr>
        <w:ind w:left="7954" w:hanging="360"/>
      </w:pPr>
      <w:rPr>
        <w:rFonts w:ascii="Wingdings" w:hAnsi="Wingdings" w:hint="default"/>
      </w:rPr>
    </w:lvl>
  </w:abstractNum>
  <w:abstractNum w:abstractNumId="1" w15:restartNumberingAfterBreak="0">
    <w:nsid w:val="22EC7CB4"/>
    <w:multiLevelType w:val="hybridMultilevel"/>
    <w:tmpl w:val="C766291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287EDE"/>
    <w:multiLevelType w:val="hybridMultilevel"/>
    <w:tmpl w:val="9FB098C4"/>
    <w:lvl w:ilvl="0" w:tplc="30090017">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B894278"/>
    <w:multiLevelType w:val="hybridMultilevel"/>
    <w:tmpl w:val="4CC224F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552717D"/>
    <w:multiLevelType w:val="hybridMultilevel"/>
    <w:tmpl w:val="3EC2ECE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3D"/>
    <w:rsid w:val="0000672B"/>
    <w:rsid w:val="000318AD"/>
    <w:rsid w:val="000332A8"/>
    <w:rsid w:val="00042AE8"/>
    <w:rsid w:val="00053032"/>
    <w:rsid w:val="00053244"/>
    <w:rsid w:val="000536A8"/>
    <w:rsid w:val="00054805"/>
    <w:rsid w:val="0009559A"/>
    <w:rsid w:val="000E234F"/>
    <w:rsid w:val="000F14FB"/>
    <w:rsid w:val="0012602A"/>
    <w:rsid w:val="0013026B"/>
    <w:rsid w:val="00181A13"/>
    <w:rsid w:val="001926EA"/>
    <w:rsid w:val="00193184"/>
    <w:rsid w:val="001C1B2E"/>
    <w:rsid w:val="00203B05"/>
    <w:rsid w:val="00240D43"/>
    <w:rsid w:val="00240D85"/>
    <w:rsid w:val="002517E0"/>
    <w:rsid w:val="002573F2"/>
    <w:rsid w:val="00270FB4"/>
    <w:rsid w:val="00272F6A"/>
    <w:rsid w:val="00286193"/>
    <w:rsid w:val="002960B2"/>
    <w:rsid w:val="0029744F"/>
    <w:rsid w:val="002C1ECB"/>
    <w:rsid w:val="002D5C61"/>
    <w:rsid w:val="002F4402"/>
    <w:rsid w:val="003048E5"/>
    <w:rsid w:val="00353FA8"/>
    <w:rsid w:val="003551CF"/>
    <w:rsid w:val="0037252B"/>
    <w:rsid w:val="00384BA4"/>
    <w:rsid w:val="003B0CFD"/>
    <w:rsid w:val="003B1DF8"/>
    <w:rsid w:val="003C5927"/>
    <w:rsid w:val="003D0785"/>
    <w:rsid w:val="003D207C"/>
    <w:rsid w:val="003D2144"/>
    <w:rsid w:val="003F3481"/>
    <w:rsid w:val="003F703E"/>
    <w:rsid w:val="00402D49"/>
    <w:rsid w:val="00403BEA"/>
    <w:rsid w:val="00490495"/>
    <w:rsid w:val="00496D6E"/>
    <w:rsid w:val="004A0EA4"/>
    <w:rsid w:val="004B09D9"/>
    <w:rsid w:val="004C3A34"/>
    <w:rsid w:val="004E298B"/>
    <w:rsid w:val="004E2D9D"/>
    <w:rsid w:val="00512A72"/>
    <w:rsid w:val="005202D6"/>
    <w:rsid w:val="005219FD"/>
    <w:rsid w:val="00547BBC"/>
    <w:rsid w:val="00582154"/>
    <w:rsid w:val="005A054A"/>
    <w:rsid w:val="005D6FD0"/>
    <w:rsid w:val="005E1AA6"/>
    <w:rsid w:val="005F7F15"/>
    <w:rsid w:val="00643FEB"/>
    <w:rsid w:val="00651A7C"/>
    <w:rsid w:val="00662D2B"/>
    <w:rsid w:val="006B17C2"/>
    <w:rsid w:val="006C62F4"/>
    <w:rsid w:val="006D568D"/>
    <w:rsid w:val="006E252B"/>
    <w:rsid w:val="006E3D76"/>
    <w:rsid w:val="006E3EA1"/>
    <w:rsid w:val="006F3A49"/>
    <w:rsid w:val="00705DEB"/>
    <w:rsid w:val="0070609A"/>
    <w:rsid w:val="00716F50"/>
    <w:rsid w:val="007221F6"/>
    <w:rsid w:val="00724B84"/>
    <w:rsid w:val="00743640"/>
    <w:rsid w:val="00761289"/>
    <w:rsid w:val="007721AE"/>
    <w:rsid w:val="00791BFA"/>
    <w:rsid w:val="007A576B"/>
    <w:rsid w:val="007B068D"/>
    <w:rsid w:val="007B2F88"/>
    <w:rsid w:val="007C1269"/>
    <w:rsid w:val="007F63DA"/>
    <w:rsid w:val="00832413"/>
    <w:rsid w:val="00840DE0"/>
    <w:rsid w:val="00843156"/>
    <w:rsid w:val="00847715"/>
    <w:rsid w:val="00852289"/>
    <w:rsid w:val="0086683D"/>
    <w:rsid w:val="00876DAE"/>
    <w:rsid w:val="00884382"/>
    <w:rsid w:val="008939B9"/>
    <w:rsid w:val="008963F7"/>
    <w:rsid w:val="008C48F3"/>
    <w:rsid w:val="008D49B2"/>
    <w:rsid w:val="008D65AE"/>
    <w:rsid w:val="008E2482"/>
    <w:rsid w:val="008F3F8A"/>
    <w:rsid w:val="009365FD"/>
    <w:rsid w:val="009400C5"/>
    <w:rsid w:val="0095707D"/>
    <w:rsid w:val="009619D7"/>
    <w:rsid w:val="0098033C"/>
    <w:rsid w:val="00993E81"/>
    <w:rsid w:val="009A7018"/>
    <w:rsid w:val="009B02F7"/>
    <w:rsid w:val="009B0585"/>
    <w:rsid w:val="009D0226"/>
    <w:rsid w:val="009D15B0"/>
    <w:rsid w:val="009D5765"/>
    <w:rsid w:val="009F4CEA"/>
    <w:rsid w:val="00A0742E"/>
    <w:rsid w:val="00A12DD7"/>
    <w:rsid w:val="00A24EB9"/>
    <w:rsid w:val="00A431B4"/>
    <w:rsid w:val="00A45D9A"/>
    <w:rsid w:val="00AB4D83"/>
    <w:rsid w:val="00AB7578"/>
    <w:rsid w:val="00AC0248"/>
    <w:rsid w:val="00B077E4"/>
    <w:rsid w:val="00B11B37"/>
    <w:rsid w:val="00B203F2"/>
    <w:rsid w:val="00B37D5F"/>
    <w:rsid w:val="00B55E97"/>
    <w:rsid w:val="00B7238E"/>
    <w:rsid w:val="00BA72C4"/>
    <w:rsid w:val="00BC5E51"/>
    <w:rsid w:val="00BF549F"/>
    <w:rsid w:val="00C0311E"/>
    <w:rsid w:val="00C67021"/>
    <w:rsid w:val="00C76796"/>
    <w:rsid w:val="00C93B22"/>
    <w:rsid w:val="00CD6B3C"/>
    <w:rsid w:val="00CE35A7"/>
    <w:rsid w:val="00CE40FE"/>
    <w:rsid w:val="00CF6159"/>
    <w:rsid w:val="00CF68CD"/>
    <w:rsid w:val="00D21C6D"/>
    <w:rsid w:val="00D32E59"/>
    <w:rsid w:val="00D412EA"/>
    <w:rsid w:val="00D50AB9"/>
    <w:rsid w:val="00D637BF"/>
    <w:rsid w:val="00D64B62"/>
    <w:rsid w:val="00D7450A"/>
    <w:rsid w:val="00D77F07"/>
    <w:rsid w:val="00D92198"/>
    <w:rsid w:val="00D94B08"/>
    <w:rsid w:val="00DB7CCD"/>
    <w:rsid w:val="00DD6535"/>
    <w:rsid w:val="00E039D6"/>
    <w:rsid w:val="00E1126A"/>
    <w:rsid w:val="00E12797"/>
    <w:rsid w:val="00E35520"/>
    <w:rsid w:val="00E64D56"/>
    <w:rsid w:val="00E90B8C"/>
    <w:rsid w:val="00E92F42"/>
    <w:rsid w:val="00EA317C"/>
    <w:rsid w:val="00ED6590"/>
    <w:rsid w:val="00EF74A9"/>
    <w:rsid w:val="00F2723F"/>
    <w:rsid w:val="00F45C72"/>
    <w:rsid w:val="00F779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D7FE"/>
  <w15:chartTrackingRefBased/>
  <w15:docId w15:val="{6CC9E8F4-B2C6-4475-BA05-C442BC6F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83D"/>
  </w:style>
  <w:style w:type="paragraph" w:styleId="Footer">
    <w:name w:val="footer"/>
    <w:basedOn w:val="Normal"/>
    <w:link w:val="FooterChar"/>
    <w:uiPriority w:val="99"/>
    <w:unhideWhenUsed/>
    <w:rsid w:val="00866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83D"/>
  </w:style>
  <w:style w:type="paragraph" w:styleId="NoSpacing">
    <w:name w:val="No Spacing"/>
    <w:uiPriority w:val="1"/>
    <w:qFormat/>
    <w:rsid w:val="005E1AA6"/>
    <w:pPr>
      <w:spacing w:after="0" w:line="240" w:lineRule="auto"/>
    </w:pPr>
  </w:style>
  <w:style w:type="paragraph" w:styleId="ListParagraph">
    <w:name w:val="List Paragraph"/>
    <w:basedOn w:val="Normal"/>
    <w:uiPriority w:val="34"/>
    <w:qFormat/>
    <w:rsid w:val="00193184"/>
    <w:pPr>
      <w:ind w:left="720"/>
      <w:contextualSpacing/>
    </w:pPr>
  </w:style>
  <w:style w:type="paragraph" w:styleId="NormalWeb">
    <w:name w:val="Normal (Web)"/>
    <w:basedOn w:val="Normal"/>
    <w:uiPriority w:val="99"/>
    <w:semiHidden/>
    <w:unhideWhenUsed/>
    <w:rsid w:val="00C67021"/>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character" w:styleId="FootnoteReference">
    <w:name w:val="footnote reference"/>
    <w:basedOn w:val="DefaultParagraphFont"/>
    <w:uiPriority w:val="99"/>
    <w:semiHidden/>
    <w:unhideWhenUsed/>
    <w:rsid w:val="00181A13"/>
    <w:rPr>
      <w:vertAlign w:val="superscript"/>
    </w:rPr>
  </w:style>
  <w:style w:type="paragraph" w:styleId="FootnoteText">
    <w:name w:val="footnote text"/>
    <w:basedOn w:val="Normal"/>
    <w:link w:val="FootnoteTextChar"/>
    <w:uiPriority w:val="99"/>
    <w:semiHidden/>
    <w:unhideWhenUsed/>
    <w:rsid w:val="003F34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4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52681">
      <w:bodyDiv w:val="1"/>
      <w:marLeft w:val="0"/>
      <w:marRight w:val="0"/>
      <w:marTop w:val="0"/>
      <w:marBottom w:val="0"/>
      <w:divBdr>
        <w:top w:val="none" w:sz="0" w:space="0" w:color="auto"/>
        <w:left w:val="none" w:sz="0" w:space="0" w:color="auto"/>
        <w:bottom w:val="none" w:sz="0" w:space="0" w:color="auto"/>
        <w:right w:val="none" w:sz="0" w:space="0" w:color="auto"/>
      </w:divBdr>
      <w:divsChild>
        <w:div w:id="10968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9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2024-11-06T14:21:00Z</cp:lastPrinted>
  <dcterms:created xsi:type="dcterms:W3CDTF">2024-11-07T10:32:00Z</dcterms:created>
  <dcterms:modified xsi:type="dcterms:W3CDTF">2024-11-07T10:32:00Z</dcterms:modified>
</cp:coreProperties>
</file>