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936" w:rsidRDefault="00274936" w:rsidP="0027493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MATTHEW MBUNDIRE</w:t>
      </w:r>
    </w:p>
    <w:p w:rsidR="00274936" w:rsidRDefault="00274936" w:rsidP="0027493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74936" w:rsidRDefault="00274936" w:rsidP="00274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FADZA</w:t>
      </w:r>
      <w:r w:rsidR="00DB6295">
        <w:rPr>
          <w:rFonts w:ascii="Times New Roman" w:hAnsi="Times New Roman" w:cs="Times New Roman"/>
          <w:sz w:val="24"/>
          <w:szCs w:val="24"/>
        </w:rPr>
        <w:t>Y</w:t>
      </w:r>
      <w:r>
        <w:rPr>
          <w:rFonts w:ascii="Times New Roman" w:hAnsi="Times New Roman" w:cs="Times New Roman"/>
          <w:sz w:val="24"/>
          <w:szCs w:val="24"/>
        </w:rPr>
        <w:t>I MBUNDIRE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74936" w:rsidRDefault="00274936" w:rsidP="0027493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74936" w:rsidRDefault="00274936" w:rsidP="00274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DALSO PROPERTIES (PRIVATE) LIMITED </w:t>
      </w:r>
    </w:p>
    <w:p w:rsidR="00274936" w:rsidRDefault="00274936" w:rsidP="0027493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74936" w:rsidRDefault="00274936" w:rsidP="00274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LENNON MUCHINGADARE</w:t>
      </w:r>
    </w:p>
    <w:p w:rsidR="006A6AED" w:rsidRDefault="006A6AED" w:rsidP="0027493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6A6AED" w:rsidRDefault="006A6AED" w:rsidP="00274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AGENT COUNCIL</w:t>
      </w:r>
    </w:p>
    <w:p w:rsidR="00274936" w:rsidRDefault="00274936" w:rsidP="00274936">
      <w:pPr>
        <w:spacing w:after="0" w:line="240" w:lineRule="auto"/>
        <w:jc w:val="both"/>
        <w:rPr>
          <w:rFonts w:ascii="Times New Roman" w:hAnsi="Times New Roman" w:cs="Times New Roman"/>
          <w:sz w:val="24"/>
          <w:szCs w:val="24"/>
        </w:rPr>
      </w:pPr>
    </w:p>
    <w:p w:rsidR="00274936" w:rsidRDefault="00274936" w:rsidP="00274936">
      <w:pPr>
        <w:spacing w:after="0" w:line="240" w:lineRule="auto"/>
        <w:jc w:val="both"/>
        <w:rPr>
          <w:rFonts w:ascii="Times New Roman" w:hAnsi="Times New Roman" w:cs="Times New Roman"/>
          <w:sz w:val="24"/>
          <w:szCs w:val="24"/>
        </w:rPr>
      </w:pPr>
    </w:p>
    <w:p w:rsidR="00274936" w:rsidRDefault="00274936" w:rsidP="00274936">
      <w:pPr>
        <w:spacing w:after="0" w:line="240" w:lineRule="auto"/>
        <w:jc w:val="both"/>
        <w:rPr>
          <w:rFonts w:ascii="Times New Roman" w:hAnsi="Times New Roman" w:cs="Times New Roman"/>
          <w:sz w:val="24"/>
          <w:szCs w:val="24"/>
        </w:rPr>
      </w:pPr>
    </w:p>
    <w:p w:rsidR="00274936" w:rsidRDefault="00274936" w:rsidP="00274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74936" w:rsidRDefault="00DB6295" w:rsidP="00274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w:t>
      </w:r>
      <w:r w:rsidR="00274936">
        <w:rPr>
          <w:rFonts w:ascii="Times New Roman" w:hAnsi="Times New Roman" w:cs="Times New Roman"/>
          <w:sz w:val="24"/>
          <w:szCs w:val="24"/>
        </w:rPr>
        <w:t xml:space="preserve"> J</w:t>
      </w:r>
      <w:r>
        <w:rPr>
          <w:rFonts w:ascii="Times New Roman" w:hAnsi="Times New Roman" w:cs="Times New Roman"/>
          <w:sz w:val="24"/>
          <w:szCs w:val="24"/>
        </w:rPr>
        <w:t>P</w:t>
      </w:r>
    </w:p>
    <w:p w:rsidR="00274936" w:rsidRDefault="00DB6295" w:rsidP="00274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sidR="0088251F">
        <w:rPr>
          <w:rFonts w:ascii="Times New Roman" w:hAnsi="Times New Roman" w:cs="Times New Roman"/>
          <w:sz w:val="24"/>
          <w:szCs w:val="24"/>
        </w:rPr>
        <w:t>RARE, 22 November 2016 and 12 January 2017</w:t>
      </w:r>
    </w:p>
    <w:p w:rsidR="00274936" w:rsidRDefault="00274936" w:rsidP="00274936">
      <w:pPr>
        <w:spacing w:after="0" w:line="240" w:lineRule="auto"/>
        <w:jc w:val="both"/>
        <w:rPr>
          <w:rFonts w:ascii="Times New Roman" w:hAnsi="Times New Roman" w:cs="Times New Roman"/>
          <w:sz w:val="24"/>
          <w:szCs w:val="24"/>
        </w:rPr>
      </w:pPr>
    </w:p>
    <w:p w:rsidR="00274936" w:rsidRDefault="00274936" w:rsidP="00274936">
      <w:pPr>
        <w:spacing w:after="0" w:line="240" w:lineRule="auto"/>
        <w:jc w:val="both"/>
        <w:rPr>
          <w:rFonts w:ascii="Times New Roman" w:hAnsi="Times New Roman" w:cs="Times New Roman"/>
          <w:sz w:val="24"/>
          <w:szCs w:val="24"/>
        </w:rPr>
      </w:pPr>
    </w:p>
    <w:p w:rsidR="00274936" w:rsidRDefault="00274936" w:rsidP="00274936">
      <w:pPr>
        <w:spacing w:after="0" w:line="240" w:lineRule="auto"/>
        <w:jc w:val="both"/>
        <w:rPr>
          <w:rFonts w:ascii="Times New Roman" w:hAnsi="Times New Roman" w:cs="Times New Roman"/>
          <w:sz w:val="24"/>
          <w:szCs w:val="24"/>
        </w:rPr>
      </w:pPr>
    </w:p>
    <w:p w:rsidR="00274936" w:rsidRDefault="00274936" w:rsidP="002749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274936" w:rsidRDefault="00274936" w:rsidP="00274936">
      <w:pPr>
        <w:spacing w:after="0" w:line="240" w:lineRule="auto"/>
        <w:jc w:val="both"/>
        <w:rPr>
          <w:rFonts w:ascii="Times New Roman" w:hAnsi="Times New Roman" w:cs="Times New Roman"/>
          <w:b/>
          <w:sz w:val="24"/>
          <w:szCs w:val="24"/>
        </w:rPr>
      </w:pPr>
    </w:p>
    <w:p w:rsidR="00274936" w:rsidRDefault="00274936" w:rsidP="00274936">
      <w:pPr>
        <w:spacing w:after="0" w:line="240" w:lineRule="auto"/>
        <w:jc w:val="both"/>
        <w:rPr>
          <w:rFonts w:ascii="Times New Roman" w:hAnsi="Times New Roman" w:cs="Times New Roman"/>
          <w:b/>
          <w:sz w:val="24"/>
          <w:szCs w:val="24"/>
        </w:rPr>
      </w:pPr>
    </w:p>
    <w:p w:rsidR="00274936" w:rsidRPr="004D2106" w:rsidRDefault="00274936" w:rsidP="0027493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T.D. </w:t>
      </w:r>
      <w:proofErr w:type="spellStart"/>
      <w:r>
        <w:rPr>
          <w:rFonts w:ascii="Times New Roman" w:hAnsi="Times New Roman" w:cs="Times New Roman"/>
          <w:i/>
          <w:sz w:val="24"/>
          <w:szCs w:val="24"/>
        </w:rPr>
        <w:t>Muskwe</w:t>
      </w:r>
      <w:proofErr w:type="spellEnd"/>
      <w:r>
        <w:rPr>
          <w:rFonts w:ascii="Times New Roman" w:hAnsi="Times New Roman" w:cs="Times New Roman"/>
          <w:i/>
          <w:sz w:val="24"/>
          <w:szCs w:val="24"/>
        </w:rPr>
        <w:t>,</w:t>
      </w:r>
      <w:r w:rsidRPr="004D2106">
        <w:rPr>
          <w:rFonts w:ascii="Times New Roman" w:hAnsi="Times New Roman" w:cs="Times New Roman"/>
          <w:i/>
          <w:sz w:val="24"/>
          <w:szCs w:val="24"/>
        </w:rPr>
        <w:t xml:space="preserve"> </w:t>
      </w:r>
      <w:r w:rsidRPr="0012582D">
        <w:rPr>
          <w:rFonts w:ascii="Times New Roman" w:hAnsi="Times New Roman" w:cs="Times New Roman"/>
          <w:sz w:val="24"/>
          <w:szCs w:val="24"/>
        </w:rPr>
        <w:t>for the applicant</w:t>
      </w:r>
      <w:r w:rsidR="00DB6295">
        <w:rPr>
          <w:rFonts w:ascii="Times New Roman" w:hAnsi="Times New Roman" w:cs="Times New Roman"/>
          <w:sz w:val="24"/>
          <w:szCs w:val="24"/>
        </w:rPr>
        <w:t>s</w:t>
      </w:r>
    </w:p>
    <w:p w:rsidR="00274936" w:rsidRPr="004D2106" w:rsidRDefault="00274936" w:rsidP="00274936">
      <w:pPr>
        <w:spacing w:after="0" w:line="240" w:lineRule="auto"/>
        <w:jc w:val="both"/>
        <w:rPr>
          <w:rFonts w:ascii="Times New Roman" w:hAnsi="Times New Roman" w:cs="Times New Roman"/>
          <w:i/>
          <w:sz w:val="24"/>
          <w:szCs w:val="24"/>
        </w:rPr>
      </w:pPr>
      <w:r w:rsidRPr="00DB6295">
        <w:rPr>
          <w:rFonts w:ascii="Times New Roman" w:hAnsi="Times New Roman" w:cs="Times New Roman"/>
          <w:sz w:val="24"/>
          <w:szCs w:val="24"/>
        </w:rPr>
        <w:t>Ms</w:t>
      </w:r>
      <w:r>
        <w:rPr>
          <w:rFonts w:ascii="Times New Roman" w:hAnsi="Times New Roman" w:cs="Times New Roman"/>
          <w:i/>
          <w:sz w:val="24"/>
          <w:szCs w:val="24"/>
        </w:rPr>
        <w:t xml:space="preserve"> K. </w:t>
      </w:r>
      <w:proofErr w:type="spellStart"/>
      <w:r>
        <w:rPr>
          <w:rFonts w:ascii="Times New Roman" w:hAnsi="Times New Roman" w:cs="Times New Roman"/>
          <w:i/>
          <w:sz w:val="24"/>
          <w:szCs w:val="24"/>
        </w:rPr>
        <w:t>Zvinorova</w:t>
      </w:r>
      <w:proofErr w:type="spellEnd"/>
      <w:r w:rsidRPr="004D2106">
        <w:rPr>
          <w:rFonts w:ascii="Times New Roman" w:hAnsi="Times New Roman" w:cs="Times New Roman"/>
          <w:i/>
          <w:sz w:val="24"/>
          <w:szCs w:val="24"/>
        </w:rPr>
        <w:t xml:space="preserve">, </w:t>
      </w:r>
      <w:r w:rsidRPr="0012582D">
        <w:rPr>
          <w:rFonts w:ascii="Times New Roman" w:hAnsi="Times New Roman" w:cs="Times New Roman"/>
          <w:sz w:val="24"/>
          <w:szCs w:val="24"/>
        </w:rPr>
        <w:t>for the respondent</w:t>
      </w:r>
      <w:r w:rsidR="00DB6295">
        <w:rPr>
          <w:rFonts w:ascii="Times New Roman" w:hAnsi="Times New Roman" w:cs="Times New Roman"/>
          <w:sz w:val="24"/>
          <w:szCs w:val="24"/>
        </w:rPr>
        <w:t>s</w:t>
      </w:r>
    </w:p>
    <w:p w:rsidR="00274936" w:rsidRDefault="00274936" w:rsidP="00274936">
      <w:pPr>
        <w:spacing w:after="0" w:line="240" w:lineRule="auto"/>
        <w:jc w:val="both"/>
        <w:rPr>
          <w:rFonts w:ascii="Times New Roman" w:hAnsi="Times New Roman" w:cs="Times New Roman"/>
          <w:sz w:val="24"/>
          <w:szCs w:val="24"/>
        </w:rPr>
      </w:pPr>
    </w:p>
    <w:p w:rsidR="00274936" w:rsidRDefault="00274936" w:rsidP="00274936">
      <w:pPr>
        <w:spacing w:after="0" w:line="240" w:lineRule="auto"/>
        <w:jc w:val="both"/>
        <w:rPr>
          <w:rFonts w:ascii="Times New Roman" w:hAnsi="Times New Roman" w:cs="Times New Roman"/>
          <w:sz w:val="24"/>
          <w:szCs w:val="24"/>
        </w:rPr>
      </w:pPr>
    </w:p>
    <w:p w:rsidR="00523990" w:rsidRDefault="00274936" w:rsidP="00CE15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6295">
        <w:rPr>
          <w:rFonts w:ascii="Times New Roman" w:hAnsi="Times New Roman" w:cs="Times New Roman"/>
          <w:sz w:val="24"/>
          <w:szCs w:val="24"/>
        </w:rPr>
        <w:t>CHIWESHE</w:t>
      </w:r>
      <w:r>
        <w:rPr>
          <w:rFonts w:ascii="Times New Roman" w:hAnsi="Times New Roman" w:cs="Times New Roman"/>
          <w:sz w:val="24"/>
          <w:szCs w:val="24"/>
        </w:rPr>
        <w:t xml:space="preserve"> J</w:t>
      </w:r>
      <w:r w:rsidR="00DB6295">
        <w:rPr>
          <w:rFonts w:ascii="Times New Roman" w:hAnsi="Times New Roman" w:cs="Times New Roman"/>
          <w:sz w:val="24"/>
          <w:szCs w:val="24"/>
        </w:rPr>
        <w:t>P</w:t>
      </w:r>
      <w:r>
        <w:rPr>
          <w:rFonts w:ascii="Times New Roman" w:hAnsi="Times New Roman" w:cs="Times New Roman"/>
          <w:sz w:val="24"/>
          <w:szCs w:val="24"/>
        </w:rPr>
        <w:t xml:space="preserve">: </w:t>
      </w:r>
      <w:r w:rsidR="00DB6295">
        <w:rPr>
          <w:rFonts w:ascii="Times New Roman" w:hAnsi="Times New Roman" w:cs="Times New Roman"/>
          <w:sz w:val="24"/>
          <w:szCs w:val="24"/>
        </w:rPr>
        <w:t xml:space="preserve">This </w:t>
      </w:r>
      <w:r w:rsidR="00E544D9">
        <w:rPr>
          <w:rFonts w:ascii="Times New Roman" w:hAnsi="Times New Roman" w:cs="Times New Roman"/>
          <w:sz w:val="24"/>
          <w:szCs w:val="24"/>
        </w:rPr>
        <w:t xml:space="preserve">is an application for </w:t>
      </w:r>
      <w:r w:rsidR="00DB6295">
        <w:rPr>
          <w:rFonts w:ascii="Times New Roman" w:hAnsi="Times New Roman" w:cs="Times New Roman"/>
          <w:sz w:val="24"/>
          <w:szCs w:val="24"/>
        </w:rPr>
        <w:t xml:space="preserve">summary judgment </w:t>
      </w:r>
      <w:r w:rsidR="00DE3E63">
        <w:rPr>
          <w:rFonts w:ascii="Times New Roman" w:hAnsi="Times New Roman" w:cs="Times New Roman"/>
          <w:sz w:val="24"/>
          <w:szCs w:val="24"/>
        </w:rPr>
        <w:t>in terms of ru</w:t>
      </w:r>
      <w:r w:rsidR="00753FFE">
        <w:rPr>
          <w:rFonts w:ascii="Times New Roman" w:hAnsi="Times New Roman" w:cs="Times New Roman"/>
          <w:sz w:val="24"/>
          <w:szCs w:val="24"/>
        </w:rPr>
        <w:t xml:space="preserve">le 64 which reads:  </w:t>
      </w:r>
    </w:p>
    <w:p w:rsidR="00127B8A" w:rsidRDefault="00753FFE" w:rsidP="00C71094">
      <w:pPr>
        <w:spacing w:after="0" w:line="240" w:lineRule="auto"/>
        <w:ind w:left="720"/>
        <w:jc w:val="both"/>
        <w:rPr>
          <w:rFonts w:ascii="Times New Roman" w:hAnsi="Times New Roman" w:cs="Times New Roman"/>
          <w:sz w:val="24"/>
          <w:szCs w:val="24"/>
        </w:rPr>
      </w:pPr>
      <w:r w:rsidRPr="00C71094">
        <w:rPr>
          <w:rFonts w:ascii="Times New Roman" w:hAnsi="Times New Roman" w:cs="Times New Roman"/>
          <w:sz w:val="24"/>
          <w:szCs w:val="24"/>
        </w:rPr>
        <w:t>“(1) Where the defendant has entered appearance to</w:t>
      </w:r>
      <w:r w:rsidR="00523990" w:rsidRPr="00C71094">
        <w:rPr>
          <w:rFonts w:ascii="Times New Roman" w:hAnsi="Times New Roman" w:cs="Times New Roman"/>
          <w:sz w:val="24"/>
          <w:szCs w:val="24"/>
        </w:rPr>
        <w:t xml:space="preserve"> a summons, the plaintiff may, at any time before a pre-trial conference is held, make a court application in terms of this rule for the court to enter summary judgment for what is claimed in the summons and costs.</w:t>
      </w:r>
    </w:p>
    <w:p w:rsidR="00C71094" w:rsidRPr="00C71094" w:rsidRDefault="00C71094" w:rsidP="00C71094">
      <w:pPr>
        <w:spacing w:after="0" w:line="240" w:lineRule="auto"/>
        <w:ind w:left="720"/>
        <w:jc w:val="both"/>
        <w:rPr>
          <w:rFonts w:ascii="Times New Roman" w:hAnsi="Times New Roman" w:cs="Times New Roman"/>
          <w:sz w:val="24"/>
          <w:szCs w:val="24"/>
        </w:rPr>
      </w:pPr>
    </w:p>
    <w:p w:rsidR="00DE3E63" w:rsidRDefault="00DE3E63" w:rsidP="00C71094">
      <w:pPr>
        <w:spacing w:after="0" w:line="240" w:lineRule="auto"/>
        <w:ind w:left="720"/>
        <w:jc w:val="both"/>
        <w:rPr>
          <w:rFonts w:ascii="Times New Roman" w:hAnsi="Times New Roman" w:cs="Times New Roman"/>
          <w:sz w:val="24"/>
          <w:szCs w:val="24"/>
        </w:rPr>
      </w:pPr>
      <w:r w:rsidRPr="00C71094">
        <w:rPr>
          <w:rFonts w:ascii="Times New Roman" w:hAnsi="Times New Roman" w:cs="Times New Roman"/>
          <w:sz w:val="24"/>
          <w:szCs w:val="24"/>
        </w:rPr>
        <w:t>(2)</w:t>
      </w:r>
      <w:r w:rsidR="00523990" w:rsidRPr="00C71094">
        <w:rPr>
          <w:rFonts w:ascii="Times New Roman" w:hAnsi="Times New Roman" w:cs="Times New Roman"/>
          <w:sz w:val="24"/>
          <w:szCs w:val="24"/>
        </w:rPr>
        <w:t xml:space="preserve"> A court application in terms of </w:t>
      </w:r>
      <w:proofErr w:type="spellStart"/>
      <w:r w:rsidR="00523990" w:rsidRPr="00C71094">
        <w:rPr>
          <w:rFonts w:ascii="Times New Roman" w:hAnsi="Times New Roman" w:cs="Times New Roman"/>
          <w:sz w:val="24"/>
          <w:szCs w:val="24"/>
        </w:rPr>
        <w:t>subrule</w:t>
      </w:r>
      <w:proofErr w:type="spellEnd"/>
      <w:r w:rsidR="00523990" w:rsidRPr="00C71094">
        <w:rPr>
          <w:rFonts w:ascii="Times New Roman" w:hAnsi="Times New Roman" w:cs="Times New Roman"/>
          <w:sz w:val="24"/>
          <w:szCs w:val="24"/>
        </w:rPr>
        <w:t xml:space="preserve"> (1) shall be supported by an affidavit made by the plaintiff or by any other person who can swear positively to the facts set out therein, verifying the cause of action and the amount claimed, if any, and stating that in his belief there is no </w:t>
      </w:r>
      <w:r w:rsidR="00523990" w:rsidRPr="00C71094">
        <w:rPr>
          <w:rFonts w:ascii="Times New Roman" w:hAnsi="Times New Roman" w:cs="Times New Roman"/>
          <w:i/>
          <w:sz w:val="24"/>
          <w:szCs w:val="24"/>
        </w:rPr>
        <w:t>bo</w:t>
      </w:r>
      <w:r w:rsidR="00C71094" w:rsidRPr="00C71094">
        <w:rPr>
          <w:rFonts w:ascii="Times New Roman" w:hAnsi="Times New Roman" w:cs="Times New Roman"/>
          <w:i/>
          <w:sz w:val="24"/>
          <w:szCs w:val="24"/>
        </w:rPr>
        <w:t>na fide</w:t>
      </w:r>
      <w:r w:rsidR="00C71094" w:rsidRPr="00C71094">
        <w:rPr>
          <w:rFonts w:ascii="Times New Roman" w:hAnsi="Times New Roman" w:cs="Times New Roman"/>
          <w:sz w:val="24"/>
          <w:szCs w:val="24"/>
        </w:rPr>
        <w:t xml:space="preserve"> defence to the action.</w:t>
      </w:r>
    </w:p>
    <w:p w:rsidR="00C71094" w:rsidRPr="00C71094" w:rsidRDefault="00C71094" w:rsidP="00C71094">
      <w:pPr>
        <w:spacing w:after="0" w:line="240" w:lineRule="auto"/>
        <w:ind w:left="720"/>
        <w:jc w:val="both"/>
        <w:rPr>
          <w:rFonts w:ascii="Times New Roman" w:hAnsi="Times New Roman" w:cs="Times New Roman"/>
          <w:sz w:val="24"/>
          <w:szCs w:val="24"/>
        </w:rPr>
      </w:pPr>
    </w:p>
    <w:p w:rsidR="00DE3E63" w:rsidRDefault="00DE3E63" w:rsidP="00C71094">
      <w:pPr>
        <w:spacing w:after="0" w:line="240" w:lineRule="auto"/>
        <w:ind w:left="720"/>
        <w:jc w:val="both"/>
        <w:rPr>
          <w:rFonts w:ascii="Times New Roman" w:hAnsi="Times New Roman" w:cs="Times New Roman"/>
          <w:sz w:val="24"/>
          <w:szCs w:val="24"/>
        </w:rPr>
      </w:pPr>
      <w:r w:rsidRPr="00C71094">
        <w:rPr>
          <w:rFonts w:ascii="Times New Roman" w:hAnsi="Times New Roman" w:cs="Times New Roman"/>
          <w:sz w:val="24"/>
          <w:szCs w:val="24"/>
        </w:rPr>
        <w:t>(3)</w:t>
      </w:r>
      <w:r w:rsidR="00C71094" w:rsidRPr="00C71094">
        <w:rPr>
          <w:rFonts w:ascii="Times New Roman" w:hAnsi="Times New Roman" w:cs="Times New Roman"/>
          <w:sz w:val="24"/>
          <w:szCs w:val="24"/>
        </w:rPr>
        <w:t xml:space="preserve"> A deponent may attach to his affidavit filed in terms of </w:t>
      </w:r>
      <w:proofErr w:type="spellStart"/>
      <w:r w:rsidR="00C71094" w:rsidRPr="00C71094">
        <w:rPr>
          <w:rFonts w:ascii="Times New Roman" w:hAnsi="Times New Roman" w:cs="Times New Roman"/>
          <w:sz w:val="24"/>
          <w:szCs w:val="24"/>
        </w:rPr>
        <w:t>subrule</w:t>
      </w:r>
      <w:proofErr w:type="spellEnd"/>
      <w:r w:rsidR="00C71094" w:rsidRPr="00C71094">
        <w:rPr>
          <w:rFonts w:ascii="Times New Roman" w:hAnsi="Times New Roman" w:cs="Times New Roman"/>
          <w:sz w:val="24"/>
          <w:szCs w:val="24"/>
        </w:rPr>
        <w:t xml:space="preserve"> (2) documents which verify the plaintiff’s cause of action or his belief that there is no </w:t>
      </w:r>
      <w:r w:rsidR="00C71094" w:rsidRPr="00C71094">
        <w:rPr>
          <w:rFonts w:ascii="Times New Roman" w:hAnsi="Times New Roman" w:cs="Times New Roman"/>
          <w:i/>
          <w:sz w:val="24"/>
          <w:szCs w:val="24"/>
        </w:rPr>
        <w:t>bona fide</w:t>
      </w:r>
      <w:r w:rsidR="00C71094" w:rsidRPr="00C71094">
        <w:rPr>
          <w:rFonts w:ascii="Times New Roman" w:hAnsi="Times New Roman" w:cs="Times New Roman"/>
          <w:sz w:val="24"/>
          <w:szCs w:val="24"/>
        </w:rPr>
        <w:t xml:space="preserve"> defence to the action.</w:t>
      </w:r>
    </w:p>
    <w:p w:rsidR="00C71094" w:rsidRPr="00C71094" w:rsidRDefault="00C71094" w:rsidP="00C71094">
      <w:pPr>
        <w:spacing w:after="0" w:line="240" w:lineRule="auto"/>
        <w:ind w:left="720"/>
        <w:jc w:val="both"/>
        <w:rPr>
          <w:rFonts w:ascii="Times New Roman" w:hAnsi="Times New Roman" w:cs="Times New Roman"/>
          <w:sz w:val="24"/>
          <w:szCs w:val="24"/>
        </w:rPr>
      </w:pPr>
    </w:p>
    <w:p w:rsidR="00C71094" w:rsidRPr="00C71094" w:rsidRDefault="00C71094" w:rsidP="00C7109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(4) </w:t>
      </w:r>
      <w:r w:rsidRPr="00C71094">
        <w:rPr>
          <w:rFonts w:ascii="Times New Roman" w:hAnsi="Times New Roman" w:cs="Times New Roman"/>
          <w:sz w:val="24"/>
          <w:szCs w:val="24"/>
        </w:rPr>
        <w:t>Order 32 shall apply to the form and service of an application in terms of this rule and to any opposition thereto.”</w:t>
      </w:r>
    </w:p>
    <w:p w:rsidR="00C71094" w:rsidRDefault="00C71094" w:rsidP="00445AD2">
      <w:pPr>
        <w:spacing w:after="0" w:line="240" w:lineRule="auto"/>
        <w:jc w:val="both"/>
        <w:rPr>
          <w:rFonts w:ascii="Times New Roman" w:hAnsi="Times New Roman" w:cs="Times New Roman"/>
          <w:sz w:val="24"/>
          <w:szCs w:val="24"/>
        </w:rPr>
      </w:pPr>
    </w:p>
    <w:p w:rsidR="0026202D" w:rsidRDefault="00DE3E63" w:rsidP="00DE3E6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and second applicants are husband and wife.  The first respondent is in the property business.  The second respondent, a registered estate agent, is the first respondent’s managing director.  On 13 May 2011 the respondents brokered an agreement of sale entered </w:t>
      </w:r>
      <w:r>
        <w:rPr>
          <w:rFonts w:ascii="Times New Roman" w:hAnsi="Times New Roman" w:cs="Times New Roman"/>
          <w:sz w:val="24"/>
          <w:szCs w:val="24"/>
        </w:rPr>
        <w:lastRenderedPageBreak/>
        <w:t xml:space="preserve">into by the applicants and one Sophie </w:t>
      </w:r>
      <w:proofErr w:type="spellStart"/>
      <w:r>
        <w:rPr>
          <w:rFonts w:ascii="Times New Roman" w:hAnsi="Times New Roman" w:cs="Times New Roman"/>
          <w:sz w:val="24"/>
          <w:szCs w:val="24"/>
        </w:rPr>
        <w:t>Ncube</w:t>
      </w:r>
      <w:proofErr w:type="spellEnd"/>
      <w:r w:rsidR="0073103C">
        <w:rPr>
          <w:rFonts w:ascii="Times New Roman" w:hAnsi="Times New Roman" w:cs="Times New Roman"/>
          <w:sz w:val="24"/>
          <w:szCs w:val="24"/>
        </w:rPr>
        <w:t>,</w:t>
      </w:r>
      <w:r>
        <w:rPr>
          <w:rFonts w:ascii="Times New Roman" w:hAnsi="Times New Roman" w:cs="Times New Roman"/>
          <w:sz w:val="24"/>
          <w:szCs w:val="24"/>
        </w:rPr>
        <w:t xml:space="preserve"> in terms of which the </w:t>
      </w:r>
      <w:r w:rsidR="00EE518A">
        <w:rPr>
          <w:rFonts w:ascii="Times New Roman" w:hAnsi="Times New Roman" w:cs="Times New Roman"/>
          <w:sz w:val="24"/>
          <w:szCs w:val="24"/>
        </w:rPr>
        <w:t>applicants purchased an immovable property in the district of Salisbury namely</w:t>
      </w:r>
      <w:r w:rsidR="0073103C">
        <w:rPr>
          <w:rFonts w:ascii="Times New Roman" w:hAnsi="Times New Roman" w:cs="Times New Roman"/>
          <w:sz w:val="24"/>
          <w:szCs w:val="24"/>
        </w:rPr>
        <w:t>,</w:t>
      </w:r>
      <w:r w:rsidR="00EE518A">
        <w:rPr>
          <w:rFonts w:ascii="Times New Roman" w:hAnsi="Times New Roman" w:cs="Times New Roman"/>
          <w:sz w:val="24"/>
          <w:szCs w:val="24"/>
        </w:rPr>
        <w:t xml:space="preserve"> stand 241 </w:t>
      </w:r>
      <w:proofErr w:type="spellStart"/>
      <w:r w:rsidR="00EE518A">
        <w:rPr>
          <w:rFonts w:ascii="Times New Roman" w:hAnsi="Times New Roman" w:cs="Times New Roman"/>
          <w:sz w:val="24"/>
          <w:szCs w:val="24"/>
        </w:rPr>
        <w:t>Mandara</w:t>
      </w:r>
      <w:proofErr w:type="spellEnd"/>
      <w:r w:rsidR="00EE518A">
        <w:rPr>
          <w:rFonts w:ascii="Times New Roman" w:hAnsi="Times New Roman" w:cs="Times New Roman"/>
          <w:sz w:val="24"/>
          <w:szCs w:val="24"/>
        </w:rPr>
        <w:t xml:space="preserve"> Township of Lot 3 A </w:t>
      </w:r>
      <w:proofErr w:type="spellStart"/>
      <w:r w:rsidR="00EE518A">
        <w:rPr>
          <w:rFonts w:ascii="Times New Roman" w:hAnsi="Times New Roman" w:cs="Times New Roman"/>
          <w:sz w:val="24"/>
          <w:szCs w:val="24"/>
        </w:rPr>
        <w:t>Mandara</w:t>
      </w:r>
      <w:proofErr w:type="spellEnd"/>
      <w:r w:rsidR="00EE518A">
        <w:rPr>
          <w:rFonts w:ascii="Times New Roman" w:hAnsi="Times New Roman" w:cs="Times New Roman"/>
          <w:sz w:val="24"/>
          <w:szCs w:val="24"/>
        </w:rPr>
        <w:t xml:space="preserve"> measuring 4112 square metres registered under deed of transfe</w:t>
      </w:r>
      <w:r w:rsidR="0073103C">
        <w:rPr>
          <w:rFonts w:ascii="Times New Roman" w:hAnsi="Times New Roman" w:cs="Times New Roman"/>
          <w:sz w:val="24"/>
          <w:szCs w:val="24"/>
        </w:rPr>
        <w:t>r number 3892/2007.  In pursuance</w:t>
      </w:r>
      <w:r w:rsidR="00EE518A">
        <w:rPr>
          <w:rFonts w:ascii="Times New Roman" w:hAnsi="Times New Roman" w:cs="Times New Roman"/>
          <w:sz w:val="24"/>
          <w:szCs w:val="24"/>
        </w:rPr>
        <w:t xml:space="preserve"> of that agreement the applicants made a lump sum deposit of </w:t>
      </w:r>
      <w:r w:rsidR="003F793C">
        <w:rPr>
          <w:rFonts w:ascii="Times New Roman" w:hAnsi="Times New Roman" w:cs="Times New Roman"/>
          <w:sz w:val="24"/>
          <w:szCs w:val="24"/>
        </w:rPr>
        <w:t xml:space="preserve">       </w:t>
      </w:r>
      <w:r w:rsidR="00EE518A">
        <w:rPr>
          <w:rFonts w:ascii="Times New Roman" w:hAnsi="Times New Roman" w:cs="Times New Roman"/>
          <w:sz w:val="24"/>
          <w:szCs w:val="24"/>
        </w:rPr>
        <w:t xml:space="preserve">$20 000.00 to the respondents.  Despite this development the respondents, according to the applicants, then sold the property to a third party.  The applicants then sought </w:t>
      </w:r>
      <w:r w:rsidR="00F51761">
        <w:rPr>
          <w:rFonts w:ascii="Times New Roman" w:hAnsi="Times New Roman" w:cs="Times New Roman"/>
          <w:sz w:val="24"/>
          <w:szCs w:val="24"/>
        </w:rPr>
        <w:t xml:space="preserve">to recover that sum from respondents.  On </w:t>
      </w:r>
      <w:r w:rsidR="00E544D9">
        <w:rPr>
          <w:rFonts w:ascii="Times New Roman" w:hAnsi="Times New Roman" w:cs="Times New Roman"/>
          <w:sz w:val="24"/>
          <w:szCs w:val="24"/>
        </w:rPr>
        <w:t xml:space="preserve">a </w:t>
      </w:r>
      <w:r w:rsidR="00F51761">
        <w:rPr>
          <w:rFonts w:ascii="Times New Roman" w:hAnsi="Times New Roman" w:cs="Times New Roman"/>
          <w:sz w:val="24"/>
          <w:szCs w:val="24"/>
        </w:rPr>
        <w:t xml:space="preserve">number </w:t>
      </w:r>
      <w:r w:rsidR="00907859">
        <w:rPr>
          <w:rFonts w:ascii="Times New Roman" w:hAnsi="Times New Roman" w:cs="Times New Roman"/>
          <w:sz w:val="24"/>
          <w:szCs w:val="24"/>
        </w:rPr>
        <w:t xml:space="preserve">of occasions the respondents promised to so refund this amount but on each occasion failed to do so.  The applicants then reported the matter to the Police who preferred charges of fraud against the respondents.  To avoid prosecution the second respondent persuaded the applicants to agree to a settlement plan in which the first respondent proposed to pay as follows:-  a down payment of $5000.00, then a further payment </w:t>
      </w:r>
      <w:r w:rsidR="0026202D">
        <w:rPr>
          <w:rFonts w:ascii="Times New Roman" w:hAnsi="Times New Roman" w:cs="Times New Roman"/>
          <w:sz w:val="24"/>
          <w:szCs w:val="24"/>
        </w:rPr>
        <w:t xml:space="preserve">of </w:t>
      </w:r>
      <w:r w:rsidR="00907859">
        <w:rPr>
          <w:rFonts w:ascii="Times New Roman" w:hAnsi="Times New Roman" w:cs="Times New Roman"/>
          <w:sz w:val="24"/>
          <w:szCs w:val="24"/>
        </w:rPr>
        <w:t>$7500</w:t>
      </w:r>
      <w:r w:rsidR="0026202D">
        <w:rPr>
          <w:rFonts w:ascii="Times New Roman" w:hAnsi="Times New Roman" w:cs="Times New Roman"/>
          <w:sz w:val="24"/>
          <w:szCs w:val="24"/>
        </w:rPr>
        <w:t>.00 on or before 28 October 2012 and the balance on or before 31</w:t>
      </w:r>
      <w:r w:rsidR="0026202D" w:rsidRPr="0026202D">
        <w:rPr>
          <w:rFonts w:ascii="Times New Roman" w:hAnsi="Times New Roman" w:cs="Times New Roman"/>
          <w:sz w:val="24"/>
          <w:szCs w:val="24"/>
          <w:vertAlign w:val="superscript"/>
        </w:rPr>
        <w:t>st</w:t>
      </w:r>
      <w:r w:rsidR="0026202D">
        <w:rPr>
          <w:rFonts w:ascii="Times New Roman" w:hAnsi="Times New Roman" w:cs="Times New Roman"/>
          <w:sz w:val="24"/>
          <w:szCs w:val="24"/>
        </w:rPr>
        <w:t xml:space="preserve"> December 2012.  This agreement was reduced to writing and signed on 28 September 2012.</w:t>
      </w:r>
    </w:p>
    <w:p w:rsidR="00DE3E63" w:rsidRDefault="0026202D" w:rsidP="00DE3E6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failed to honour this agreement as only $5000.00 was paid leaving the balance of $15 000.00 outstanding.  It is to recover this amount that the applicants sued the respondents jointly and severally, the one paying the other to be </w:t>
      </w:r>
      <w:r w:rsidR="006A6AED">
        <w:rPr>
          <w:rFonts w:ascii="Times New Roman" w:hAnsi="Times New Roman" w:cs="Times New Roman"/>
          <w:sz w:val="24"/>
          <w:szCs w:val="24"/>
        </w:rPr>
        <w:t xml:space="preserve">absolved.  The third respondent </w:t>
      </w:r>
      <w:r w:rsidR="00E544D9">
        <w:rPr>
          <w:rFonts w:ascii="Times New Roman" w:hAnsi="Times New Roman" w:cs="Times New Roman"/>
          <w:sz w:val="24"/>
          <w:szCs w:val="24"/>
        </w:rPr>
        <w:t xml:space="preserve">is cited as the body that has professional oversight of the first and second respondents </w:t>
      </w:r>
      <w:r w:rsidR="0073103C">
        <w:rPr>
          <w:rFonts w:ascii="Times New Roman" w:hAnsi="Times New Roman" w:cs="Times New Roman"/>
          <w:sz w:val="24"/>
          <w:szCs w:val="24"/>
        </w:rPr>
        <w:t xml:space="preserve">and </w:t>
      </w:r>
      <w:r w:rsidR="00E544D9">
        <w:rPr>
          <w:rFonts w:ascii="Times New Roman" w:hAnsi="Times New Roman" w:cs="Times New Roman"/>
          <w:sz w:val="24"/>
          <w:szCs w:val="24"/>
        </w:rPr>
        <w:t>where appropriate</w:t>
      </w:r>
      <w:r w:rsidR="0073103C">
        <w:rPr>
          <w:rFonts w:ascii="Times New Roman" w:hAnsi="Times New Roman" w:cs="Times New Roman"/>
          <w:sz w:val="24"/>
          <w:szCs w:val="24"/>
        </w:rPr>
        <w:t>,</w:t>
      </w:r>
      <w:r w:rsidR="00E544D9">
        <w:rPr>
          <w:rFonts w:ascii="Times New Roman" w:hAnsi="Times New Roman" w:cs="Times New Roman"/>
          <w:sz w:val="24"/>
          <w:szCs w:val="24"/>
        </w:rPr>
        <w:t xml:space="preserve"> obligated to compensate clients hard done by their members.</w:t>
      </w:r>
    </w:p>
    <w:p w:rsidR="005D487D" w:rsidRDefault="00E544D9" w:rsidP="00DE3E6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entered appearance to defend despite their </w:t>
      </w:r>
      <w:r w:rsidR="005D487D">
        <w:rPr>
          <w:rFonts w:ascii="Times New Roman" w:hAnsi="Times New Roman" w:cs="Times New Roman"/>
          <w:sz w:val="24"/>
          <w:szCs w:val="24"/>
        </w:rPr>
        <w:t>hitherto apparent admission of liability in the sum of $15 000.00.  The applicants</w:t>
      </w:r>
      <w:r w:rsidR="0073103C">
        <w:rPr>
          <w:rFonts w:ascii="Times New Roman" w:hAnsi="Times New Roman" w:cs="Times New Roman"/>
          <w:sz w:val="24"/>
          <w:szCs w:val="24"/>
        </w:rPr>
        <w:t>,</w:t>
      </w:r>
      <w:r w:rsidR="005D487D">
        <w:rPr>
          <w:rFonts w:ascii="Times New Roman" w:hAnsi="Times New Roman" w:cs="Times New Roman"/>
          <w:sz w:val="24"/>
          <w:szCs w:val="24"/>
        </w:rPr>
        <w:t xml:space="preserve"> believing that the respondent</w:t>
      </w:r>
      <w:r w:rsidR="0073103C">
        <w:rPr>
          <w:rFonts w:ascii="Times New Roman" w:hAnsi="Times New Roman" w:cs="Times New Roman"/>
          <w:sz w:val="24"/>
          <w:szCs w:val="24"/>
        </w:rPr>
        <w:t>s had</w:t>
      </w:r>
      <w:r w:rsidR="005D487D">
        <w:rPr>
          <w:rFonts w:ascii="Times New Roman" w:hAnsi="Times New Roman" w:cs="Times New Roman"/>
          <w:sz w:val="24"/>
          <w:szCs w:val="24"/>
        </w:rPr>
        <w:t xml:space="preserve"> no </w:t>
      </w:r>
      <w:r w:rsidR="00E8087E" w:rsidRPr="00E8087E">
        <w:rPr>
          <w:rFonts w:ascii="Times New Roman" w:hAnsi="Times New Roman" w:cs="Times New Roman"/>
          <w:i/>
          <w:sz w:val="24"/>
          <w:szCs w:val="24"/>
        </w:rPr>
        <w:t>bona fide</w:t>
      </w:r>
      <w:r w:rsidR="005D487D">
        <w:rPr>
          <w:rFonts w:ascii="Times New Roman" w:hAnsi="Times New Roman" w:cs="Times New Roman"/>
          <w:sz w:val="24"/>
          <w:szCs w:val="24"/>
        </w:rPr>
        <w:t xml:space="preserve"> defence to their claim a</w:t>
      </w:r>
      <w:r w:rsidR="0073103C">
        <w:rPr>
          <w:rFonts w:ascii="Times New Roman" w:hAnsi="Times New Roman" w:cs="Times New Roman"/>
          <w:sz w:val="24"/>
          <w:szCs w:val="24"/>
        </w:rPr>
        <w:t>nd that appearance to defend had</w:t>
      </w:r>
      <w:r w:rsidR="000652CA">
        <w:rPr>
          <w:rFonts w:ascii="Times New Roman" w:hAnsi="Times New Roman" w:cs="Times New Roman"/>
          <w:sz w:val="24"/>
          <w:szCs w:val="24"/>
        </w:rPr>
        <w:t xml:space="preserve"> been entered </w:t>
      </w:r>
      <w:r w:rsidR="005D487D">
        <w:rPr>
          <w:rFonts w:ascii="Times New Roman" w:hAnsi="Times New Roman" w:cs="Times New Roman"/>
          <w:sz w:val="24"/>
          <w:szCs w:val="24"/>
        </w:rPr>
        <w:t>merely for purposes of delay</w:t>
      </w:r>
      <w:r w:rsidR="0073103C">
        <w:rPr>
          <w:rFonts w:ascii="Times New Roman" w:hAnsi="Times New Roman" w:cs="Times New Roman"/>
          <w:sz w:val="24"/>
          <w:szCs w:val="24"/>
        </w:rPr>
        <w:t>,</w:t>
      </w:r>
      <w:r w:rsidR="005D487D">
        <w:rPr>
          <w:rFonts w:ascii="Times New Roman" w:hAnsi="Times New Roman" w:cs="Times New Roman"/>
          <w:sz w:val="24"/>
          <w:szCs w:val="24"/>
        </w:rPr>
        <w:t xml:space="preserve"> have filed the present application for summary judgment in the sum of $15 000.000.  They also claim costs on the punitive scale.</w:t>
      </w:r>
    </w:p>
    <w:p w:rsidR="00E544D9" w:rsidRDefault="005D487D" w:rsidP="00DE3E63">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their opposing affidavit, sworn to by th</w:t>
      </w:r>
      <w:r w:rsidR="008575FD">
        <w:rPr>
          <w:rFonts w:ascii="Times New Roman" w:hAnsi="Times New Roman" w:cs="Times New Roman"/>
          <w:sz w:val="24"/>
          <w:szCs w:val="24"/>
        </w:rPr>
        <w:t xml:space="preserve">e second respondent, the first and second respondents raise the following issues.  Firstly it is averred that the deed of settlement was not properly and freely obtained from the second respondent.  The respondent was under the threat of prosecution if he did not sign the agreement.  Secondly it is averred that the agreement referred to does not attach liability to the first respondent nor does it state whether second respondent was representing first respondent when he so signed </w:t>
      </w:r>
      <w:r w:rsidR="00774BCF">
        <w:rPr>
          <w:rFonts w:ascii="Times New Roman" w:hAnsi="Times New Roman" w:cs="Times New Roman"/>
          <w:sz w:val="24"/>
          <w:szCs w:val="24"/>
        </w:rPr>
        <w:t>the agreement.  Thus</w:t>
      </w:r>
      <w:r w:rsidR="000652CA">
        <w:rPr>
          <w:rFonts w:ascii="Times New Roman" w:hAnsi="Times New Roman" w:cs="Times New Roman"/>
          <w:sz w:val="24"/>
          <w:szCs w:val="24"/>
        </w:rPr>
        <w:t>,</w:t>
      </w:r>
      <w:r w:rsidR="00774BCF">
        <w:rPr>
          <w:rFonts w:ascii="Times New Roman" w:hAnsi="Times New Roman" w:cs="Times New Roman"/>
          <w:sz w:val="24"/>
          <w:szCs w:val="24"/>
        </w:rPr>
        <w:t xml:space="preserve"> so it is argued</w:t>
      </w:r>
      <w:r w:rsidR="000652CA">
        <w:rPr>
          <w:rFonts w:ascii="Times New Roman" w:hAnsi="Times New Roman" w:cs="Times New Roman"/>
          <w:sz w:val="24"/>
          <w:szCs w:val="24"/>
        </w:rPr>
        <w:t>,</w:t>
      </w:r>
      <w:r w:rsidR="00774BCF">
        <w:rPr>
          <w:rFonts w:ascii="Times New Roman" w:hAnsi="Times New Roman" w:cs="Times New Roman"/>
          <w:sz w:val="24"/>
          <w:szCs w:val="24"/>
        </w:rPr>
        <w:t xml:space="preserve"> there is no basis upon which the court could find against the first respondent.  It is further averred by the respondents that liability is not being denied in principle – what is </w:t>
      </w:r>
      <w:r w:rsidR="00774BCF">
        <w:rPr>
          <w:rFonts w:ascii="Times New Roman" w:hAnsi="Times New Roman" w:cs="Times New Roman"/>
          <w:sz w:val="24"/>
          <w:szCs w:val="24"/>
        </w:rPr>
        <w:lastRenderedPageBreak/>
        <w:t xml:space="preserve">denied is the amount of the claim.  The value of the vehicle which had been </w:t>
      </w:r>
      <w:r w:rsidR="00E068D8">
        <w:rPr>
          <w:rFonts w:ascii="Times New Roman" w:hAnsi="Times New Roman" w:cs="Times New Roman"/>
          <w:sz w:val="24"/>
          <w:szCs w:val="24"/>
        </w:rPr>
        <w:t xml:space="preserve">pledged as part payment </w:t>
      </w:r>
      <w:r w:rsidR="007E3D67">
        <w:rPr>
          <w:rFonts w:ascii="Times New Roman" w:hAnsi="Times New Roman" w:cs="Times New Roman"/>
          <w:sz w:val="24"/>
          <w:szCs w:val="24"/>
        </w:rPr>
        <w:t xml:space="preserve">was initially </w:t>
      </w:r>
      <w:r w:rsidR="000652CA">
        <w:rPr>
          <w:rFonts w:ascii="Times New Roman" w:hAnsi="Times New Roman" w:cs="Times New Roman"/>
          <w:sz w:val="24"/>
          <w:szCs w:val="24"/>
        </w:rPr>
        <w:t>placed</w:t>
      </w:r>
      <w:r w:rsidR="007E3D67">
        <w:rPr>
          <w:rFonts w:ascii="Times New Roman" w:hAnsi="Times New Roman" w:cs="Times New Roman"/>
          <w:sz w:val="24"/>
          <w:szCs w:val="24"/>
        </w:rPr>
        <w:t xml:space="preserve"> at $7 000.00 but </w:t>
      </w:r>
      <w:r w:rsidR="000652CA">
        <w:rPr>
          <w:rFonts w:ascii="Times New Roman" w:hAnsi="Times New Roman" w:cs="Times New Roman"/>
          <w:sz w:val="24"/>
          <w:szCs w:val="24"/>
        </w:rPr>
        <w:t xml:space="preserve">later </w:t>
      </w:r>
      <w:r w:rsidR="007E3D67">
        <w:rPr>
          <w:rFonts w:ascii="Times New Roman" w:hAnsi="Times New Roman" w:cs="Times New Roman"/>
          <w:sz w:val="24"/>
          <w:szCs w:val="24"/>
        </w:rPr>
        <w:t>reduced to $5 000.00.  The respondents only agreed to that reduction because of the thr</w:t>
      </w:r>
      <w:r w:rsidR="0093115D">
        <w:rPr>
          <w:rFonts w:ascii="Times New Roman" w:hAnsi="Times New Roman" w:cs="Times New Roman"/>
          <w:sz w:val="24"/>
          <w:szCs w:val="24"/>
        </w:rPr>
        <w:t>eat of prosecution.  In any event</w:t>
      </w:r>
      <w:r w:rsidR="000652CA">
        <w:rPr>
          <w:rFonts w:ascii="Times New Roman" w:hAnsi="Times New Roman" w:cs="Times New Roman"/>
          <w:sz w:val="24"/>
          <w:szCs w:val="24"/>
        </w:rPr>
        <w:t xml:space="preserve">, so assert </w:t>
      </w:r>
      <w:r w:rsidR="0093115D">
        <w:rPr>
          <w:rFonts w:ascii="Times New Roman" w:hAnsi="Times New Roman" w:cs="Times New Roman"/>
          <w:sz w:val="24"/>
          <w:szCs w:val="24"/>
        </w:rPr>
        <w:t>the respondents, the agreement referred to does not address the breach by the applicants of the initial agreement relating to the sale of the immovable property.  As a result the respondents have a potential claim for lost commission and other costs occasioned by the applicant’s breach</w:t>
      </w:r>
      <w:r w:rsidR="00E25D58">
        <w:rPr>
          <w:rFonts w:ascii="Times New Roman" w:hAnsi="Times New Roman" w:cs="Times New Roman"/>
          <w:sz w:val="24"/>
          <w:szCs w:val="24"/>
        </w:rPr>
        <w:t xml:space="preserve">.  In light of the above there is a real possibility that the applicant’s claim could be dismissed or varied.  For these reasons the respondents submit that they have a </w:t>
      </w:r>
      <w:r w:rsidR="00E8087E" w:rsidRPr="00E8087E">
        <w:rPr>
          <w:rFonts w:ascii="Times New Roman" w:hAnsi="Times New Roman" w:cs="Times New Roman"/>
          <w:i/>
          <w:sz w:val="24"/>
          <w:szCs w:val="24"/>
        </w:rPr>
        <w:t>bona fide</w:t>
      </w:r>
      <w:r w:rsidR="00E25D58">
        <w:rPr>
          <w:rFonts w:ascii="Times New Roman" w:hAnsi="Times New Roman" w:cs="Times New Roman"/>
          <w:sz w:val="24"/>
          <w:szCs w:val="24"/>
        </w:rPr>
        <w:t xml:space="preserve"> defence to the applicant’s claim and pray that the application for summary judgment be dismissed with costs.</w:t>
      </w:r>
    </w:p>
    <w:p w:rsidR="00375960" w:rsidRDefault="00E25D58" w:rsidP="00DE3E6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requirements for an applicant to succeed </w:t>
      </w:r>
      <w:r w:rsidR="000652CA">
        <w:rPr>
          <w:rFonts w:ascii="Times New Roman" w:hAnsi="Times New Roman" w:cs="Times New Roman"/>
          <w:sz w:val="24"/>
          <w:szCs w:val="24"/>
        </w:rPr>
        <w:t xml:space="preserve">in </w:t>
      </w:r>
      <w:r>
        <w:rPr>
          <w:rFonts w:ascii="Times New Roman" w:hAnsi="Times New Roman" w:cs="Times New Roman"/>
          <w:sz w:val="24"/>
          <w:szCs w:val="24"/>
        </w:rPr>
        <w:t xml:space="preserve">an application for summary judgment are laid out in a plethora of decisions.  In </w:t>
      </w:r>
      <w:proofErr w:type="spellStart"/>
      <w:r w:rsidRPr="00AD2850">
        <w:rPr>
          <w:rFonts w:ascii="Times New Roman" w:hAnsi="Times New Roman" w:cs="Times New Roman"/>
          <w:i/>
          <w:sz w:val="24"/>
          <w:szCs w:val="24"/>
        </w:rPr>
        <w:t>M</w:t>
      </w:r>
      <w:r w:rsidR="00AD2850" w:rsidRPr="00AD2850">
        <w:rPr>
          <w:rFonts w:ascii="Times New Roman" w:hAnsi="Times New Roman" w:cs="Times New Roman"/>
          <w:i/>
          <w:sz w:val="24"/>
          <w:szCs w:val="24"/>
        </w:rPr>
        <w:t>ajoni</w:t>
      </w:r>
      <w:proofErr w:type="spellEnd"/>
      <w:r w:rsidR="00AD2850" w:rsidRPr="00AD2850">
        <w:rPr>
          <w:rFonts w:ascii="Times New Roman" w:hAnsi="Times New Roman" w:cs="Times New Roman"/>
          <w:i/>
          <w:sz w:val="24"/>
          <w:szCs w:val="24"/>
        </w:rPr>
        <w:t xml:space="preserve"> v Minister of Local Government and National Housing</w:t>
      </w:r>
      <w:r w:rsidR="00AD2850">
        <w:rPr>
          <w:rFonts w:ascii="Times New Roman" w:hAnsi="Times New Roman" w:cs="Times New Roman"/>
          <w:sz w:val="24"/>
          <w:szCs w:val="24"/>
        </w:rPr>
        <w:t xml:space="preserve"> 2001 (1) ZLR 143 (S) the court stated that – </w:t>
      </w:r>
    </w:p>
    <w:p w:rsidR="00E25D58" w:rsidRDefault="00AD2850" w:rsidP="0037596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principles applicable in a summary judgment application have been </w:t>
      </w:r>
      <w:r w:rsidR="00375960">
        <w:rPr>
          <w:rFonts w:ascii="Times New Roman" w:hAnsi="Times New Roman" w:cs="Times New Roman"/>
          <w:sz w:val="24"/>
          <w:szCs w:val="24"/>
        </w:rPr>
        <w:t xml:space="preserve">well documented.  The quintessence of this drastic remedy is that the plaintiff, whose belief it is that the defence is not </w:t>
      </w:r>
      <w:r w:rsidR="00E8087E" w:rsidRPr="00E8087E">
        <w:rPr>
          <w:rFonts w:ascii="Times New Roman" w:hAnsi="Times New Roman" w:cs="Times New Roman"/>
          <w:i/>
          <w:sz w:val="24"/>
          <w:szCs w:val="24"/>
        </w:rPr>
        <w:t>bona fide</w:t>
      </w:r>
      <w:r w:rsidR="00375960">
        <w:rPr>
          <w:rFonts w:ascii="Times New Roman" w:hAnsi="Times New Roman" w:cs="Times New Roman"/>
          <w:sz w:val="24"/>
          <w:szCs w:val="24"/>
        </w:rPr>
        <w:t xml:space="preserve"> and entered solely for dilatory purpose, should be granted immediate relief without the expenses and delay of trial………..)</w:t>
      </w:r>
    </w:p>
    <w:p w:rsidR="00375960" w:rsidRDefault="00375960" w:rsidP="00EA0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Summary judgment may be granted when the plaintiff proves that it has a clear and unassailable case against the defendant and that the defence raised, if any, is without substance in law and in fact.  </w:t>
      </w:r>
      <w:proofErr w:type="gramStart"/>
      <w:r>
        <w:rPr>
          <w:rFonts w:ascii="Times New Roman" w:hAnsi="Times New Roman" w:cs="Times New Roman"/>
          <w:sz w:val="24"/>
          <w:szCs w:val="24"/>
        </w:rPr>
        <w:t>See</w:t>
      </w:r>
      <w:r w:rsidR="00EA0305">
        <w:rPr>
          <w:rFonts w:ascii="Times New Roman" w:hAnsi="Times New Roman" w:cs="Times New Roman"/>
          <w:sz w:val="24"/>
          <w:szCs w:val="24"/>
        </w:rPr>
        <w:t xml:space="preserve"> </w:t>
      </w:r>
      <w:proofErr w:type="spellStart"/>
      <w:r w:rsidR="00EA0305" w:rsidRPr="00EA0305">
        <w:rPr>
          <w:rFonts w:ascii="Times New Roman" w:hAnsi="Times New Roman" w:cs="Times New Roman"/>
          <w:i/>
          <w:sz w:val="24"/>
          <w:szCs w:val="24"/>
        </w:rPr>
        <w:t>Pitchford</w:t>
      </w:r>
      <w:proofErr w:type="spellEnd"/>
      <w:r w:rsidR="00EA0305" w:rsidRPr="00EA0305">
        <w:rPr>
          <w:rFonts w:ascii="Times New Roman" w:hAnsi="Times New Roman" w:cs="Times New Roman"/>
          <w:i/>
          <w:sz w:val="24"/>
          <w:szCs w:val="24"/>
        </w:rPr>
        <w:t xml:space="preserve"> Investments Pvt Ltd </w:t>
      </w:r>
      <w:proofErr w:type="spellStart"/>
      <w:r w:rsidR="00EA0305" w:rsidRPr="00EA0305">
        <w:rPr>
          <w:rFonts w:ascii="Times New Roman" w:hAnsi="Times New Roman" w:cs="Times New Roman"/>
          <w:i/>
          <w:sz w:val="24"/>
          <w:szCs w:val="24"/>
        </w:rPr>
        <w:t>vs</w:t>
      </w:r>
      <w:proofErr w:type="spellEnd"/>
      <w:r w:rsidR="00EA0305" w:rsidRPr="00EA0305">
        <w:rPr>
          <w:rFonts w:ascii="Times New Roman" w:hAnsi="Times New Roman" w:cs="Times New Roman"/>
          <w:i/>
          <w:sz w:val="24"/>
          <w:szCs w:val="24"/>
        </w:rPr>
        <w:t xml:space="preserve"> </w:t>
      </w:r>
      <w:proofErr w:type="spellStart"/>
      <w:r w:rsidR="00EA0305" w:rsidRPr="00EA0305">
        <w:rPr>
          <w:rFonts w:ascii="Times New Roman" w:hAnsi="Times New Roman" w:cs="Times New Roman"/>
          <w:i/>
          <w:sz w:val="24"/>
          <w:szCs w:val="24"/>
        </w:rPr>
        <w:t>Muzariri</w:t>
      </w:r>
      <w:proofErr w:type="spellEnd"/>
      <w:r w:rsidR="00EA0305">
        <w:rPr>
          <w:rFonts w:ascii="Times New Roman" w:hAnsi="Times New Roman" w:cs="Times New Roman"/>
          <w:sz w:val="24"/>
          <w:szCs w:val="24"/>
        </w:rPr>
        <w:t xml:space="preserve"> 2005 (1) ZLR H.</w:t>
      </w:r>
      <w:proofErr w:type="gramEnd"/>
      <w:r>
        <w:rPr>
          <w:rFonts w:ascii="Times New Roman" w:hAnsi="Times New Roman" w:cs="Times New Roman"/>
          <w:sz w:val="24"/>
          <w:szCs w:val="24"/>
        </w:rPr>
        <w:t xml:space="preserve">  </w:t>
      </w:r>
    </w:p>
    <w:p w:rsidR="00EE476E" w:rsidRDefault="00EA0305" w:rsidP="00EE47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90966">
        <w:rPr>
          <w:rFonts w:ascii="Times New Roman" w:hAnsi="Times New Roman" w:cs="Times New Roman"/>
          <w:i/>
          <w:sz w:val="24"/>
          <w:szCs w:val="24"/>
        </w:rPr>
        <w:t xml:space="preserve">Jena v </w:t>
      </w:r>
      <w:proofErr w:type="spellStart"/>
      <w:r w:rsidRPr="00B90966">
        <w:rPr>
          <w:rFonts w:ascii="Times New Roman" w:hAnsi="Times New Roman" w:cs="Times New Roman"/>
          <w:i/>
          <w:sz w:val="24"/>
          <w:szCs w:val="24"/>
        </w:rPr>
        <w:t>Nechipote</w:t>
      </w:r>
      <w:proofErr w:type="spellEnd"/>
      <w:r>
        <w:rPr>
          <w:rFonts w:ascii="Times New Roman" w:hAnsi="Times New Roman" w:cs="Times New Roman"/>
          <w:sz w:val="24"/>
          <w:szCs w:val="24"/>
        </w:rPr>
        <w:t xml:space="preserve"> 1986 (1) ZLR 29 (S) the Supreme Court laid down what must be established by the defendant to dispose a claim for summary judgment.  It was stated thus:  </w:t>
      </w:r>
    </w:p>
    <w:p w:rsidR="00EA0305" w:rsidRDefault="00EA0305" w:rsidP="00EE476E">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“All that a defendant has to establish in order to succeed in having an application for summary judgment dismissed is that ‘there is a mere possibility of his success, ‘he has a</w:t>
      </w:r>
      <w:r w:rsidR="00EE476E">
        <w:rPr>
          <w:rFonts w:ascii="Times New Roman" w:hAnsi="Times New Roman" w:cs="Times New Roman"/>
          <w:sz w:val="24"/>
          <w:szCs w:val="24"/>
        </w:rPr>
        <w:t xml:space="preserve"> plausible case’, ‘there is a </w:t>
      </w:r>
      <w:proofErr w:type="spellStart"/>
      <w:r w:rsidR="00EE476E">
        <w:rPr>
          <w:rFonts w:ascii="Times New Roman" w:hAnsi="Times New Roman" w:cs="Times New Roman"/>
          <w:sz w:val="24"/>
          <w:szCs w:val="24"/>
        </w:rPr>
        <w:t>triable</w:t>
      </w:r>
      <w:proofErr w:type="spellEnd"/>
      <w:r w:rsidR="00EE476E">
        <w:rPr>
          <w:rFonts w:ascii="Times New Roman" w:hAnsi="Times New Roman" w:cs="Times New Roman"/>
          <w:sz w:val="24"/>
          <w:szCs w:val="24"/>
        </w:rPr>
        <w:t xml:space="preserve"> issue’ or, ‘there is a reasonable possibility that an injustice may be done if summary judgment is granted.”</w:t>
      </w:r>
      <w:r>
        <w:rPr>
          <w:rFonts w:ascii="Times New Roman" w:hAnsi="Times New Roman" w:cs="Times New Roman"/>
          <w:sz w:val="24"/>
          <w:szCs w:val="24"/>
        </w:rPr>
        <w:t xml:space="preserve"> </w:t>
      </w:r>
    </w:p>
    <w:p w:rsidR="00E8087E" w:rsidRDefault="00EE476E" w:rsidP="00EE476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 defendants have adequately met this threshold.  The defences set out in their plea raise </w:t>
      </w:r>
      <w:proofErr w:type="spellStart"/>
      <w:r>
        <w:rPr>
          <w:rFonts w:ascii="Times New Roman" w:hAnsi="Times New Roman" w:cs="Times New Roman"/>
          <w:sz w:val="24"/>
          <w:szCs w:val="24"/>
        </w:rPr>
        <w:t>triable</w:t>
      </w:r>
      <w:proofErr w:type="spellEnd"/>
      <w:r>
        <w:rPr>
          <w:rFonts w:ascii="Times New Roman" w:hAnsi="Times New Roman" w:cs="Times New Roman"/>
          <w:sz w:val="24"/>
          <w:szCs w:val="24"/>
        </w:rPr>
        <w:t xml:space="preserve"> issues and if summary judgment were to be gran</w:t>
      </w:r>
      <w:r w:rsidR="00F2603D">
        <w:rPr>
          <w:rFonts w:ascii="Times New Roman" w:hAnsi="Times New Roman" w:cs="Times New Roman"/>
          <w:sz w:val="24"/>
          <w:szCs w:val="24"/>
        </w:rPr>
        <w:t>ted, an injustice would likely e</w:t>
      </w:r>
      <w:r>
        <w:rPr>
          <w:rFonts w:ascii="Times New Roman" w:hAnsi="Times New Roman" w:cs="Times New Roman"/>
          <w:sz w:val="24"/>
          <w:szCs w:val="24"/>
        </w:rPr>
        <w:t>nsue.  Firstly</w:t>
      </w:r>
      <w:r w:rsidR="00753FFE">
        <w:rPr>
          <w:rFonts w:ascii="Times New Roman" w:hAnsi="Times New Roman" w:cs="Times New Roman"/>
          <w:sz w:val="24"/>
          <w:szCs w:val="24"/>
        </w:rPr>
        <w:t>,</w:t>
      </w:r>
      <w:r>
        <w:rPr>
          <w:rFonts w:ascii="Times New Roman" w:hAnsi="Times New Roman" w:cs="Times New Roman"/>
          <w:sz w:val="24"/>
          <w:szCs w:val="24"/>
        </w:rPr>
        <w:t xml:space="preserve"> </w:t>
      </w:r>
      <w:r w:rsidR="00F2603D">
        <w:rPr>
          <w:rFonts w:ascii="Times New Roman" w:hAnsi="Times New Roman" w:cs="Times New Roman"/>
          <w:sz w:val="24"/>
          <w:szCs w:val="24"/>
        </w:rPr>
        <w:t xml:space="preserve">there is a dispute as to which of the parties </w:t>
      </w:r>
      <w:r w:rsidR="000652CA">
        <w:rPr>
          <w:rFonts w:ascii="Times New Roman" w:hAnsi="Times New Roman" w:cs="Times New Roman"/>
          <w:sz w:val="24"/>
          <w:szCs w:val="24"/>
        </w:rPr>
        <w:t>b</w:t>
      </w:r>
      <w:r w:rsidR="00F2603D">
        <w:rPr>
          <w:rFonts w:ascii="Times New Roman" w:hAnsi="Times New Roman" w:cs="Times New Roman"/>
          <w:sz w:val="24"/>
          <w:szCs w:val="24"/>
        </w:rPr>
        <w:t xml:space="preserve">reached an agreement of sale.  That is clearly a </w:t>
      </w:r>
      <w:proofErr w:type="spellStart"/>
      <w:r w:rsidR="00F2603D">
        <w:rPr>
          <w:rFonts w:ascii="Times New Roman" w:hAnsi="Times New Roman" w:cs="Times New Roman"/>
          <w:sz w:val="24"/>
          <w:szCs w:val="24"/>
        </w:rPr>
        <w:t>triable</w:t>
      </w:r>
      <w:proofErr w:type="spellEnd"/>
      <w:r w:rsidR="00F2603D">
        <w:rPr>
          <w:rFonts w:ascii="Times New Roman" w:hAnsi="Times New Roman" w:cs="Times New Roman"/>
          <w:sz w:val="24"/>
          <w:szCs w:val="24"/>
        </w:rPr>
        <w:t xml:space="preserve"> issue as it has a direct bearing on the claim and damages, if any, to be paid.  Secondly</w:t>
      </w:r>
      <w:r w:rsidR="00753FFE">
        <w:rPr>
          <w:rFonts w:ascii="Times New Roman" w:hAnsi="Times New Roman" w:cs="Times New Roman"/>
          <w:sz w:val="24"/>
          <w:szCs w:val="24"/>
        </w:rPr>
        <w:t>,</w:t>
      </w:r>
      <w:r w:rsidR="00F2603D">
        <w:rPr>
          <w:rFonts w:ascii="Times New Roman" w:hAnsi="Times New Roman" w:cs="Times New Roman"/>
          <w:sz w:val="24"/>
          <w:szCs w:val="24"/>
        </w:rPr>
        <w:t xml:space="preserve"> the defendants state that they admitted liability under duress, in view of the threat of prosecution.  This </w:t>
      </w:r>
      <w:r w:rsidR="00E8087E">
        <w:rPr>
          <w:rFonts w:ascii="Times New Roman" w:hAnsi="Times New Roman" w:cs="Times New Roman"/>
          <w:sz w:val="24"/>
          <w:szCs w:val="24"/>
        </w:rPr>
        <w:t>is not far-</w:t>
      </w:r>
      <w:r w:rsidR="00F2603D">
        <w:rPr>
          <w:rFonts w:ascii="Times New Roman" w:hAnsi="Times New Roman" w:cs="Times New Roman"/>
          <w:sz w:val="24"/>
          <w:szCs w:val="24"/>
        </w:rPr>
        <w:t xml:space="preserve">fetched </w:t>
      </w:r>
      <w:r w:rsidR="00E8087E">
        <w:rPr>
          <w:rFonts w:ascii="Times New Roman" w:hAnsi="Times New Roman" w:cs="Times New Roman"/>
          <w:sz w:val="24"/>
          <w:szCs w:val="24"/>
        </w:rPr>
        <w:t xml:space="preserve">as indeed a report had </w:t>
      </w:r>
      <w:r w:rsidR="00E8087E">
        <w:rPr>
          <w:rFonts w:ascii="Times New Roman" w:hAnsi="Times New Roman" w:cs="Times New Roman"/>
          <w:sz w:val="24"/>
          <w:szCs w:val="24"/>
        </w:rPr>
        <w:lastRenderedPageBreak/>
        <w:t>been mad</w:t>
      </w:r>
      <w:r w:rsidR="00F2603D">
        <w:rPr>
          <w:rFonts w:ascii="Times New Roman" w:hAnsi="Times New Roman" w:cs="Times New Roman"/>
          <w:sz w:val="24"/>
          <w:szCs w:val="24"/>
        </w:rPr>
        <w:t>e</w:t>
      </w:r>
      <w:r w:rsidR="00E8087E">
        <w:rPr>
          <w:rFonts w:ascii="Times New Roman" w:hAnsi="Times New Roman" w:cs="Times New Roman"/>
          <w:sz w:val="24"/>
          <w:szCs w:val="24"/>
        </w:rPr>
        <w:t xml:space="preserve"> </w:t>
      </w:r>
      <w:r w:rsidR="00F2603D">
        <w:rPr>
          <w:rFonts w:ascii="Times New Roman" w:hAnsi="Times New Roman" w:cs="Times New Roman"/>
          <w:sz w:val="24"/>
          <w:szCs w:val="24"/>
        </w:rPr>
        <w:t xml:space="preserve">to the police against </w:t>
      </w:r>
      <w:r w:rsidR="00753FFE">
        <w:rPr>
          <w:rFonts w:ascii="Times New Roman" w:hAnsi="Times New Roman" w:cs="Times New Roman"/>
          <w:sz w:val="24"/>
          <w:szCs w:val="24"/>
        </w:rPr>
        <w:t xml:space="preserve">the </w:t>
      </w:r>
      <w:r w:rsidR="00F2603D">
        <w:rPr>
          <w:rFonts w:ascii="Times New Roman" w:hAnsi="Times New Roman" w:cs="Times New Roman"/>
          <w:sz w:val="24"/>
          <w:szCs w:val="24"/>
        </w:rPr>
        <w:t>defendants.  Thirdly</w:t>
      </w:r>
      <w:r w:rsidR="00753FFE">
        <w:rPr>
          <w:rFonts w:ascii="Times New Roman" w:hAnsi="Times New Roman" w:cs="Times New Roman"/>
          <w:sz w:val="24"/>
          <w:szCs w:val="24"/>
        </w:rPr>
        <w:t>,</w:t>
      </w:r>
      <w:r w:rsidR="00F2603D">
        <w:rPr>
          <w:rFonts w:ascii="Times New Roman" w:hAnsi="Times New Roman" w:cs="Times New Roman"/>
          <w:sz w:val="24"/>
          <w:szCs w:val="24"/>
        </w:rPr>
        <w:t xml:space="preserve"> the defendants have put the quantum of the claim into issue, and further, indicated the </w:t>
      </w:r>
      <w:r w:rsidR="00E8087E">
        <w:rPr>
          <w:rFonts w:ascii="Times New Roman" w:hAnsi="Times New Roman" w:cs="Times New Roman"/>
          <w:sz w:val="24"/>
          <w:szCs w:val="24"/>
        </w:rPr>
        <w:t xml:space="preserve">basis of a counter claim by way of damages arising out of breach of contract.  All these are </w:t>
      </w:r>
      <w:proofErr w:type="spellStart"/>
      <w:r w:rsidR="00E8087E">
        <w:rPr>
          <w:rFonts w:ascii="Times New Roman" w:hAnsi="Times New Roman" w:cs="Times New Roman"/>
          <w:sz w:val="24"/>
          <w:szCs w:val="24"/>
        </w:rPr>
        <w:t>triable</w:t>
      </w:r>
      <w:proofErr w:type="spellEnd"/>
      <w:r w:rsidR="00E8087E">
        <w:rPr>
          <w:rFonts w:ascii="Times New Roman" w:hAnsi="Times New Roman" w:cs="Times New Roman"/>
          <w:sz w:val="24"/>
          <w:szCs w:val="24"/>
        </w:rPr>
        <w:t xml:space="preserve"> issues which must be ventilated by way of a trial.</w:t>
      </w:r>
    </w:p>
    <w:p w:rsidR="00E8087E" w:rsidRDefault="00E8087E" w:rsidP="00EE476E">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 conclude that the applicants have not met the requirements for summary judgment.  Conversely</w:t>
      </w:r>
      <w:r w:rsidR="00753FFE">
        <w:rPr>
          <w:rFonts w:ascii="Times New Roman" w:hAnsi="Times New Roman" w:cs="Times New Roman"/>
          <w:sz w:val="24"/>
          <w:szCs w:val="24"/>
        </w:rPr>
        <w:t>,</w:t>
      </w:r>
      <w:r>
        <w:rPr>
          <w:rFonts w:ascii="Times New Roman" w:hAnsi="Times New Roman" w:cs="Times New Roman"/>
          <w:sz w:val="24"/>
          <w:szCs w:val="24"/>
        </w:rPr>
        <w:t xml:space="preserve"> the defendants have established the basis upon which this application ought to be dismissed.</w:t>
      </w:r>
    </w:p>
    <w:p w:rsidR="00E8087E" w:rsidRDefault="00E8087E" w:rsidP="00EE476E">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w:t>
      </w:r>
      <w:r w:rsidR="00753FFE">
        <w:rPr>
          <w:rFonts w:ascii="Times New Roman" w:hAnsi="Times New Roman" w:cs="Times New Roman"/>
          <w:sz w:val="24"/>
          <w:szCs w:val="24"/>
        </w:rPr>
        <w:t>,</w:t>
      </w:r>
      <w:r>
        <w:rPr>
          <w:rFonts w:ascii="Times New Roman" w:hAnsi="Times New Roman" w:cs="Times New Roman"/>
          <w:sz w:val="24"/>
          <w:szCs w:val="24"/>
        </w:rPr>
        <w:t xml:space="preserve"> </w:t>
      </w:r>
      <w:r w:rsidR="00B90966">
        <w:rPr>
          <w:rFonts w:ascii="Times New Roman" w:hAnsi="Times New Roman" w:cs="Times New Roman"/>
          <w:sz w:val="24"/>
          <w:szCs w:val="24"/>
        </w:rPr>
        <w:t>it</w:t>
      </w:r>
      <w:r>
        <w:rPr>
          <w:rFonts w:ascii="Times New Roman" w:hAnsi="Times New Roman" w:cs="Times New Roman"/>
          <w:sz w:val="24"/>
          <w:szCs w:val="24"/>
        </w:rPr>
        <w:t xml:space="preserve"> is ordered that the application for summary judgment be and is hereby dismissed with costs. </w:t>
      </w:r>
    </w:p>
    <w:p w:rsidR="00EE476E" w:rsidRPr="00BE608F" w:rsidRDefault="00BE608F" w:rsidP="00BE608F">
      <w:pPr>
        <w:spacing w:after="0" w:line="240" w:lineRule="auto"/>
        <w:jc w:val="both"/>
        <w:rPr>
          <w:rFonts w:ascii="Times New Roman" w:hAnsi="Times New Roman" w:cs="Times New Roman"/>
          <w:sz w:val="24"/>
          <w:szCs w:val="24"/>
        </w:rPr>
      </w:pPr>
      <w:proofErr w:type="spellStart"/>
      <w:r w:rsidRPr="00BE608F">
        <w:rPr>
          <w:rFonts w:ascii="Times New Roman" w:hAnsi="Times New Roman" w:cs="Times New Roman"/>
          <w:i/>
          <w:sz w:val="24"/>
          <w:szCs w:val="24"/>
        </w:rPr>
        <w:t>Muskwe</w:t>
      </w:r>
      <w:proofErr w:type="spellEnd"/>
      <w:r w:rsidRPr="00BE608F">
        <w:rPr>
          <w:rFonts w:ascii="Times New Roman" w:hAnsi="Times New Roman" w:cs="Times New Roman"/>
          <w:i/>
          <w:sz w:val="24"/>
          <w:szCs w:val="24"/>
        </w:rPr>
        <w:t xml:space="preserve"> &amp; Associates</w:t>
      </w:r>
      <w:r w:rsidRPr="00BE608F">
        <w:rPr>
          <w:rFonts w:ascii="Times New Roman" w:hAnsi="Times New Roman" w:cs="Times New Roman"/>
          <w:sz w:val="24"/>
          <w:szCs w:val="24"/>
        </w:rPr>
        <w:t>, applicants’ legal practitioners</w:t>
      </w:r>
    </w:p>
    <w:p w:rsidR="00BE608F" w:rsidRPr="00BE608F" w:rsidRDefault="00BE608F" w:rsidP="00BE608F">
      <w:pPr>
        <w:spacing w:after="0" w:line="240" w:lineRule="auto"/>
        <w:jc w:val="both"/>
        <w:rPr>
          <w:rFonts w:ascii="Times New Roman" w:hAnsi="Times New Roman" w:cs="Times New Roman"/>
          <w:sz w:val="24"/>
          <w:szCs w:val="24"/>
        </w:rPr>
      </w:pPr>
      <w:r w:rsidRPr="00BE608F">
        <w:rPr>
          <w:rFonts w:ascii="Times New Roman" w:hAnsi="Times New Roman" w:cs="Times New Roman"/>
          <w:i/>
          <w:sz w:val="24"/>
          <w:szCs w:val="24"/>
        </w:rPr>
        <w:t xml:space="preserve">Messrs </w:t>
      </w:r>
      <w:proofErr w:type="spellStart"/>
      <w:r w:rsidRPr="00BE608F">
        <w:rPr>
          <w:rFonts w:ascii="Times New Roman" w:hAnsi="Times New Roman" w:cs="Times New Roman"/>
          <w:i/>
          <w:sz w:val="24"/>
          <w:szCs w:val="24"/>
        </w:rPr>
        <w:t>Mahuni</w:t>
      </w:r>
      <w:proofErr w:type="spellEnd"/>
      <w:r w:rsidRPr="00BE608F">
        <w:rPr>
          <w:rFonts w:ascii="Times New Roman" w:hAnsi="Times New Roman" w:cs="Times New Roman"/>
          <w:i/>
          <w:sz w:val="24"/>
          <w:szCs w:val="24"/>
        </w:rPr>
        <w:t xml:space="preserve"> &amp; </w:t>
      </w:r>
      <w:proofErr w:type="spellStart"/>
      <w:r w:rsidRPr="00BE608F">
        <w:rPr>
          <w:rFonts w:ascii="Times New Roman" w:hAnsi="Times New Roman" w:cs="Times New Roman"/>
          <w:i/>
          <w:sz w:val="24"/>
          <w:szCs w:val="24"/>
        </w:rPr>
        <w:t>Matatu</w:t>
      </w:r>
      <w:proofErr w:type="spellEnd"/>
      <w:r w:rsidRPr="00BE608F">
        <w:rPr>
          <w:rFonts w:ascii="Times New Roman" w:hAnsi="Times New Roman" w:cs="Times New Roman"/>
          <w:sz w:val="24"/>
          <w:szCs w:val="24"/>
        </w:rPr>
        <w:t>, 1</w:t>
      </w:r>
      <w:r w:rsidRPr="00BE608F">
        <w:rPr>
          <w:rFonts w:ascii="Times New Roman" w:hAnsi="Times New Roman" w:cs="Times New Roman"/>
          <w:sz w:val="24"/>
          <w:szCs w:val="24"/>
          <w:vertAlign w:val="superscript"/>
        </w:rPr>
        <w:t>st</w:t>
      </w:r>
      <w:r w:rsidRPr="00BE608F">
        <w:rPr>
          <w:rFonts w:ascii="Times New Roman" w:hAnsi="Times New Roman" w:cs="Times New Roman"/>
          <w:sz w:val="24"/>
          <w:szCs w:val="24"/>
        </w:rPr>
        <w:t xml:space="preserve"> &amp; 2</w:t>
      </w:r>
      <w:r w:rsidRPr="00BE608F">
        <w:rPr>
          <w:rFonts w:ascii="Times New Roman" w:hAnsi="Times New Roman" w:cs="Times New Roman"/>
          <w:sz w:val="24"/>
          <w:szCs w:val="24"/>
          <w:vertAlign w:val="superscript"/>
        </w:rPr>
        <w:t>nd</w:t>
      </w:r>
      <w:r w:rsidRPr="00BE608F">
        <w:rPr>
          <w:rFonts w:ascii="Times New Roman" w:hAnsi="Times New Roman" w:cs="Times New Roman"/>
          <w:sz w:val="24"/>
          <w:szCs w:val="24"/>
        </w:rPr>
        <w:t xml:space="preserve"> respondents’ legal practitioners</w:t>
      </w:r>
    </w:p>
    <w:sectPr w:rsidR="00BE608F" w:rsidRPr="00BE608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5FB" w:rsidRDefault="003405FB" w:rsidP="008B2477">
      <w:pPr>
        <w:spacing w:after="0" w:line="240" w:lineRule="auto"/>
      </w:pPr>
      <w:r>
        <w:separator/>
      </w:r>
    </w:p>
  </w:endnote>
  <w:endnote w:type="continuationSeparator" w:id="0">
    <w:p w:rsidR="003405FB" w:rsidRDefault="003405FB" w:rsidP="008B2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5FB" w:rsidRDefault="003405FB" w:rsidP="008B2477">
      <w:pPr>
        <w:spacing w:after="0" w:line="240" w:lineRule="auto"/>
      </w:pPr>
      <w:r>
        <w:separator/>
      </w:r>
    </w:p>
  </w:footnote>
  <w:footnote w:type="continuationSeparator" w:id="0">
    <w:p w:rsidR="003405FB" w:rsidRDefault="003405FB" w:rsidP="008B2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308028"/>
      <w:docPartObj>
        <w:docPartGallery w:val="Page Numbers (Top of Page)"/>
        <w:docPartUnique/>
      </w:docPartObj>
    </w:sdtPr>
    <w:sdtEndPr>
      <w:rPr>
        <w:noProof/>
      </w:rPr>
    </w:sdtEndPr>
    <w:sdtContent>
      <w:p w:rsidR="008B2477" w:rsidRDefault="008B2477">
        <w:pPr>
          <w:pStyle w:val="Header"/>
          <w:jc w:val="right"/>
          <w:rPr>
            <w:noProof/>
          </w:rPr>
        </w:pPr>
        <w:r>
          <w:fldChar w:fldCharType="begin"/>
        </w:r>
        <w:r>
          <w:instrText xml:space="preserve"> PAGE   \* MERGEFORMAT </w:instrText>
        </w:r>
        <w:r>
          <w:fldChar w:fldCharType="separate"/>
        </w:r>
        <w:r w:rsidR="00A75458">
          <w:rPr>
            <w:noProof/>
          </w:rPr>
          <w:t>1</w:t>
        </w:r>
        <w:r>
          <w:rPr>
            <w:noProof/>
          </w:rPr>
          <w:fldChar w:fldCharType="end"/>
        </w:r>
      </w:p>
      <w:p w:rsidR="008B2477" w:rsidRDefault="0088251F">
        <w:pPr>
          <w:pStyle w:val="Header"/>
          <w:jc w:val="right"/>
          <w:rPr>
            <w:noProof/>
          </w:rPr>
        </w:pPr>
        <w:r>
          <w:rPr>
            <w:noProof/>
          </w:rPr>
          <w:t xml:space="preserve">HH </w:t>
        </w:r>
        <w:r w:rsidR="0024342A">
          <w:rPr>
            <w:noProof/>
          </w:rPr>
          <w:t>15-17</w:t>
        </w:r>
      </w:p>
      <w:p w:rsidR="008B2477" w:rsidRDefault="008B2477">
        <w:pPr>
          <w:pStyle w:val="Header"/>
          <w:jc w:val="right"/>
        </w:pPr>
        <w:r>
          <w:rPr>
            <w:noProof/>
          </w:rPr>
          <w:t>HC 9492/13</w:t>
        </w:r>
      </w:p>
    </w:sdtContent>
  </w:sdt>
  <w:p w:rsidR="008B2477" w:rsidRDefault="008B2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D4112"/>
    <w:multiLevelType w:val="hybridMultilevel"/>
    <w:tmpl w:val="093ECE9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936"/>
    <w:rsid w:val="000652CA"/>
    <w:rsid w:val="000F3DDE"/>
    <w:rsid w:val="00127B8A"/>
    <w:rsid w:val="0024342A"/>
    <w:rsid w:val="0026202D"/>
    <w:rsid w:val="00274936"/>
    <w:rsid w:val="003405FB"/>
    <w:rsid w:val="00375960"/>
    <w:rsid w:val="003F793C"/>
    <w:rsid w:val="00445AD2"/>
    <w:rsid w:val="004A7F4C"/>
    <w:rsid w:val="00523990"/>
    <w:rsid w:val="005D487D"/>
    <w:rsid w:val="006A6AED"/>
    <w:rsid w:val="00712325"/>
    <w:rsid w:val="0073103C"/>
    <w:rsid w:val="00753FFE"/>
    <w:rsid w:val="00774BCF"/>
    <w:rsid w:val="007E3D67"/>
    <w:rsid w:val="00804C45"/>
    <w:rsid w:val="008575FD"/>
    <w:rsid w:val="0088251F"/>
    <w:rsid w:val="008B2477"/>
    <w:rsid w:val="00907859"/>
    <w:rsid w:val="009140A8"/>
    <w:rsid w:val="0093115D"/>
    <w:rsid w:val="00A26249"/>
    <w:rsid w:val="00A75458"/>
    <w:rsid w:val="00AD2850"/>
    <w:rsid w:val="00B90966"/>
    <w:rsid w:val="00BE608F"/>
    <w:rsid w:val="00C71094"/>
    <w:rsid w:val="00CE15E2"/>
    <w:rsid w:val="00DB6295"/>
    <w:rsid w:val="00DE3E63"/>
    <w:rsid w:val="00E068D8"/>
    <w:rsid w:val="00E134BA"/>
    <w:rsid w:val="00E25D58"/>
    <w:rsid w:val="00E544D9"/>
    <w:rsid w:val="00E8087E"/>
    <w:rsid w:val="00EA0305"/>
    <w:rsid w:val="00EE476E"/>
    <w:rsid w:val="00EE518A"/>
    <w:rsid w:val="00F2603D"/>
    <w:rsid w:val="00F517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93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477"/>
  </w:style>
  <w:style w:type="paragraph" w:styleId="Footer">
    <w:name w:val="footer"/>
    <w:basedOn w:val="Normal"/>
    <w:link w:val="FooterChar"/>
    <w:uiPriority w:val="99"/>
    <w:unhideWhenUsed/>
    <w:rsid w:val="008B2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477"/>
  </w:style>
  <w:style w:type="paragraph" w:styleId="ListParagraph">
    <w:name w:val="List Paragraph"/>
    <w:basedOn w:val="Normal"/>
    <w:uiPriority w:val="34"/>
    <w:qFormat/>
    <w:rsid w:val="00C71094"/>
    <w:pPr>
      <w:ind w:left="720"/>
      <w:contextualSpacing/>
    </w:pPr>
  </w:style>
  <w:style w:type="paragraph" w:styleId="BalloonText">
    <w:name w:val="Balloon Text"/>
    <w:basedOn w:val="Normal"/>
    <w:link w:val="BalloonTextChar"/>
    <w:uiPriority w:val="99"/>
    <w:semiHidden/>
    <w:unhideWhenUsed/>
    <w:rsid w:val="00804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C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93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477"/>
  </w:style>
  <w:style w:type="paragraph" w:styleId="Footer">
    <w:name w:val="footer"/>
    <w:basedOn w:val="Normal"/>
    <w:link w:val="FooterChar"/>
    <w:uiPriority w:val="99"/>
    <w:unhideWhenUsed/>
    <w:rsid w:val="008B2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477"/>
  </w:style>
  <w:style w:type="paragraph" w:styleId="ListParagraph">
    <w:name w:val="List Paragraph"/>
    <w:basedOn w:val="Normal"/>
    <w:uiPriority w:val="34"/>
    <w:qFormat/>
    <w:rsid w:val="00C71094"/>
    <w:pPr>
      <w:ind w:left="720"/>
      <w:contextualSpacing/>
    </w:pPr>
  </w:style>
  <w:style w:type="paragraph" w:styleId="BalloonText">
    <w:name w:val="Balloon Text"/>
    <w:basedOn w:val="Normal"/>
    <w:link w:val="BalloonTextChar"/>
    <w:uiPriority w:val="99"/>
    <w:semiHidden/>
    <w:unhideWhenUsed/>
    <w:rsid w:val="00804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2017-01-12T12:38:00Z</cp:lastPrinted>
  <dcterms:created xsi:type="dcterms:W3CDTF">2017-01-20T14:26:00Z</dcterms:created>
  <dcterms:modified xsi:type="dcterms:W3CDTF">2017-01-20T14:26:00Z</dcterms:modified>
</cp:coreProperties>
</file>