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7A440" w14:textId="77777777" w:rsidR="0076711F" w:rsidRPr="00B14A8C" w:rsidRDefault="0076711F" w:rsidP="0076711F">
      <w:pPr>
        <w:spacing w:after="0"/>
        <w:jc w:val="both"/>
        <w:rPr>
          <w:rFonts w:ascii="Times New Roman" w:eastAsia="Calibri" w:hAnsi="Times New Roman" w:cs="Times New Roman"/>
          <w:sz w:val="24"/>
          <w:szCs w:val="24"/>
          <w:lang w:val="en-US"/>
        </w:rPr>
      </w:pPr>
      <w:bookmarkStart w:id="0" w:name="_GoBack"/>
      <w:bookmarkEnd w:id="0"/>
      <w:r w:rsidRPr="00B14A8C">
        <w:rPr>
          <w:rFonts w:ascii="Times New Roman" w:eastAsia="Calibri" w:hAnsi="Times New Roman" w:cs="Times New Roman"/>
          <w:sz w:val="24"/>
          <w:szCs w:val="24"/>
          <w:lang w:val="en-US"/>
        </w:rPr>
        <w:t>MATTHEW HOPGOOD</w:t>
      </w:r>
    </w:p>
    <w:p w14:paraId="0B251341" w14:textId="77777777" w:rsidR="0076711F" w:rsidRPr="00B14A8C" w:rsidRDefault="0076711F" w:rsidP="0076711F">
      <w:pPr>
        <w:spacing w:after="0"/>
        <w:jc w:val="both"/>
        <w:rPr>
          <w:rFonts w:ascii="Times New Roman" w:eastAsia="Calibri" w:hAnsi="Times New Roman" w:cs="Times New Roman"/>
          <w:sz w:val="24"/>
          <w:szCs w:val="24"/>
          <w:lang w:val="en-US"/>
        </w:rPr>
      </w:pPr>
      <w:r w:rsidRPr="00B14A8C">
        <w:rPr>
          <w:rFonts w:ascii="Times New Roman" w:eastAsia="Calibri" w:hAnsi="Times New Roman" w:cs="Times New Roman"/>
          <w:sz w:val="24"/>
          <w:szCs w:val="24"/>
          <w:lang w:val="en-US"/>
        </w:rPr>
        <w:t>versus</w:t>
      </w:r>
    </w:p>
    <w:p w14:paraId="28605C96" w14:textId="77777777" w:rsidR="0076711F" w:rsidRPr="00B14A8C" w:rsidRDefault="0076711F" w:rsidP="0076711F">
      <w:pPr>
        <w:spacing w:after="0"/>
        <w:jc w:val="both"/>
        <w:rPr>
          <w:rFonts w:ascii="Times New Roman" w:eastAsia="Calibri" w:hAnsi="Times New Roman" w:cs="Times New Roman"/>
          <w:sz w:val="24"/>
          <w:szCs w:val="24"/>
          <w:lang w:val="en-US"/>
        </w:rPr>
      </w:pPr>
      <w:r w:rsidRPr="00B14A8C">
        <w:rPr>
          <w:rFonts w:ascii="Times New Roman" w:eastAsia="Calibri" w:hAnsi="Times New Roman" w:cs="Times New Roman"/>
          <w:sz w:val="24"/>
          <w:szCs w:val="24"/>
          <w:lang w:val="en-US"/>
        </w:rPr>
        <w:t xml:space="preserve">THE MINISTER OF LANDS, AGRICULTURE, WATER AND RURAL RESETTLEMENT </w:t>
      </w:r>
    </w:p>
    <w:p w14:paraId="08F33482" w14:textId="77777777" w:rsidR="003727EF" w:rsidRDefault="003727EF" w:rsidP="0076711F">
      <w:pPr>
        <w:spacing w:after="0"/>
        <w:jc w:val="both"/>
        <w:rPr>
          <w:rFonts w:ascii="Times New Roman" w:hAnsi="Times New Roman" w:cs="Times New Roman"/>
          <w:sz w:val="24"/>
          <w:szCs w:val="24"/>
        </w:rPr>
      </w:pPr>
    </w:p>
    <w:p w14:paraId="5729DF20" w14:textId="77777777" w:rsidR="00225848" w:rsidRDefault="00225848" w:rsidP="0076711F">
      <w:pPr>
        <w:spacing w:after="0"/>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D5CE2CD"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25848">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3727EF">
        <w:rPr>
          <w:rFonts w:ascii="Times New Roman" w:hAnsi="Times New Roman" w:cs="Times New Roman"/>
          <w:sz w:val="24"/>
          <w:szCs w:val="24"/>
        </w:rPr>
        <w:t>1</w:t>
      </w:r>
      <w:r w:rsidR="0076711F">
        <w:rPr>
          <w:rFonts w:ascii="Times New Roman" w:hAnsi="Times New Roman" w:cs="Times New Roman"/>
          <w:sz w:val="24"/>
          <w:szCs w:val="24"/>
        </w:rPr>
        <w:t>3</w:t>
      </w:r>
      <w:r w:rsidR="003727EF">
        <w:rPr>
          <w:rFonts w:ascii="Times New Roman" w:hAnsi="Times New Roman" w:cs="Times New Roman"/>
          <w:sz w:val="24"/>
          <w:szCs w:val="24"/>
        </w:rPr>
        <w:t xml:space="preserve"> October 202</w:t>
      </w:r>
      <w:r w:rsidR="0076711F">
        <w:rPr>
          <w:rFonts w:ascii="Times New Roman" w:hAnsi="Times New Roman" w:cs="Times New Roman"/>
          <w:sz w:val="24"/>
          <w:szCs w:val="24"/>
        </w:rPr>
        <w:t>2</w:t>
      </w:r>
      <w:r w:rsidR="00744FB4">
        <w:rPr>
          <w:rFonts w:ascii="Times New Roman" w:hAnsi="Times New Roman" w:cs="Times New Roman"/>
          <w:sz w:val="24"/>
          <w:szCs w:val="24"/>
        </w:rPr>
        <w:t xml:space="preserve"> &amp; </w:t>
      </w:r>
      <w:r w:rsidR="008766B8">
        <w:rPr>
          <w:rFonts w:ascii="Times New Roman" w:hAnsi="Times New Roman" w:cs="Times New Roman"/>
          <w:sz w:val="24"/>
          <w:szCs w:val="24"/>
        </w:rPr>
        <w:t xml:space="preserve">3 May </w:t>
      </w:r>
      <w:r w:rsidR="00822ADA">
        <w:rPr>
          <w:rFonts w:ascii="Times New Roman" w:hAnsi="Times New Roman" w:cs="Times New Roman"/>
          <w:sz w:val="24"/>
          <w:szCs w:val="24"/>
        </w:rPr>
        <w:t>202</w:t>
      </w:r>
      <w:r w:rsidR="0076711F">
        <w:rPr>
          <w:rFonts w:ascii="Times New Roman" w:hAnsi="Times New Roman" w:cs="Times New Roman"/>
          <w:sz w:val="24"/>
          <w:szCs w:val="24"/>
        </w:rPr>
        <w:t>3</w:t>
      </w:r>
    </w:p>
    <w:p w14:paraId="332181B6" w14:textId="77777777" w:rsidR="008766B8" w:rsidRDefault="008766B8" w:rsidP="00966050">
      <w:pPr>
        <w:spacing w:after="0" w:line="240" w:lineRule="auto"/>
        <w:jc w:val="both"/>
        <w:rPr>
          <w:rFonts w:ascii="Times New Roman" w:hAnsi="Times New Roman" w:cs="Times New Roman"/>
          <w:sz w:val="24"/>
          <w:szCs w:val="24"/>
        </w:rPr>
      </w:pPr>
    </w:p>
    <w:p w14:paraId="277A0414" w14:textId="77777777" w:rsidR="008766B8" w:rsidRDefault="008766B8" w:rsidP="00966050">
      <w:pPr>
        <w:spacing w:after="0" w:line="240" w:lineRule="auto"/>
        <w:jc w:val="both"/>
        <w:rPr>
          <w:rFonts w:ascii="Times New Roman" w:hAnsi="Times New Roman" w:cs="Times New Roman"/>
          <w:sz w:val="24"/>
          <w:szCs w:val="24"/>
        </w:rPr>
      </w:pPr>
    </w:p>
    <w:p w14:paraId="4142093B" w14:textId="627132F0" w:rsidR="00FF0E99" w:rsidRDefault="00F36D5D" w:rsidP="00537D4E">
      <w:pPr>
        <w:spacing w:line="360" w:lineRule="auto"/>
        <w:jc w:val="both"/>
        <w:rPr>
          <w:rFonts w:ascii="Times New Roman" w:hAnsi="Times New Roman" w:cs="Times New Roman"/>
          <w:b/>
          <w:color w:val="000000" w:themeColor="text1"/>
          <w:sz w:val="24"/>
          <w:szCs w:val="24"/>
        </w:rPr>
      </w:pPr>
      <w:r w:rsidRPr="00DE0279">
        <w:rPr>
          <w:rFonts w:ascii="Times New Roman" w:hAnsi="Times New Roman" w:cs="Times New Roman"/>
          <w:b/>
          <w:color w:val="000000" w:themeColor="text1"/>
          <w:sz w:val="24"/>
          <w:szCs w:val="24"/>
        </w:rPr>
        <w:t xml:space="preserve">Opposed </w:t>
      </w:r>
      <w:r w:rsidR="00225848">
        <w:rPr>
          <w:rFonts w:ascii="Times New Roman" w:hAnsi="Times New Roman" w:cs="Times New Roman"/>
          <w:b/>
          <w:color w:val="000000" w:themeColor="text1"/>
          <w:sz w:val="24"/>
          <w:szCs w:val="24"/>
        </w:rPr>
        <w:t>A</w:t>
      </w:r>
      <w:r w:rsidRPr="00DE0279">
        <w:rPr>
          <w:rFonts w:ascii="Times New Roman" w:hAnsi="Times New Roman" w:cs="Times New Roman"/>
          <w:b/>
          <w:color w:val="000000" w:themeColor="text1"/>
          <w:sz w:val="24"/>
          <w:szCs w:val="24"/>
        </w:rPr>
        <w:t>pplication</w:t>
      </w:r>
      <w:r w:rsidR="0010675F" w:rsidRPr="00DE0279">
        <w:rPr>
          <w:rFonts w:ascii="Times New Roman" w:hAnsi="Times New Roman" w:cs="Times New Roman"/>
          <w:b/>
          <w:color w:val="000000" w:themeColor="text1"/>
          <w:sz w:val="24"/>
          <w:szCs w:val="24"/>
        </w:rPr>
        <w:t xml:space="preserve"> </w:t>
      </w:r>
      <w:r w:rsidR="00822ADA" w:rsidRPr="00DE0279">
        <w:rPr>
          <w:rFonts w:ascii="Times New Roman" w:hAnsi="Times New Roman" w:cs="Times New Roman"/>
          <w:b/>
          <w:color w:val="000000" w:themeColor="text1"/>
          <w:sz w:val="24"/>
          <w:szCs w:val="24"/>
        </w:rPr>
        <w:t>–</w:t>
      </w:r>
      <w:r w:rsidR="0010675F" w:rsidRPr="00DE0279">
        <w:rPr>
          <w:rFonts w:ascii="Times New Roman" w:hAnsi="Times New Roman" w:cs="Times New Roman"/>
          <w:b/>
          <w:color w:val="000000" w:themeColor="text1"/>
          <w:sz w:val="24"/>
          <w:szCs w:val="24"/>
        </w:rPr>
        <w:t xml:space="preserve"> </w:t>
      </w:r>
      <w:r w:rsidR="00FC1230" w:rsidRPr="00DE0279">
        <w:rPr>
          <w:rFonts w:ascii="Times New Roman" w:hAnsi="Times New Roman" w:cs="Times New Roman"/>
          <w:b/>
          <w:color w:val="000000" w:themeColor="text1"/>
          <w:sz w:val="24"/>
          <w:szCs w:val="24"/>
        </w:rPr>
        <w:t xml:space="preserve">Review </w:t>
      </w:r>
      <w:r w:rsidR="00822ADA" w:rsidRPr="00DE0279">
        <w:rPr>
          <w:rFonts w:ascii="Times New Roman" w:hAnsi="Times New Roman" w:cs="Times New Roman"/>
          <w:b/>
          <w:color w:val="000000" w:themeColor="text1"/>
          <w:sz w:val="24"/>
          <w:szCs w:val="24"/>
        </w:rPr>
        <w:t xml:space="preserve"> </w:t>
      </w:r>
    </w:p>
    <w:p w14:paraId="544955D9" w14:textId="77777777" w:rsidR="008766B8" w:rsidRDefault="008766B8" w:rsidP="001E18C7">
      <w:pPr>
        <w:spacing w:after="0" w:line="240" w:lineRule="auto"/>
        <w:jc w:val="both"/>
        <w:rPr>
          <w:rFonts w:ascii="Times New Roman" w:hAnsi="Times New Roman" w:cs="Times New Roman"/>
          <w:i/>
          <w:sz w:val="24"/>
          <w:szCs w:val="24"/>
        </w:rPr>
      </w:pPr>
    </w:p>
    <w:p w14:paraId="23C2DF8A" w14:textId="59E1CBB0" w:rsidR="007F2D63" w:rsidRDefault="005B7C25" w:rsidP="001E18C7">
      <w:pPr>
        <w:spacing w:after="0" w:line="240" w:lineRule="auto"/>
        <w:jc w:val="both"/>
        <w:rPr>
          <w:rFonts w:ascii="Times New Roman" w:hAnsi="Times New Roman" w:cs="Times New Roman"/>
          <w:sz w:val="24"/>
          <w:szCs w:val="24"/>
        </w:rPr>
      </w:pPr>
      <w:r w:rsidRPr="00225848">
        <w:rPr>
          <w:rFonts w:ascii="Times New Roman" w:hAnsi="Times New Roman" w:cs="Times New Roman"/>
          <w:sz w:val="24"/>
          <w:szCs w:val="24"/>
        </w:rPr>
        <w:t>M</w:t>
      </w:r>
      <w:r w:rsidR="0076711F" w:rsidRPr="00225848">
        <w:rPr>
          <w:rFonts w:ascii="Times New Roman" w:hAnsi="Times New Roman" w:cs="Times New Roman"/>
          <w:sz w:val="24"/>
          <w:szCs w:val="24"/>
        </w:rPr>
        <w:t>s</w:t>
      </w:r>
      <w:r w:rsidR="00225848">
        <w:rPr>
          <w:rFonts w:ascii="Times New Roman" w:hAnsi="Times New Roman" w:cs="Times New Roman"/>
          <w:i/>
          <w:sz w:val="24"/>
          <w:szCs w:val="24"/>
        </w:rPr>
        <w:t xml:space="preserve"> </w:t>
      </w:r>
      <w:r w:rsidR="00225848" w:rsidRPr="00225848">
        <w:rPr>
          <w:rFonts w:ascii="Times New Roman" w:hAnsi="Times New Roman" w:cs="Times New Roman"/>
          <w:sz w:val="24"/>
          <w:szCs w:val="24"/>
        </w:rPr>
        <w:t>L</w:t>
      </w:r>
      <w:r w:rsidR="0076711F" w:rsidRPr="00225848">
        <w:rPr>
          <w:rFonts w:ascii="Times New Roman" w:hAnsi="Times New Roman" w:cs="Times New Roman"/>
          <w:sz w:val="24"/>
          <w:szCs w:val="24"/>
        </w:rPr>
        <w:t xml:space="preserve"> Dzumbunu</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040DA738" w:rsidR="001E18C7" w:rsidRDefault="00250441" w:rsidP="001E18C7">
      <w:pPr>
        <w:spacing w:after="0" w:line="240" w:lineRule="auto"/>
        <w:jc w:val="both"/>
        <w:rPr>
          <w:rFonts w:ascii="Times New Roman" w:hAnsi="Times New Roman" w:cs="Times New Roman"/>
          <w:sz w:val="24"/>
          <w:szCs w:val="24"/>
        </w:rPr>
      </w:pPr>
      <w:r w:rsidRPr="00225848">
        <w:rPr>
          <w:rFonts w:ascii="Times New Roman" w:hAnsi="Times New Roman" w:cs="Times New Roman"/>
          <w:sz w:val="24"/>
          <w:szCs w:val="24"/>
        </w:rPr>
        <w:t>M</w:t>
      </w:r>
      <w:r w:rsidR="009658F3" w:rsidRPr="00225848">
        <w:rPr>
          <w:rFonts w:ascii="Times New Roman" w:hAnsi="Times New Roman" w:cs="Times New Roman"/>
          <w:sz w:val="24"/>
          <w:szCs w:val="24"/>
        </w:rPr>
        <w:t>s</w:t>
      </w:r>
      <w:r w:rsidR="009658F3">
        <w:rPr>
          <w:rFonts w:ascii="Times New Roman" w:hAnsi="Times New Roman" w:cs="Times New Roman"/>
          <w:i/>
          <w:sz w:val="24"/>
          <w:szCs w:val="24"/>
        </w:rPr>
        <w:t xml:space="preserve"> </w:t>
      </w:r>
      <w:r w:rsidR="00225848" w:rsidRPr="00225848">
        <w:rPr>
          <w:rFonts w:ascii="Times New Roman" w:hAnsi="Times New Roman" w:cs="Times New Roman"/>
          <w:sz w:val="24"/>
          <w:szCs w:val="24"/>
        </w:rPr>
        <w:t>N</w:t>
      </w:r>
      <w:r w:rsidR="0076711F" w:rsidRPr="00225848">
        <w:rPr>
          <w:rFonts w:ascii="Times New Roman" w:hAnsi="Times New Roman" w:cs="Times New Roman"/>
          <w:sz w:val="24"/>
          <w:szCs w:val="24"/>
        </w:rPr>
        <w:t xml:space="preserve"> Chiro</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9F84568" w14:textId="0319B63F" w:rsidR="0076711F" w:rsidRPr="00B14A8C" w:rsidRDefault="00FC1230" w:rsidP="008766B8">
      <w:pPr>
        <w:spacing w:after="0" w:line="360" w:lineRule="auto"/>
        <w:ind w:firstLine="720"/>
        <w:jc w:val="both"/>
        <w:rPr>
          <w:rFonts w:ascii="Times New Roman" w:eastAsia="Calibri" w:hAnsi="Times New Roman" w:cs="Times New Roman"/>
          <w:sz w:val="24"/>
          <w:szCs w:val="24"/>
          <w:lang w:val="en-US"/>
        </w:rPr>
      </w:pPr>
      <w:r w:rsidRPr="00FC1230">
        <w:rPr>
          <w:rFonts w:ascii="Times New Roman" w:eastAsia="Calibri" w:hAnsi="Times New Roman" w:cs="Times New Roman"/>
          <w:b/>
          <w:sz w:val="24"/>
          <w:szCs w:val="24"/>
          <w:lang w:val="en-US"/>
        </w:rPr>
        <w:t>MUSITHU J</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w:t>
      </w:r>
      <w:r w:rsidR="006D3398">
        <w:rPr>
          <w:rFonts w:ascii="Times New Roman" w:eastAsia="Calibri" w:hAnsi="Times New Roman" w:cs="Times New Roman"/>
          <w:sz w:val="24"/>
          <w:szCs w:val="24"/>
          <w:lang w:val="en-US"/>
        </w:rPr>
        <w:t xml:space="preserve">  </w:t>
      </w:r>
      <w:r w:rsidR="0076711F" w:rsidRPr="00B14A8C">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 xml:space="preserve">applicant approached this court seeking relief by way of review </w:t>
      </w:r>
      <w:r w:rsidR="00801F06">
        <w:rPr>
          <w:rFonts w:ascii="Times New Roman" w:eastAsia="Calibri" w:hAnsi="Times New Roman" w:cs="Times New Roman"/>
          <w:sz w:val="24"/>
          <w:szCs w:val="24"/>
          <w:lang w:val="en-US"/>
        </w:rPr>
        <w:t>challenging</w:t>
      </w:r>
      <w:r>
        <w:rPr>
          <w:rFonts w:ascii="Times New Roman" w:eastAsia="Calibri" w:hAnsi="Times New Roman" w:cs="Times New Roman"/>
          <w:sz w:val="24"/>
          <w:szCs w:val="24"/>
          <w:lang w:val="en-US"/>
        </w:rPr>
        <w:t xml:space="preserve"> </w:t>
      </w:r>
      <w:r w:rsidR="00C0230E">
        <w:rPr>
          <w:rFonts w:ascii="Times New Roman" w:eastAsia="Calibri" w:hAnsi="Times New Roman" w:cs="Times New Roman"/>
          <w:sz w:val="24"/>
          <w:szCs w:val="24"/>
          <w:lang w:val="en-US"/>
        </w:rPr>
        <w:t xml:space="preserve">the respondent’s decision to withdraw his offer letter. </w:t>
      </w:r>
      <w:r>
        <w:rPr>
          <w:rFonts w:ascii="Times New Roman" w:eastAsia="Calibri" w:hAnsi="Times New Roman" w:cs="Times New Roman"/>
          <w:sz w:val="24"/>
          <w:szCs w:val="24"/>
          <w:lang w:val="en-US"/>
        </w:rPr>
        <w:t>The relief sought is captured in the draft order as follows:</w:t>
      </w:r>
    </w:p>
    <w:p w14:paraId="548B8FFB" w14:textId="21880208" w:rsidR="0076711F" w:rsidRPr="00FC1230" w:rsidRDefault="004116BB" w:rsidP="00FC1230">
      <w:pPr>
        <w:spacing w:after="0" w:line="240" w:lineRule="auto"/>
        <w:ind w:firstLine="360"/>
        <w:jc w:val="both"/>
        <w:rPr>
          <w:rFonts w:ascii="Times New Roman" w:eastAsia="Calibri" w:hAnsi="Times New Roman" w:cs="Times New Roman"/>
          <w:b/>
          <w:u w:val="single"/>
          <w:lang w:val="en-US"/>
        </w:rPr>
      </w:pPr>
      <w:r>
        <w:rPr>
          <w:rFonts w:ascii="Times New Roman" w:eastAsia="Calibri" w:hAnsi="Times New Roman" w:cs="Times New Roman"/>
          <w:b/>
          <w:u w:val="single"/>
          <w:lang w:val="en-US"/>
        </w:rPr>
        <w:t>“</w:t>
      </w:r>
      <w:r w:rsidR="0076711F" w:rsidRPr="00FC1230">
        <w:rPr>
          <w:rFonts w:ascii="Times New Roman" w:eastAsia="Calibri" w:hAnsi="Times New Roman" w:cs="Times New Roman"/>
          <w:b/>
          <w:u w:val="single"/>
          <w:lang w:val="en-US"/>
        </w:rPr>
        <w:t>IT IS HEREBY ORDERED THAT:-</w:t>
      </w:r>
    </w:p>
    <w:p w14:paraId="091F6AED" w14:textId="77777777" w:rsidR="0076711F" w:rsidRPr="00FC1230" w:rsidRDefault="0076711F" w:rsidP="002E7BF6">
      <w:pPr>
        <w:pStyle w:val="ListParagraph"/>
        <w:numPr>
          <w:ilvl w:val="0"/>
          <w:numId w:val="1"/>
        </w:numPr>
        <w:spacing w:after="0" w:line="240" w:lineRule="auto"/>
        <w:jc w:val="both"/>
        <w:rPr>
          <w:rFonts w:ascii="Times New Roman" w:eastAsia="Calibri" w:hAnsi="Times New Roman" w:cs="Times New Roman"/>
          <w:lang w:val="en-US"/>
        </w:rPr>
      </w:pPr>
      <w:r w:rsidRPr="00FC1230">
        <w:rPr>
          <w:rFonts w:ascii="Times New Roman" w:eastAsia="Calibri" w:hAnsi="Times New Roman" w:cs="Times New Roman"/>
          <w:lang w:val="en-US"/>
        </w:rPr>
        <w:t>The Respondent’s decision to withdraw an offer letter to the applicant be and is hereby set aside.</w:t>
      </w:r>
    </w:p>
    <w:p w14:paraId="1555B84D" w14:textId="65F43DBB" w:rsidR="0076711F" w:rsidRDefault="0076711F" w:rsidP="002E7BF6">
      <w:pPr>
        <w:pStyle w:val="ListParagraph"/>
        <w:numPr>
          <w:ilvl w:val="0"/>
          <w:numId w:val="1"/>
        </w:numPr>
        <w:spacing w:after="0" w:line="240" w:lineRule="auto"/>
        <w:jc w:val="both"/>
        <w:rPr>
          <w:rFonts w:ascii="Times New Roman" w:eastAsia="Calibri" w:hAnsi="Times New Roman" w:cs="Times New Roman"/>
          <w:lang w:val="en-US"/>
        </w:rPr>
      </w:pPr>
      <w:r w:rsidRPr="00FC1230">
        <w:rPr>
          <w:rFonts w:ascii="Times New Roman" w:eastAsia="Calibri" w:hAnsi="Times New Roman" w:cs="Times New Roman"/>
          <w:lang w:val="en-US"/>
        </w:rPr>
        <w:t>The respondent shall bear the costs of suit if they oppose this application.</w:t>
      </w:r>
      <w:r w:rsidR="004116BB">
        <w:rPr>
          <w:rFonts w:ascii="Times New Roman" w:eastAsia="Calibri" w:hAnsi="Times New Roman" w:cs="Times New Roman"/>
          <w:lang w:val="en-US"/>
        </w:rPr>
        <w:t>”</w:t>
      </w:r>
    </w:p>
    <w:p w14:paraId="65F10A32" w14:textId="77777777" w:rsidR="004116BB" w:rsidRDefault="004116BB" w:rsidP="004116BB">
      <w:pPr>
        <w:spacing w:after="0" w:line="240" w:lineRule="auto"/>
        <w:jc w:val="both"/>
        <w:rPr>
          <w:rFonts w:ascii="Times New Roman" w:eastAsia="Calibri" w:hAnsi="Times New Roman" w:cs="Times New Roman"/>
          <w:lang w:val="en-US"/>
        </w:rPr>
      </w:pPr>
    </w:p>
    <w:p w14:paraId="7D60D9AD" w14:textId="08F03E07" w:rsidR="004116BB" w:rsidRDefault="004116BB" w:rsidP="00E374D7">
      <w:pPr>
        <w:spacing w:after="0" w:line="360" w:lineRule="auto"/>
        <w:ind w:firstLine="720"/>
        <w:jc w:val="both"/>
        <w:rPr>
          <w:rFonts w:ascii="Times New Roman" w:eastAsia="Calibri" w:hAnsi="Times New Roman" w:cs="Times New Roman"/>
          <w:sz w:val="24"/>
          <w:szCs w:val="24"/>
          <w:lang w:val="en-US"/>
        </w:rPr>
      </w:pPr>
      <w:r w:rsidRPr="004116BB">
        <w:rPr>
          <w:rFonts w:ascii="Times New Roman" w:eastAsia="Calibri" w:hAnsi="Times New Roman" w:cs="Times New Roman"/>
          <w:sz w:val="24"/>
          <w:szCs w:val="24"/>
          <w:lang w:val="en-US"/>
        </w:rPr>
        <w:t xml:space="preserve">The parties appeared </w:t>
      </w:r>
      <w:r>
        <w:rPr>
          <w:rFonts w:ascii="Times New Roman" w:eastAsia="Calibri" w:hAnsi="Times New Roman" w:cs="Times New Roman"/>
          <w:sz w:val="24"/>
          <w:szCs w:val="24"/>
          <w:lang w:val="en-US"/>
        </w:rPr>
        <w:t xml:space="preserve">before me on 13 October 2022, and I granted the order </w:t>
      </w:r>
      <w:r w:rsidR="00801F06">
        <w:rPr>
          <w:rFonts w:ascii="Times New Roman" w:eastAsia="Calibri" w:hAnsi="Times New Roman" w:cs="Times New Roman"/>
          <w:sz w:val="24"/>
          <w:szCs w:val="24"/>
          <w:lang w:val="en-US"/>
        </w:rPr>
        <w:t xml:space="preserve">sought </w:t>
      </w:r>
      <w:r>
        <w:rPr>
          <w:rFonts w:ascii="Times New Roman" w:eastAsia="Calibri" w:hAnsi="Times New Roman" w:cs="Times New Roman"/>
          <w:sz w:val="24"/>
          <w:szCs w:val="24"/>
          <w:lang w:val="en-US"/>
        </w:rPr>
        <w:t xml:space="preserve">with an amendment to paragraph 2 to read: “There shall be no order as to costs.” </w:t>
      </w:r>
      <w:r w:rsidR="00E374D7">
        <w:rPr>
          <w:rFonts w:ascii="Times New Roman" w:eastAsia="Calibri" w:hAnsi="Times New Roman" w:cs="Times New Roman"/>
          <w:sz w:val="24"/>
          <w:szCs w:val="24"/>
          <w:lang w:val="en-US"/>
        </w:rPr>
        <w:t xml:space="preserve">The order was granted following concessions made by Ms </w:t>
      </w:r>
      <w:r w:rsidR="00E374D7" w:rsidRPr="00E374D7">
        <w:rPr>
          <w:rFonts w:ascii="Times New Roman" w:eastAsia="Calibri" w:hAnsi="Times New Roman" w:cs="Times New Roman"/>
          <w:i/>
          <w:sz w:val="24"/>
          <w:szCs w:val="24"/>
          <w:lang w:val="en-US"/>
        </w:rPr>
        <w:t>Chiro</w:t>
      </w:r>
      <w:r w:rsidR="00E374D7">
        <w:rPr>
          <w:rFonts w:ascii="Times New Roman" w:eastAsia="Calibri" w:hAnsi="Times New Roman" w:cs="Times New Roman"/>
          <w:sz w:val="24"/>
          <w:szCs w:val="24"/>
          <w:lang w:val="en-US"/>
        </w:rPr>
        <w:t xml:space="preserve"> appearing for the respondent. At the time that the parties appeared before me, the respondent had been barred for failure to comply with r 59(8) as read with r 59(9) and (13) of t</w:t>
      </w:r>
      <w:r w:rsidR="009B0932">
        <w:rPr>
          <w:rFonts w:ascii="Times New Roman" w:eastAsia="Calibri" w:hAnsi="Times New Roman" w:cs="Times New Roman"/>
          <w:sz w:val="24"/>
          <w:szCs w:val="24"/>
          <w:lang w:val="en-US"/>
        </w:rPr>
        <w:t>he High Court Rules, 2021. Rules 59(8) and (9) state as follows:</w:t>
      </w:r>
    </w:p>
    <w:p w14:paraId="172F58A6" w14:textId="6A597197" w:rsidR="009B0932" w:rsidRPr="009B0932" w:rsidRDefault="009B0932" w:rsidP="009B0932">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w:t>
      </w:r>
      <w:r w:rsidRPr="009B0932">
        <w:rPr>
          <w:rFonts w:ascii="Times New Roman" w:hAnsi="Times New Roman" w:cs="Times New Roman"/>
          <w:color w:val="000000"/>
        </w:rPr>
        <w:t xml:space="preserve">(8) As soon as possible, in any event not later than seven days after filing a notice of opposition and opposing affidavit in terms of subrule (7) the respondent shall serve copies of them upon the applicant and, as soon as possible thereafter, but not later than forty-eight hours, shall file with the registrar proof of such service in accordance with subrule (8) of rule 16. </w:t>
      </w:r>
    </w:p>
    <w:p w14:paraId="7B888EE0" w14:textId="0AD41677" w:rsidR="009B0932" w:rsidRDefault="009B0932" w:rsidP="00C0230E">
      <w:pPr>
        <w:spacing w:line="240" w:lineRule="auto"/>
        <w:ind w:left="720"/>
        <w:jc w:val="both"/>
        <w:rPr>
          <w:rFonts w:ascii="Times New Roman" w:hAnsi="Times New Roman" w:cs="Times New Roman"/>
          <w:color w:val="000000"/>
        </w:rPr>
      </w:pPr>
      <w:r w:rsidRPr="009B0932">
        <w:rPr>
          <w:rFonts w:ascii="Times New Roman" w:hAnsi="Times New Roman" w:cs="Times New Roman"/>
          <w:color w:val="000000"/>
        </w:rPr>
        <w:t>(9) A respondent who has failed to file a notice of opposition and opposing affidavit in terms of subrule (8) shall be barred.</w:t>
      </w:r>
      <w:r>
        <w:rPr>
          <w:rFonts w:ascii="Times New Roman" w:hAnsi="Times New Roman" w:cs="Times New Roman"/>
          <w:color w:val="000000"/>
        </w:rPr>
        <w:t>”</w:t>
      </w:r>
    </w:p>
    <w:p w14:paraId="5F45F296" w14:textId="319446EA" w:rsidR="00BA3BE7" w:rsidRDefault="009B0932" w:rsidP="00C0230E">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application was issued out of this court on 21 December 2021. </w:t>
      </w:r>
      <w:r w:rsidR="00425AD9">
        <w:rPr>
          <w:rFonts w:ascii="Times New Roman" w:eastAsia="Calibri" w:hAnsi="Times New Roman" w:cs="Times New Roman"/>
          <w:sz w:val="24"/>
          <w:szCs w:val="24"/>
          <w:lang w:val="en-US"/>
        </w:rPr>
        <w:t>It was only served on the r</w:t>
      </w:r>
      <w:r>
        <w:rPr>
          <w:rFonts w:ascii="Times New Roman" w:eastAsia="Calibri" w:hAnsi="Times New Roman" w:cs="Times New Roman"/>
          <w:sz w:val="24"/>
          <w:szCs w:val="24"/>
          <w:lang w:val="en-US"/>
        </w:rPr>
        <w:t xml:space="preserve">espondent </w:t>
      </w:r>
      <w:r w:rsidR="00425AD9">
        <w:rPr>
          <w:rFonts w:ascii="Times New Roman" w:eastAsia="Calibri" w:hAnsi="Times New Roman" w:cs="Times New Roman"/>
          <w:sz w:val="24"/>
          <w:szCs w:val="24"/>
          <w:lang w:val="en-US"/>
        </w:rPr>
        <w:t xml:space="preserve">on 5 January 2022, owing to the festive holiday. The respondent filed his notice of opposition through his legal practitioners on 19 January 2022, the day the </w:t>
      </w:r>
      <w:r w:rsidR="00425AD9" w:rsidRPr="00425AD9">
        <w:rPr>
          <w:rFonts w:ascii="Times New Roman" w:eastAsia="Calibri" w:hAnsi="Times New Roman" w:cs="Times New Roman"/>
          <w:i/>
          <w:sz w:val="24"/>
          <w:szCs w:val="24"/>
          <w:lang w:val="en-US"/>
        </w:rPr>
        <w:t>dies induciae</w:t>
      </w:r>
      <w:r w:rsidR="00425AD9">
        <w:rPr>
          <w:rFonts w:ascii="Times New Roman" w:eastAsia="Calibri" w:hAnsi="Times New Roman" w:cs="Times New Roman"/>
          <w:sz w:val="24"/>
          <w:szCs w:val="24"/>
          <w:lang w:val="en-US"/>
        </w:rPr>
        <w:t xml:space="preserve"> was set to expire. The notice of opposition was not served on the applicant’s legal </w:t>
      </w:r>
      <w:r w:rsidR="00801F06">
        <w:rPr>
          <w:rFonts w:ascii="Times New Roman" w:eastAsia="Calibri" w:hAnsi="Times New Roman" w:cs="Times New Roman"/>
          <w:sz w:val="24"/>
          <w:szCs w:val="24"/>
          <w:lang w:val="en-US"/>
        </w:rPr>
        <w:lastRenderedPageBreak/>
        <w:t>practitioners</w:t>
      </w:r>
      <w:r w:rsidR="00425AD9">
        <w:rPr>
          <w:rFonts w:ascii="Times New Roman" w:eastAsia="Calibri" w:hAnsi="Times New Roman" w:cs="Times New Roman"/>
          <w:sz w:val="24"/>
          <w:szCs w:val="24"/>
          <w:lang w:val="en-US"/>
        </w:rPr>
        <w:t xml:space="preserve"> as commanded by r 59(8). The respondent was consequently barred in terms of r 59(9). In terms of r 59(13), where a respondent is barred in terms of r 59(9), the applicant may, without notice to the respondent, set the matter down for hearing </w:t>
      </w:r>
      <w:r w:rsidR="00BA3BE7">
        <w:rPr>
          <w:rFonts w:ascii="Times New Roman" w:eastAsia="Calibri" w:hAnsi="Times New Roman" w:cs="Times New Roman"/>
          <w:sz w:val="24"/>
          <w:szCs w:val="24"/>
          <w:lang w:val="en-US"/>
        </w:rPr>
        <w:t xml:space="preserve">in terms of r 64. That rule provides for the setting down of matters on the unopposed roll. </w:t>
      </w:r>
    </w:p>
    <w:p w14:paraId="61E00257" w14:textId="2A18FE83" w:rsidR="002F34F2" w:rsidRDefault="00BA3BE7" w:rsidP="009B0932">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 xml:space="preserve">On the date of hearing, it also emerged that the respondent’s legal practitioners had not filed heads of argument as required by the rules. The reason given by Ms </w:t>
      </w:r>
      <w:r w:rsidRPr="00BA3BE7">
        <w:rPr>
          <w:rFonts w:ascii="Times New Roman" w:eastAsia="Calibri" w:hAnsi="Times New Roman" w:cs="Times New Roman"/>
          <w:i/>
          <w:sz w:val="24"/>
          <w:szCs w:val="24"/>
          <w:lang w:val="en-US"/>
        </w:rPr>
        <w:t>Chiro</w:t>
      </w:r>
      <w:r>
        <w:rPr>
          <w:rFonts w:ascii="Times New Roman" w:eastAsia="Calibri" w:hAnsi="Times New Roman" w:cs="Times New Roman"/>
          <w:sz w:val="24"/>
          <w:szCs w:val="24"/>
          <w:lang w:val="en-US"/>
        </w:rPr>
        <w:t xml:space="preserve"> for the non-compliance with the rules was that they were waiting for the filing of the applicant’s answering affidavit. The answering affidavit had been served at the respondent’s offices. Be that as it may, despite b</w:t>
      </w:r>
      <w:r w:rsidR="00801F06">
        <w:rPr>
          <w:rFonts w:ascii="Times New Roman" w:eastAsia="Calibri" w:hAnsi="Times New Roman" w:cs="Times New Roman"/>
          <w:sz w:val="24"/>
          <w:szCs w:val="24"/>
          <w:lang w:val="en-US"/>
        </w:rPr>
        <w:t xml:space="preserve">eing aware of the set down, the </w:t>
      </w:r>
      <w:r>
        <w:rPr>
          <w:rFonts w:ascii="Times New Roman" w:eastAsia="Calibri" w:hAnsi="Times New Roman" w:cs="Times New Roman"/>
          <w:sz w:val="24"/>
          <w:szCs w:val="24"/>
          <w:lang w:val="en-US"/>
        </w:rPr>
        <w:t xml:space="preserve">heads of argument had </w:t>
      </w:r>
      <w:r w:rsidR="00801F06">
        <w:rPr>
          <w:rFonts w:ascii="Times New Roman" w:eastAsia="Calibri" w:hAnsi="Times New Roman" w:cs="Times New Roman"/>
          <w:sz w:val="24"/>
          <w:szCs w:val="24"/>
          <w:lang w:val="en-US"/>
        </w:rPr>
        <w:t xml:space="preserve">not even </w:t>
      </w:r>
      <w:r>
        <w:rPr>
          <w:rFonts w:ascii="Times New Roman" w:eastAsia="Calibri" w:hAnsi="Times New Roman" w:cs="Times New Roman"/>
          <w:sz w:val="24"/>
          <w:szCs w:val="24"/>
          <w:lang w:val="en-US"/>
        </w:rPr>
        <w:t>been prepared</w:t>
      </w:r>
      <w:r w:rsidR="00801F06">
        <w:rPr>
          <w:rFonts w:ascii="Times New Roman" w:eastAsia="Calibri" w:hAnsi="Times New Roman" w:cs="Times New Roman"/>
          <w:sz w:val="24"/>
          <w:szCs w:val="24"/>
          <w:lang w:val="en-US"/>
        </w:rPr>
        <w:t xml:space="preserve"> at the time of the hearing. </w:t>
      </w:r>
    </w:p>
    <w:p w14:paraId="056E90FA" w14:textId="49D1CED0" w:rsidR="009B0932" w:rsidRDefault="00BA3BE7" w:rsidP="002F34F2">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Ms </w:t>
      </w:r>
      <w:r w:rsidRPr="00BA3BE7">
        <w:rPr>
          <w:rFonts w:ascii="Times New Roman" w:eastAsia="Calibri" w:hAnsi="Times New Roman" w:cs="Times New Roman"/>
          <w:i/>
          <w:sz w:val="24"/>
          <w:szCs w:val="24"/>
          <w:lang w:val="en-US"/>
        </w:rPr>
        <w:t>Chiro</w:t>
      </w:r>
      <w:r>
        <w:rPr>
          <w:rFonts w:ascii="Times New Roman" w:eastAsia="Calibri" w:hAnsi="Times New Roman" w:cs="Times New Roman"/>
          <w:sz w:val="24"/>
          <w:szCs w:val="24"/>
          <w:lang w:val="en-US"/>
        </w:rPr>
        <w:t xml:space="preserve"> applied for the uplifting of the bar operating against the respondent in respect of the non-service of the notice of opposition and the failure to file heads of argument. Following exchanges between counsel and the court regarding the merits of the application and the respondent’s defence, Ms </w:t>
      </w:r>
      <w:r w:rsidRPr="00BA3BE7">
        <w:rPr>
          <w:rFonts w:ascii="Times New Roman" w:eastAsia="Calibri" w:hAnsi="Times New Roman" w:cs="Times New Roman"/>
          <w:i/>
          <w:sz w:val="24"/>
          <w:szCs w:val="24"/>
          <w:lang w:val="en-US"/>
        </w:rPr>
        <w:t>Chiro</w:t>
      </w:r>
      <w:r>
        <w:rPr>
          <w:rFonts w:ascii="Times New Roman" w:eastAsia="Calibri" w:hAnsi="Times New Roman" w:cs="Times New Roman"/>
          <w:sz w:val="24"/>
          <w:szCs w:val="24"/>
          <w:lang w:val="en-US"/>
        </w:rPr>
        <w:t xml:space="preserve"> conceded that the applicant’s application was unassailable on the merits. She also conceded that the respondent’s case was devoid of merit. It was at that point that she ab</w:t>
      </w:r>
      <w:r w:rsidR="002F34F2">
        <w:rPr>
          <w:rFonts w:ascii="Times New Roman" w:eastAsia="Calibri" w:hAnsi="Times New Roman" w:cs="Times New Roman"/>
          <w:sz w:val="24"/>
          <w:szCs w:val="24"/>
          <w:lang w:val="en-US"/>
        </w:rPr>
        <w:t xml:space="preserve">andoned the application for the </w:t>
      </w:r>
      <w:r w:rsidR="0018795A">
        <w:rPr>
          <w:rFonts w:ascii="Times New Roman" w:eastAsia="Calibri" w:hAnsi="Times New Roman" w:cs="Times New Roman"/>
          <w:sz w:val="24"/>
          <w:szCs w:val="24"/>
          <w:lang w:val="en-US"/>
        </w:rPr>
        <w:t xml:space="preserve">removal </w:t>
      </w:r>
      <w:r w:rsidR="002F34F2">
        <w:rPr>
          <w:rFonts w:ascii="Times New Roman" w:eastAsia="Calibri" w:hAnsi="Times New Roman" w:cs="Times New Roman"/>
          <w:sz w:val="24"/>
          <w:szCs w:val="24"/>
          <w:lang w:val="en-US"/>
        </w:rPr>
        <w:t xml:space="preserve">of the bars. In light of the concession which was properly made in my view, Ms </w:t>
      </w:r>
      <w:r w:rsidR="002F34F2" w:rsidRPr="002F34F2">
        <w:rPr>
          <w:rFonts w:ascii="Times New Roman" w:eastAsia="Calibri" w:hAnsi="Times New Roman" w:cs="Times New Roman"/>
          <w:i/>
          <w:sz w:val="24"/>
          <w:szCs w:val="24"/>
          <w:lang w:val="en-US"/>
        </w:rPr>
        <w:t>Dzumbunu</w:t>
      </w:r>
      <w:r w:rsidR="00196765">
        <w:rPr>
          <w:rFonts w:ascii="Times New Roman" w:eastAsia="Calibri" w:hAnsi="Times New Roman" w:cs="Times New Roman"/>
          <w:sz w:val="24"/>
          <w:szCs w:val="24"/>
          <w:lang w:val="en-US"/>
        </w:rPr>
        <w:t xml:space="preserve"> for the applicant, in a clear exhibition of professional courtesy, abandoned her claim for costs against the respondent</w:t>
      </w:r>
      <w:r w:rsidR="003F7092">
        <w:rPr>
          <w:rFonts w:ascii="Times New Roman" w:eastAsia="Calibri" w:hAnsi="Times New Roman" w:cs="Times New Roman"/>
          <w:sz w:val="24"/>
          <w:szCs w:val="24"/>
          <w:lang w:val="en-US"/>
        </w:rPr>
        <w:t xml:space="preserve">. That explains the amendment to paragraph 2 of the draft order. </w:t>
      </w:r>
    </w:p>
    <w:p w14:paraId="785EB123" w14:textId="7A5323F2" w:rsidR="003F7092" w:rsidRPr="004116BB" w:rsidRDefault="003F7092" w:rsidP="002F34F2">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With the above background in mind, it therefore came as a complete surprise when on 2 November 2023, I received through the registrar’s office, a letter from one L.T. Muradzikwa of the Attorney General’s office seeking written reasons for the order which for all intents and purposes was granted by consent. The reason given for that somewhat </w:t>
      </w:r>
      <w:r w:rsidR="0018795A">
        <w:rPr>
          <w:rFonts w:ascii="Times New Roman" w:eastAsia="Calibri" w:hAnsi="Times New Roman" w:cs="Times New Roman"/>
          <w:sz w:val="24"/>
          <w:szCs w:val="24"/>
          <w:lang w:val="en-US"/>
        </w:rPr>
        <w:t xml:space="preserve">strange </w:t>
      </w:r>
      <w:r>
        <w:rPr>
          <w:rFonts w:ascii="Times New Roman" w:eastAsia="Calibri" w:hAnsi="Times New Roman" w:cs="Times New Roman"/>
          <w:sz w:val="24"/>
          <w:szCs w:val="24"/>
          <w:lang w:val="en-US"/>
        </w:rPr>
        <w:t xml:space="preserve">request considering the circumstances </w:t>
      </w:r>
      <w:r w:rsidR="0018795A">
        <w:rPr>
          <w:rFonts w:ascii="Times New Roman" w:eastAsia="Calibri" w:hAnsi="Times New Roman" w:cs="Times New Roman"/>
          <w:sz w:val="24"/>
          <w:szCs w:val="24"/>
          <w:lang w:val="en-US"/>
        </w:rPr>
        <w:t xml:space="preserve">under which the order had been granted, </w:t>
      </w:r>
      <w:r>
        <w:rPr>
          <w:rFonts w:ascii="Times New Roman" w:eastAsia="Calibri" w:hAnsi="Times New Roman" w:cs="Times New Roman"/>
          <w:sz w:val="24"/>
          <w:szCs w:val="24"/>
          <w:lang w:val="en-US"/>
        </w:rPr>
        <w:t xml:space="preserve">was </w:t>
      </w:r>
      <w:r w:rsidR="0018795A">
        <w:rPr>
          <w:rFonts w:ascii="Times New Roman" w:eastAsia="Calibri" w:hAnsi="Times New Roman" w:cs="Times New Roman"/>
          <w:sz w:val="24"/>
          <w:szCs w:val="24"/>
          <w:lang w:val="en-US"/>
        </w:rPr>
        <w:t xml:space="preserve">that </w:t>
      </w:r>
      <w:r w:rsidR="00277608">
        <w:rPr>
          <w:rFonts w:ascii="Times New Roman" w:eastAsia="Calibri" w:hAnsi="Times New Roman" w:cs="Times New Roman"/>
          <w:sz w:val="24"/>
          <w:szCs w:val="24"/>
          <w:lang w:val="en-US"/>
        </w:rPr>
        <w:t xml:space="preserve">their client wanted to appeal against </w:t>
      </w:r>
      <w:r w:rsidR="0018795A">
        <w:rPr>
          <w:rFonts w:ascii="Times New Roman" w:eastAsia="Calibri" w:hAnsi="Times New Roman" w:cs="Times New Roman"/>
          <w:sz w:val="24"/>
          <w:szCs w:val="24"/>
          <w:lang w:val="en-US"/>
        </w:rPr>
        <w:t>that o</w:t>
      </w:r>
      <w:r w:rsidR="00277608">
        <w:rPr>
          <w:rFonts w:ascii="Times New Roman" w:eastAsia="Calibri" w:hAnsi="Times New Roman" w:cs="Times New Roman"/>
          <w:sz w:val="24"/>
          <w:szCs w:val="24"/>
          <w:lang w:val="en-US"/>
        </w:rPr>
        <w:t xml:space="preserve">rder. Be that as it may, I hereby render the reasons </w:t>
      </w:r>
      <w:r w:rsidR="0018795A">
        <w:rPr>
          <w:rFonts w:ascii="Times New Roman" w:eastAsia="Calibri" w:hAnsi="Times New Roman" w:cs="Times New Roman"/>
          <w:sz w:val="24"/>
          <w:szCs w:val="24"/>
          <w:lang w:val="en-US"/>
        </w:rPr>
        <w:t>that were requested</w:t>
      </w:r>
      <w:r w:rsidR="00277608">
        <w:rPr>
          <w:rFonts w:ascii="Times New Roman" w:eastAsia="Calibri" w:hAnsi="Times New Roman" w:cs="Times New Roman"/>
          <w:sz w:val="24"/>
          <w:szCs w:val="24"/>
          <w:lang w:val="en-US"/>
        </w:rPr>
        <w:t xml:space="preserve">. </w:t>
      </w:r>
    </w:p>
    <w:p w14:paraId="148C3047" w14:textId="5C9BDC9F" w:rsidR="0076711F" w:rsidRPr="00277608" w:rsidRDefault="00277608" w:rsidP="0076711F">
      <w:pPr>
        <w:spacing w:after="0" w:line="360" w:lineRule="auto"/>
        <w:jc w:val="both"/>
        <w:rPr>
          <w:rFonts w:ascii="Times New Roman" w:eastAsia="Calibri" w:hAnsi="Times New Roman" w:cs="Times New Roman"/>
          <w:b/>
          <w:color w:val="000000" w:themeColor="text1"/>
          <w:sz w:val="24"/>
          <w:szCs w:val="24"/>
          <w:lang w:val="en-US"/>
        </w:rPr>
      </w:pPr>
      <w:r w:rsidRPr="00277608">
        <w:rPr>
          <w:rFonts w:ascii="Times New Roman" w:eastAsia="Calibri" w:hAnsi="Times New Roman" w:cs="Times New Roman"/>
          <w:b/>
          <w:color w:val="000000" w:themeColor="text1"/>
          <w:sz w:val="24"/>
          <w:szCs w:val="24"/>
          <w:lang w:val="en-US"/>
        </w:rPr>
        <w:t xml:space="preserve">The Background </w:t>
      </w:r>
      <w:r>
        <w:rPr>
          <w:rFonts w:ascii="Times New Roman" w:eastAsia="Calibri" w:hAnsi="Times New Roman" w:cs="Times New Roman"/>
          <w:b/>
          <w:color w:val="000000" w:themeColor="text1"/>
          <w:sz w:val="24"/>
          <w:szCs w:val="24"/>
          <w:lang w:val="en-US"/>
        </w:rPr>
        <w:t xml:space="preserve">to the Applicant’s Case </w:t>
      </w:r>
    </w:p>
    <w:p w14:paraId="5A5CAE62" w14:textId="39CFC48D" w:rsidR="0011169F" w:rsidRDefault="0076711F" w:rsidP="00277608">
      <w:pPr>
        <w:spacing w:after="0" w:line="360" w:lineRule="auto"/>
        <w:ind w:firstLine="720"/>
        <w:jc w:val="both"/>
        <w:rPr>
          <w:rFonts w:ascii="Times New Roman" w:eastAsia="Calibri" w:hAnsi="Times New Roman" w:cs="Times New Roman"/>
          <w:sz w:val="24"/>
          <w:szCs w:val="24"/>
          <w:lang w:val="en-US"/>
        </w:rPr>
      </w:pPr>
      <w:r w:rsidRPr="00B14A8C">
        <w:rPr>
          <w:rFonts w:ascii="Times New Roman" w:eastAsia="Calibri" w:hAnsi="Times New Roman" w:cs="Times New Roman"/>
          <w:sz w:val="24"/>
          <w:szCs w:val="24"/>
          <w:lang w:val="en-US"/>
        </w:rPr>
        <w:t xml:space="preserve">The </w:t>
      </w:r>
      <w:r w:rsidR="00277608">
        <w:rPr>
          <w:rFonts w:ascii="Times New Roman" w:eastAsia="Calibri" w:hAnsi="Times New Roman" w:cs="Times New Roman"/>
          <w:sz w:val="24"/>
          <w:szCs w:val="24"/>
          <w:lang w:val="en-US"/>
        </w:rPr>
        <w:t>a</w:t>
      </w:r>
      <w:r w:rsidRPr="00B14A8C">
        <w:rPr>
          <w:rFonts w:ascii="Times New Roman" w:eastAsia="Calibri" w:hAnsi="Times New Roman" w:cs="Times New Roman"/>
          <w:sz w:val="24"/>
          <w:szCs w:val="24"/>
          <w:lang w:val="en-US"/>
        </w:rPr>
        <w:t xml:space="preserve">pplicant </w:t>
      </w:r>
      <w:r w:rsidR="00277608">
        <w:rPr>
          <w:rFonts w:ascii="Times New Roman" w:eastAsia="Calibri" w:hAnsi="Times New Roman" w:cs="Times New Roman"/>
          <w:sz w:val="24"/>
          <w:szCs w:val="24"/>
          <w:lang w:val="en-US"/>
        </w:rPr>
        <w:t xml:space="preserve">was in </w:t>
      </w:r>
      <w:r w:rsidRPr="00B14A8C">
        <w:rPr>
          <w:rFonts w:ascii="Times New Roman" w:eastAsia="Calibri" w:hAnsi="Times New Roman" w:cs="Times New Roman"/>
          <w:sz w:val="24"/>
          <w:szCs w:val="24"/>
          <w:lang w:val="en-US"/>
        </w:rPr>
        <w:t>occupation of Glebe Farm, Goromonzi, measuring 669, 1865 hectares registered under Deed of Transfer No. 224/1996</w:t>
      </w:r>
      <w:r w:rsidR="00277608">
        <w:rPr>
          <w:rFonts w:ascii="Times New Roman" w:eastAsia="Calibri" w:hAnsi="Times New Roman" w:cs="Times New Roman"/>
          <w:sz w:val="24"/>
          <w:szCs w:val="24"/>
          <w:lang w:val="en-US"/>
        </w:rPr>
        <w:t xml:space="preserve"> (hereinafter called the farm)</w:t>
      </w:r>
      <w:r w:rsidRPr="00B14A8C">
        <w:rPr>
          <w:rFonts w:ascii="Times New Roman" w:eastAsia="Calibri" w:hAnsi="Times New Roman" w:cs="Times New Roman"/>
          <w:sz w:val="24"/>
          <w:szCs w:val="24"/>
          <w:lang w:val="en-US"/>
        </w:rPr>
        <w:t xml:space="preserve">. </w:t>
      </w:r>
      <w:r w:rsidR="00277608">
        <w:rPr>
          <w:rFonts w:ascii="Times New Roman" w:eastAsia="Calibri" w:hAnsi="Times New Roman" w:cs="Times New Roman"/>
          <w:sz w:val="24"/>
          <w:szCs w:val="24"/>
          <w:lang w:val="en-US"/>
        </w:rPr>
        <w:t xml:space="preserve">The farm was </w:t>
      </w:r>
      <w:r w:rsidRPr="00B14A8C">
        <w:rPr>
          <w:rFonts w:ascii="Times New Roman" w:eastAsia="Calibri" w:hAnsi="Times New Roman" w:cs="Times New Roman"/>
          <w:sz w:val="24"/>
          <w:szCs w:val="24"/>
          <w:lang w:val="en-US"/>
        </w:rPr>
        <w:t xml:space="preserve">listed for compulsory acquisition </w:t>
      </w:r>
      <w:r w:rsidR="00277608">
        <w:rPr>
          <w:rFonts w:ascii="Times New Roman" w:eastAsia="Calibri" w:hAnsi="Times New Roman" w:cs="Times New Roman"/>
          <w:sz w:val="24"/>
          <w:szCs w:val="24"/>
          <w:lang w:val="en-US"/>
        </w:rPr>
        <w:t>by the r</w:t>
      </w:r>
      <w:r w:rsidRPr="00B14A8C">
        <w:rPr>
          <w:rFonts w:ascii="Times New Roman" w:eastAsia="Calibri" w:hAnsi="Times New Roman" w:cs="Times New Roman"/>
          <w:sz w:val="24"/>
          <w:szCs w:val="24"/>
          <w:lang w:val="en-US"/>
        </w:rPr>
        <w:t>espondent</w:t>
      </w:r>
      <w:r w:rsidR="00277608">
        <w:rPr>
          <w:rFonts w:ascii="Times New Roman" w:eastAsia="Calibri" w:hAnsi="Times New Roman" w:cs="Times New Roman"/>
          <w:sz w:val="24"/>
          <w:szCs w:val="24"/>
          <w:lang w:val="en-US"/>
        </w:rPr>
        <w:t xml:space="preserve">. The two parties </w:t>
      </w:r>
      <w:r w:rsidR="0018795A">
        <w:rPr>
          <w:rFonts w:ascii="Times New Roman" w:eastAsia="Calibri" w:hAnsi="Times New Roman" w:cs="Times New Roman"/>
          <w:sz w:val="24"/>
          <w:szCs w:val="24"/>
          <w:lang w:val="en-US"/>
        </w:rPr>
        <w:t xml:space="preserve">entered </w:t>
      </w:r>
      <w:r w:rsidR="00277608">
        <w:rPr>
          <w:rFonts w:ascii="Times New Roman" w:eastAsia="Calibri" w:hAnsi="Times New Roman" w:cs="Times New Roman"/>
          <w:sz w:val="24"/>
          <w:szCs w:val="24"/>
          <w:lang w:val="en-US"/>
        </w:rPr>
        <w:t>into a</w:t>
      </w:r>
      <w:r w:rsidR="0018795A">
        <w:rPr>
          <w:rFonts w:ascii="Times New Roman" w:eastAsia="Calibri" w:hAnsi="Times New Roman" w:cs="Times New Roman"/>
          <w:sz w:val="24"/>
          <w:szCs w:val="24"/>
          <w:lang w:val="en-US"/>
        </w:rPr>
        <w:t xml:space="preserve"> deed of settlement </w:t>
      </w:r>
      <w:r w:rsidR="00277608">
        <w:rPr>
          <w:rFonts w:ascii="Times New Roman" w:eastAsia="Calibri" w:hAnsi="Times New Roman" w:cs="Times New Roman"/>
          <w:sz w:val="24"/>
          <w:szCs w:val="24"/>
          <w:lang w:val="en-US"/>
        </w:rPr>
        <w:t>which was later reduced into an order</w:t>
      </w:r>
      <w:r w:rsidR="0018795A">
        <w:rPr>
          <w:rFonts w:ascii="Times New Roman" w:eastAsia="Calibri" w:hAnsi="Times New Roman" w:cs="Times New Roman"/>
          <w:sz w:val="24"/>
          <w:szCs w:val="24"/>
          <w:lang w:val="en-US"/>
        </w:rPr>
        <w:t xml:space="preserve"> of the Administrative Court. In terms of that </w:t>
      </w:r>
      <w:r w:rsidRPr="00B14A8C">
        <w:rPr>
          <w:rFonts w:ascii="Times New Roman" w:eastAsia="Calibri" w:hAnsi="Times New Roman" w:cs="Times New Roman"/>
          <w:sz w:val="24"/>
          <w:szCs w:val="24"/>
          <w:lang w:val="en-US"/>
        </w:rPr>
        <w:t>deed of settlement</w:t>
      </w:r>
      <w:r w:rsidR="0018795A">
        <w:rPr>
          <w:rFonts w:ascii="Times New Roman" w:eastAsia="Calibri" w:hAnsi="Times New Roman" w:cs="Times New Roman"/>
          <w:sz w:val="24"/>
          <w:szCs w:val="24"/>
          <w:lang w:val="en-US"/>
        </w:rPr>
        <w:t>, the a</w:t>
      </w:r>
      <w:r w:rsidRPr="00B14A8C">
        <w:rPr>
          <w:rFonts w:ascii="Times New Roman" w:eastAsia="Calibri" w:hAnsi="Times New Roman" w:cs="Times New Roman"/>
          <w:sz w:val="24"/>
          <w:szCs w:val="24"/>
          <w:lang w:val="en-US"/>
        </w:rPr>
        <w:t xml:space="preserve">pplicant was to retain 142.38 hectares </w:t>
      </w:r>
      <w:r w:rsidR="0018795A">
        <w:rPr>
          <w:rFonts w:ascii="Times New Roman" w:eastAsia="Calibri" w:hAnsi="Times New Roman" w:cs="Times New Roman"/>
          <w:sz w:val="24"/>
          <w:szCs w:val="24"/>
          <w:lang w:val="en-US"/>
        </w:rPr>
        <w:t xml:space="preserve">of the farm </w:t>
      </w:r>
      <w:r w:rsidRPr="00B14A8C">
        <w:rPr>
          <w:rFonts w:ascii="Times New Roman" w:eastAsia="Calibri" w:hAnsi="Times New Roman" w:cs="Times New Roman"/>
          <w:sz w:val="24"/>
          <w:szCs w:val="24"/>
          <w:lang w:val="en-US"/>
        </w:rPr>
        <w:t xml:space="preserve">and relinquish </w:t>
      </w:r>
      <w:r w:rsidR="0018795A">
        <w:rPr>
          <w:rFonts w:ascii="Times New Roman" w:eastAsia="Calibri" w:hAnsi="Times New Roman" w:cs="Times New Roman"/>
          <w:sz w:val="24"/>
          <w:szCs w:val="24"/>
          <w:lang w:val="en-US"/>
        </w:rPr>
        <w:lastRenderedPageBreak/>
        <w:t>the remaining</w:t>
      </w:r>
      <w:r w:rsidRPr="00B14A8C">
        <w:rPr>
          <w:rFonts w:ascii="Times New Roman" w:eastAsia="Calibri" w:hAnsi="Times New Roman" w:cs="Times New Roman"/>
          <w:sz w:val="24"/>
          <w:szCs w:val="24"/>
          <w:lang w:val="en-US"/>
        </w:rPr>
        <w:t xml:space="preserve"> 526.81 hectares to the respondent.  The deed of settlement was registered as an order of the </w:t>
      </w:r>
      <w:r w:rsidR="0011169F">
        <w:rPr>
          <w:rFonts w:ascii="Times New Roman" w:eastAsia="Calibri" w:hAnsi="Times New Roman" w:cs="Times New Roman"/>
          <w:sz w:val="24"/>
          <w:szCs w:val="24"/>
          <w:lang w:val="en-US"/>
        </w:rPr>
        <w:t>Administrative C</w:t>
      </w:r>
      <w:r w:rsidRPr="00B14A8C">
        <w:rPr>
          <w:rFonts w:ascii="Times New Roman" w:eastAsia="Calibri" w:hAnsi="Times New Roman" w:cs="Times New Roman"/>
          <w:sz w:val="24"/>
          <w:szCs w:val="24"/>
          <w:lang w:val="en-US"/>
        </w:rPr>
        <w:t>ourt under LA2898/02</w:t>
      </w:r>
      <w:r w:rsidR="0011169F">
        <w:rPr>
          <w:rFonts w:ascii="Times New Roman" w:eastAsia="Calibri" w:hAnsi="Times New Roman" w:cs="Times New Roman"/>
          <w:sz w:val="24"/>
          <w:szCs w:val="24"/>
          <w:lang w:val="en-US"/>
        </w:rPr>
        <w:t xml:space="preserve"> in August 2003. That consent order reads as follows:</w:t>
      </w:r>
    </w:p>
    <w:p w14:paraId="3D034B44" w14:textId="77777777" w:rsidR="0011169F" w:rsidRPr="007941BA" w:rsidRDefault="0011169F" w:rsidP="007941BA">
      <w:pPr>
        <w:spacing w:after="0" w:line="240" w:lineRule="auto"/>
        <w:ind w:firstLine="720"/>
        <w:jc w:val="both"/>
        <w:rPr>
          <w:rFonts w:ascii="Times New Roman" w:eastAsia="Calibri" w:hAnsi="Times New Roman" w:cs="Times New Roman"/>
          <w:lang w:val="en-US"/>
        </w:rPr>
      </w:pPr>
      <w:r w:rsidRPr="007941BA">
        <w:rPr>
          <w:rFonts w:ascii="Times New Roman" w:eastAsia="Calibri" w:hAnsi="Times New Roman" w:cs="Times New Roman"/>
          <w:lang w:val="en-US"/>
        </w:rPr>
        <w:t>“IT IS ORDERED BY CONSENT THAT:-</w:t>
      </w:r>
    </w:p>
    <w:p w14:paraId="14E29CB8" w14:textId="55A966CC" w:rsidR="0011169F" w:rsidRPr="007941BA" w:rsidRDefault="0011169F" w:rsidP="002E7BF6">
      <w:pPr>
        <w:pStyle w:val="ListParagraph"/>
        <w:numPr>
          <w:ilvl w:val="0"/>
          <w:numId w:val="2"/>
        </w:numPr>
        <w:spacing w:after="0" w:line="240" w:lineRule="auto"/>
        <w:jc w:val="both"/>
        <w:rPr>
          <w:rFonts w:ascii="Times New Roman" w:eastAsia="Calibri" w:hAnsi="Times New Roman" w:cs="Times New Roman"/>
          <w:lang w:val="en-US"/>
        </w:rPr>
      </w:pPr>
      <w:r w:rsidRPr="007941BA">
        <w:rPr>
          <w:rFonts w:ascii="Times New Roman" w:eastAsia="Calibri" w:hAnsi="Times New Roman" w:cs="Times New Roman"/>
          <w:lang w:val="en-US"/>
        </w:rPr>
        <w:t>The Acquisition of the under mentioned property in terms of Section 7 of the Land Acquisition Act [Chapter 20:10] be and is hereby confirmed</w:t>
      </w:r>
    </w:p>
    <w:p w14:paraId="1F4C857A" w14:textId="7915C385" w:rsidR="0011169F" w:rsidRPr="007941BA" w:rsidRDefault="0011169F" w:rsidP="002E7BF6">
      <w:pPr>
        <w:pStyle w:val="ListParagraph"/>
        <w:numPr>
          <w:ilvl w:val="0"/>
          <w:numId w:val="3"/>
        </w:numPr>
        <w:spacing w:after="0" w:line="240" w:lineRule="auto"/>
        <w:jc w:val="both"/>
        <w:rPr>
          <w:rFonts w:ascii="Times New Roman" w:eastAsia="Calibri" w:hAnsi="Times New Roman" w:cs="Times New Roman"/>
          <w:lang w:val="en-US"/>
        </w:rPr>
      </w:pPr>
      <w:r w:rsidRPr="007941BA">
        <w:rPr>
          <w:rFonts w:ascii="Times New Roman" w:eastAsia="Calibri" w:hAnsi="Times New Roman" w:cs="Times New Roman"/>
          <w:lang w:val="en-US"/>
        </w:rPr>
        <w:t>Portion of GLEBE measuring 526.81 hectares situated in the District of GOROMONZI HELD under Deed of Transfer No. 224/96 ne and is hereby withdrawn.</w:t>
      </w:r>
    </w:p>
    <w:p w14:paraId="52FAAE71" w14:textId="77777777" w:rsidR="0011169F" w:rsidRPr="007941BA" w:rsidRDefault="0011169F" w:rsidP="002E7BF6">
      <w:pPr>
        <w:pStyle w:val="ListParagraph"/>
        <w:numPr>
          <w:ilvl w:val="0"/>
          <w:numId w:val="2"/>
        </w:numPr>
        <w:spacing w:after="0" w:line="240" w:lineRule="auto"/>
        <w:jc w:val="both"/>
        <w:rPr>
          <w:rFonts w:ascii="Times New Roman" w:eastAsia="Calibri" w:hAnsi="Times New Roman" w:cs="Times New Roman"/>
          <w:lang w:val="en-US"/>
        </w:rPr>
      </w:pPr>
      <w:r w:rsidRPr="007941BA">
        <w:rPr>
          <w:rFonts w:ascii="Times New Roman" w:eastAsia="Calibri" w:hAnsi="Times New Roman" w:cs="Times New Roman"/>
          <w:lang w:val="en-US"/>
        </w:rPr>
        <w:t>The Acquisition proceedings in respect of the remaining portion of GLEBE measuring 142, 38 hectares situated in the District of GOROMONZI held under Deed of Transfer No. 224/96 be and is hereby withdrawn.</w:t>
      </w:r>
    </w:p>
    <w:p w14:paraId="6B134CD8" w14:textId="77777777" w:rsidR="0011169F" w:rsidRPr="007941BA" w:rsidRDefault="0011169F" w:rsidP="002E7BF6">
      <w:pPr>
        <w:pStyle w:val="ListParagraph"/>
        <w:numPr>
          <w:ilvl w:val="0"/>
          <w:numId w:val="2"/>
        </w:numPr>
        <w:spacing w:after="0" w:line="240" w:lineRule="auto"/>
        <w:jc w:val="both"/>
        <w:rPr>
          <w:rFonts w:ascii="Times New Roman" w:eastAsia="Calibri" w:hAnsi="Times New Roman" w:cs="Times New Roman"/>
          <w:lang w:val="en-US"/>
        </w:rPr>
      </w:pPr>
      <w:r w:rsidRPr="007941BA">
        <w:rPr>
          <w:rFonts w:ascii="Times New Roman" w:eastAsia="Calibri" w:hAnsi="Times New Roman" w:cs="Times New Roman"/>
          <w:lang w:val="en-US"/>
        </w:rPr>
        <w:t>The Applicant shall subdivide GLEBE and pay the Subdivision costs thereof.</w:t>
      </w:r>
    </w:p>
    <w:p w14:paraId="57BD1F18" w14:textId="77777777" w:rsidR="0011169F" w:rsidRDefault="0011169F" w:rsidP="002E7BF6">
      <w:pPr>
        <w:pStyle w:val="ListParagraph"/>
        <w:numPr>
          <w:ilvl w:val="0"/>
          <w:numId w:val="2"/>
        </w:numPr>
        <w:spacing w:line="240" w:lineRule="auto"/>
        <w:jc w:val="both"/>
        <w:rPr>
          <w:rFonts w:ascii="Times New Roman" w:eastAsia="Calibri" w:hAnsi="Times New Roman" w:cs="Times New Roman"/>
          <w:lang w:val="en-US"/>
        </w:rPr>
      </w:pPr>
      <w:r w:rsidRPr="007941BA">
        <w:rPr>
          <w:rFonts w:ascii="Times New Roman" w:eastAsia="Calibri" w:hAnsi="Times New Roman" w:cs="Times New Roman"/>
          <w:lang w:val="en-US"/>
        </w:rPr>
        <w:t xml:space="preserve">There shall be no Order as to costs.” </w:t>
      </w:r>
    </w:p>
    <w:p w14:paraId="635299AE" w14:textId="6D171848" w:rsidR="00DE67CD" w:rsidRDefault="0076711F" w:rsidP="007941BA">
      <w:pPr>
        <w:spacing w:after="0" w:line="360" w:lineRule="auto"/>
        <w:ind w:firstLine="720"/>
        <w:jc w:val="both"/>
        <w:rPr>
          <w:rFonts w:ascii="Times New Roman" w:eastAsia="Calibri" w:hAnsi="Times New Roman" w:cs="Times New Roman"/>
          <w:sz w:val="24"/>
          <w:szCs w:val="24"/>
          <w:lang w:val="en-US"/>
        </w:rPr>
      </w:pPr>
      <w:r w:rsidRPr="0011169F">
        <w:rPr>
          <w:rFonts w:ascii="Times New Roman" w:eastAsia="Calibri" w:hAnsi="Times New Roman" w:cs="Times New Roman"/>
          <w:sz w:val="24"/>
          <w:szCs w:val="24"/>
          <w:lang w:val="en-US"/>
        </w:rPr>
        <w:t>With</w:t>
      </w:r>
      <w:r w:rsidR="00DE67CD">
        <w:rPr>
          <w:rFonts w:ascii="Times New Roman" w:eastAsia="Calibri" w:hAnsi="Times New Roman" w:cs="Times New Roman"/>
          <w:sz w:val="24"/>
          <w:szCs w:val="24"/>
          <w:lang w:val="en-US"/>
        </w:rPr>
        <w:t xml:space="preserve">out any </w:t>
      </w:r>
      <w:r w:rsidRPr="0011169F">
        <w:rPr>
          <w:rFonts w:ascii="Times New Roman" w:eastAsia="Calibri" w:hAnsi="Times New Roman" w:cs="Times New Roman"/>
          <w:sz w:val="24"/>
          <w:szCs w:val="24"/>
          <w:lang w:val="en-US"/>
        </w:rPr>
        <w:t>regard to the</w:t>
      </w:r>
      <w:r w:rsidR="00DE67CD">
        <w:rPr>
          <w:rFonts w:ascii="Times New Roman" w:eastAsia="Calibri" w:hAnsi="Times New Roman" w:cs="Times New Roman"/>
          <w:sz w:val="24"/>
          <w:szCs w:val="24"/>
          <w:lang w:val="en-US"/>
        </w:rPr>
        <w:t xml:space="preserve"> said</w:t>
      </w:r>
      <w:r w:rsidRPr="0011169F">
        <w:rPr>
          <w:rFonts w:ascii="Times New Roman" w:eastAsia="Calibri" w:hAnsi="Times New Roman" w:cs="Times New Roman"/>
          <w:sz w:val="24"/>
          <w:szCs w:val="24"/>
          <w:lang w:val="en-US"/>
        </w:rPr>
        <w:t xml:space="preserve"> court order under LA2898/02</w:t>
      </w:r>
      <w:r w:rsidR="00DE67CD">
        <w:rPr>
          <w:rFonts w:ascii="Times New Roman" w:eastAsia="Calibri" w:hAnsi="Times New Roman" w:cs="Times New Roman"/>
          <w:sz w:val="24"/>
          <w:szCs w:val="24"/>
          <w:lang w:val="en-US"/>
        </w:rPr>
        <w:t xml:space="preserve">, </w:t>
      </w:r>
      <w:r w:rsidRPr="0011169F">
        <w:rPr>
          <w:rFonts w:ascii="Times New Roman" w:eastAsia="Calibri" w:hAnsi="Times New Roman" w:cs="Times New Roman"/>
          <w:sz w:val="24"/>
          <w:szCs w:val="24"/>
          <w:lang w:val="en-US"/>
        </w:rPr>
        <w:t xml:space="preserve">the </w:t>
      </w:r>
      <w:r w:rsidR="00DE67CD">
        <w:rPr>
          <w:rFonts w:ascii="Times New Roman" w:eastAsia="Calibri" w:hAnsi="Times New Roman" w:cs="Times New Roman"/>
          <w:sz w:val="24"/>
          <w:szCs w:val="24"/>
          <w:lang w:val="en-US"/>
        </w:rPr>
        <w:t>r</w:t>
      </w:r>
      <w:r w:rsidRPr="0011169F">
        <w:rPr>
          <w:rFonts w:ascii="Times New Roman" w:eastAsia="Calibri" w:hAnsi="Times New Roman" w:cs="Times New Roman"/>
          <w:sz w:val="24"/>
          <w:szCs w:val="24"/>
          <w:lang w:val="en-US"/>
        </w:rPr>
        <w:t>espondent went on to subdivide the farm and allocate</w:t>
      </w:r>
      <w:r w:rsidR="00DE67CD">
        <w:rPr>
          <w:rFonts w:ascii="Times New Roman" w:eastAsia="Calibri" w:hAnsi="Times New Roman" w:cs="Times New Roman"/>
          <w:sz w:val="24"/>
          <w:szCs w:val="24"/>
          <w:lang w:val="en-US"/>
        </w:rPr>
        <w:t>d</w:t>
      </w:r>
      <w:r w:rsidRPr="0011169F">
        <w:rPr>
          <w:rFonts w:ascii="Times New Roman" w:eastAsia="Calibri" w:hAnsi="Times New Roman" w:cs="Times New Roman"/>
          <w:sz w:val="24"/>
          <w:szCs w:val="24"/>
          <w:lang w:val="en-US"/>
        </w:rPr>
        <w:t xml:space="preserve"> it to </w:t>
      </w:r>
      <w:r w:rsidR="0018795A">
        <w:rPr>
          <w:rFonts w:ascii="Times New Roman" w:eastAsia="Calibri" w:hAnsi="Times New Roman" w:cs="Times New Roman"/>
          <w:sz w:val="24"/>
          <w:szCs w:val="24"/>
          <w:lang w:val="en-US"/>
        </w:rPr>
        <w:t xml:space="preserve">several </w:t>
      </w:r>
      <w:r w:rsidRPr="0011169F">
        <w:rPr>
          <w:rFonts w:ascii="Times New Roman" w:eastAsia="Calibri" w:hAnsi="Times New Roman" w:cs="Times New Roman"/>
          <w:sz w:val="24"/>
          <w:szCs w:val="24"/>
          <w:lang w:val="en-US"/>
        </w:rPr>
        <w:t>beneficiaries</w:t>
      </w:r>
      <w:r w:rsidR="00DE67CD">
        <w:rPr>
          <w:rFonts w:ascii="Times New Roman" w:eastAsia="Calibri" w:hAnsi="Times New Roman" w:cs="Times New Roman"/>
          <w:sz w:val="24"/>
          <w:szCs w:val="24"/>
          <w:lang w:val="en-US"/>
        </w:rPr>
        <w:t xml:space="preserve"> between 2008 and 2014. The applicant was only left with </w:t>
      </w:r>
      <w:r w:rsidRPr="0011169F">
        <w:rPr>
          <w:rFonts w:ascii="Times New Roman" w:eastAsia="Calibri" w:hAnsi="Times New Roman" w:cs="Times New Roman"/>
          <w:sz w:val="24"/>
          <w:szCs w:val="24"/>
          <w:lang w:val="en-US"/>
        </w:rPr>
        <w:t>35 hectares of arable land. Th</w:t>
      </w:r>
      <w:r w:rsidR="00DE67CD">
        <w:rPr>
          <w:rFonts w:ascii="Times New Roman" w:eastAsia="Calibri" w:hAnsi="Times New Roman" w:cs="Times New Roman"/>
          <w:sz w:val="24"/>
          <w:szCs w:val="24"/>
          <w:lang w:val="en-US"/>
        </w:rPr>
        <w:t xml:space="preserve">at precipitated a </w:t>
      </w:r>
      <w:r w:rsidRPr="0011169F">
        <w:rPr>
          <w:rFonts w:ascii="Times New Roman" w:eastAsia="Calibri" w:hAnsi="Times New Roman" w:cs="Times New Roman"/>
          <w:sz w:val="24"/>
          <w:szCs w:val="24"/>
          <w:lang w:val="en-US"/>
        </w:rPr>
        <w:t xml:space="preserve">series of litigation between the applicant and recipients of the offer letters for the subdivided portions of </w:t>
      </w:r>
      <w:r w:rsidR="00DE67CD">
        <w:rPr>
          <w:rFonts w:ascii="Times New Roman" w:eastAsia="Calibri" w:hAnsi="Times New Roman" w:cs="Times New Roman"/>
          <w:sz w:val="24"/>
          <w:szCs w:val="24"/>
          <w:lang w:val="en-US"/>
        </w:rPr>
        <w:t>the farm.</w:t>
      </w:r>
      <w:r w:rsidRPr="0011169F">
        <w:rPr>
          <w:rFonts w:ascii="Times New Roman" w:eastAsia="Calibri" w:hAnsi="Times New Roman" w:cs="Times New Roman"/>
          <w:sz w:val="24"/>
          <w:szCs w:val="24"/>
          <w:lang w:val="en-US"/>
        </w:rPr>
        <w:t xml:space="preserve"> </w:t>
      </w:r>
    </w:p>
    <w:p w14:paraId="20E00B24" w14:textId="2FF1B0B9" w:rsidR="00DE67CD" w:rsidRDefault="0076711F" w:rsidP="007941BA">
      <w:pPr>
        <w:spacing w:after="0" w:line="360" w:lineRule="auto"/>
        <w:ind w:firstLine="720"/>
        <w:jc w:val="both"/>
        <w:rPr>
          <w:rFonts w:ascii="Times New Roman" w:eastAsia="Calibri" w:hAnsi="Times New Roman" w:cs="Times New Roman"/>
          <w:sz w:val="24"/>
          <w:szCs w:val="24"/>
          <w:lang w:val="en-US"/>
        </w:rPr>
      </w:pPr>
      <w:r w:rsidRPr="0011169F">
        <w:rPr>
          <w:rFonts w:ascii="Times New Roman" w:eastAsia="Calibri" w:hAnsi="Times New Roman" w:cs="Times New Roman"/>
          <w:sz w:val="24"/>
          <w:szCs w:val="24"/>
          <w:lang w:val="en-US"/>
        </w:rPr>
        <w:t xml:space="preserve">In November 2020 the </w:t>
      </w:r>
      <w:r w:rsidR="006D3398">
        <w:rPr>
          <w:rFonts w:ascii="Times New Roman" w:eastAsia="Calibri" w:hAnsi="Times New Roman" w:cs="Times New Roman"/>
          <w:sz w:val="24"/>
          <w:szCs w:val="24"/>
          <w:lang w:val="en-US"/>
        </w:rPr>
        <w:t>a</w:t>
      </w:r>
      <w:r w:rsidRPr="0011169F">
        <w:rPr>
          <w:rFonts w:ascii="Times New Roman" w:eastAsia="Calibri" w:hAnsi="Times New Roman" w:cs="Times New Roman"/>
          <w:sz w:val="24"/>
          <w:szCs w:val="24"/>
          <w:lang w:val="en-US"/>
        </w:rPr>
        <w:t xml:space="preserve">pplicant applied for an offer letter for the 35 hectares </w:t>
      </w:r>
      <w:r w:rsidR="0018795A">
        <w:rPr>
          <w:rFonts w:ascii="Times New Roman" w:eastAsia="Calibri" w:hAnsi="Times New Roman" w:cs="Times New Roman"/>
          <w:sz w:val="24"/>
          <w:szCs w:val="24"/>
          <w:lang w:val="en-US"/>
        </w:rPr>
        <w:t>that he remained with, and the offer letter was duly issued by the respondent.</w:t>
      </w:r>
      <w:r w:rsidRPr="0011169F">
        <w:rPr>
          <w:rFonts w:ascii="Times New Roman" w:eastAsia="Calibri" w:hAnsi="Times New Roman" w:cs="Times New Roman"/>
          <w:sz w:val="24"/>
          <w:szCs w:val="24"/>
          <w:lang w:val="en-US"/>
        </w:rPr>
        <w:t xml:space="preserve"> In June 2021 the </w:t>
      </w:r>
      <w:r w:rsidR="00DE67CD">
        <w:rPr>
          <w:rFonts w:ascii="Times New Roman" w:eastAsia="Calibri" w:hAnsi="Times New Roman" w:cs="Times New Roman"/>
          <w:sz w:val="24"/>
          <w:szCs w:val="24"/>
          <w:lang w:val="en-US"/>
        </w:rPr>
        <w:t>r</w:t>
      </w:r>
      <w:r w:rsidRPr="0011169F">
        <w:rPr>
          <w:rFonts w:ascii="Times New Roman" w:eastAsia="Calibri" w:hAnsi="Times New Roman" w:cs="Times New Roman"/>
          <w:sz w:val="24"/>
          <w:szCs w:val="24"/>
          <w:lang w:val="en-US"/>
        </w:rPr>
        <w:t xml:space="preserve">espondent wrote to the </w:t>
      </w:r>
      <w:r w:rsidR="00DE67CD">
        <w:rPr>
          <w:rFonts w:ascii="Times New Roman" w:eastAsia="Calibri" w:hAnsi="Times New Roman" w:cs="Times New Roman"/>
          <w:sz w:val="24"/>
          <w:szCs w:val="24"/>
          <w:lang w:val="en-US"/>
        </w:rPr>
        <w:t>a</w:t>
      </w:r>
      <w:r w:rsidRPr="0011169F">
        <w:rPr>
          <w:rFonts w:ascii="Times New Roman" w:eastAsia="Calibri" w:hAnsi="Times New Roman" w:cs="Times New Roman"/>
          <w:sz w:val="24"/>
          <w:szCs w:val="24"/>
          <w:lang w:val="en-US"/>
        </w:rPr>
        <w:t xml:space="preserve">pplicant indicating that he wished to withdraw the offer letter on the grounds that the </w:t>
      </w:r>
      <w:r w:rsidR="00DE67CD">
        <w:rPr>
          <w:rFonts w:ascii="Times New Roman" w:eastAsia="Calibri" w:hAnsi="Times New Roman" w:cs="Times New Roman"/>
          <w:sz w:val="24"/>
          <w:szCs w:val="24"/>
          <w:lang w:val="en-US"/>
        </w:rPr>
        <w:t>a</w:t>
      </w:r>
      <w:r w:rsidRPr="0011169F">
        <w:rPr>
          <w:rFonts w:ascii="Times New Roman" w:eastAsia="Calibri" w:hAnsi="Times New Roman" w:cs="Times New Roman"/>
          <w:sz w:val="24"/>
          <w:szCs w:val="24"/>
          <w:lang w:val="en-US"/>
        </w:rPr>
        <w:t>pplicant had been given land that d</w:t>
      </w:r>
      <w:r w:rsidR="00DE67CD">
        <w:rPr>
          <w:rFonts w:ascii="Times New Roman" w:eastAsia="Calibri" w:hAnsi="Times New Roman" w:cs="Times New Roman"/>
          <w:sz w:val="24"/>
          <w:szCs w:val="24"/>
          <w:lang w:val="en-US"/>
        </w:rPr>
        <w:t xml:space="preserve">id </w:t>
      </w:r>
      <w:r w:rsidRPr="0011169F">
        <w:rPr>
          <w:rFonts w:ascii="Times New Roman" w:eastAsia="Calibri" w:hAnsi="Times New Roman" w:cs="Times New Roman"/>
          <w:sz w:val="24"/>
          <w:szCs w:val="24"/>
          <w:lang w:val="en-US"/>
        </w:rPr>
        <w:t xml:space="preserve">not exist. </w:t>
      </w:r>
      <w:r w:rsidR="00DE67CD">
        <w:rPr>
          <w:rFonts w:ascii="Times New Roman" w:eastAsia="Calibri" w:hAnsi="Times New Roman" w:cs="Times New Roman"/>
          <w:sz w:val="24"/>
          <w:szCs w:val="24"/>
          <w:lang w:val="en-US"/>
        </w:rPr>
        <w:t xml:space="preserve">The applicant </w:t>
      </w:r>
      <w:r w:rsidR="0018795A">
        <w:rPr>
          <w:rFonts w:ascii="Times New Roman" w:eastAsia="Calibri" w:hAnsi="Times New Roman" w:cs="Times New Roman"/>
          <w:sz w:val="24"/>
          <w:szCs w:val="24"/>
          <w:lang w:val="en-US"/>
        </w:rPr>
        <w:t xml:space="preserve">was </w:t>
      </w:r>
      <w:r w:rsidR="00DE67CD">
        <w:rPr>
          <w:rFonts w:ascii="Times New Roman" w:eastAsia="Calibri" w:hAnsi="Times New Roman" w:cs="Times New Roman"/>
          <w:sz w:val="24"/>
          <w:szCs w:val="24"/>
          <w:lang w:val="en-US"/>
        </w:rPr>
        <w:t xml:space="preserve">invited to make representations within seven days of the notice of intention to withdraw the offer letter. The applicant wrote to the respondent </w:t>
      </w:r>
      <w:r w:rsidR="0018795A">
        <w:rPr>
          <w:rFonts w:ascii="Times New Roman" w:eastAsia="Calibri" w:hAnsi="Times New Roman" w:cs="Times New Roman"/>
          <w:sz w:val="24"/>
          <w:szCs w:val="24"/>
          <w:lang w:val="en-US"/>
        </w:rPr>
        <w:t xml:space="preserve">on </w:t>
      </w:r>
      <w:r w:rsidR="00DE67CD">
        <w:rPr>
          <w:rFonts w:ascii="Times New Roman" w:eastAsia="Calibri" w:hAnsi="Times New Roman" w:cs="Times New Roman"/>
          <w:sz w:val="24"/>
          <w:szCs w:val="24"/>
          <w:lang w:val="en-US"/>
        </w:rPr>
        <w:t>15 June 2021</w:t>
      </w:r>
      <w:r w:rsidR="00CE604C">
        <w:rPr>
          <w:rFonts w:ascii="Times New Roman" w:eastAsia="Calibri" w:hAnsi="Times New Roman" w:cs="Times New Roman"/>
          <w:sz w:val="24"/>
          <w:szCs w:val="24"/>
          <w:lang w:val="en-US"/>
        </w:rPr>
        <w:t xml:space="preserve">objecting to the intended withdrawal of the offer letter. </w:t>
      </w:r>
      <w:r w:rsidR="00217D7B">
        <w:rPr>
          <w:rFonts w:ascii="Times New Roman" w:eastAsia="Calibri" w:hAnsi="Times New Roman" w:cs="Times New Roman"/>
          <w:sz w:val="24"/>
          <w:szCs w:val="24"/>
          <w:lang w:val="en-US"/>
        </w:rPr>
        <w:t xml:space="preserve">According to the applicant, his submissions were neither acknowledged nor responded to. On 16 September 2021, the respondent wrote </w:t>
      </w:r>
      <w:r w:rsidR="0018795A">
        <w:rPr>
          <w:rFonts w:ascii="Times New Roman" w:eastAsia="Calibri" w:hAnsi="Times New Roman" w:cs="Times New Roman"/>
          <w:sz w:val="24"/>
          <w:szCs w:val="24"/>
          <w:lang w:val="en-US"/>
        </w:rPr>
        <w:t xml:space="preserve">to </w:t>
      </w:r>
      <w:r w:rsidR="00217D7B">
        <w:rPr>
          <w:rFonts w:ascii="Times New Roman" w:eastAsia="Calibri" w:hAnsi="Times New Roman" w:cs="Times New Roman"/>
          <w:sz w:val="24"/>
          <w:szCs w:val="24"/>
          <w:lang w:val="en-US"/>
        </w:rPr>
        <w:t xml:space="preserve">the applicant notifying him of the “immediate withdrawal” of the offer of the said piece of land. The letter also gave the applicant 30 days within which to wind up all operations at the said farm. </w:t>
      </w:r>
    </w:p>
    <w:p w14:paraId="76C615FC" w14:textId="7DF43B20" w:rsidR="00D64BE9" w:rsidRDefault="0076711F" w:rsidP="007941BA">
      <w:pPr>
        <w:spacing w:after="0" w:line="360" w:lineRule="auto"/>
        <w:ind w:firstLine="720"/>
        <w:jc w:val="both"/>
        <w:rPr>
          <w:rFonts w:ascii="Times New Roman" w:eastAsia="Calibri" w:hAnsi="Times New Roman" w:cs="Times New Roman"/>
          <w:sz w:val="24"/>
          <w:szCs w:val="24"/>
          <w:lang w:val="en-US"/>
        </w:rPr>
      </w:pPr>
      <w:r w:rsidRPr="0011169F">
        <w:rPr>
          <w:rFonts w:ascii="Times New Roman" w:eastAsia="Calibri" w:hAnsi="Times New Roman" w:cs="Times New Roman"/>
          <w:sz w:val="24"/>
          <w:szCs w:val="24"/>
          <w:lang w:val="en-US"/>
        </w:rPr>
        <w:t xml:space="preserve">It </w:t>
      </w:r>
      <w:r w:rsidR="00D64BE9">
        <w:rPr>
          <w:rFonts w:ascii="Times New Roman" w:eastAsia="Calibri" w:hAnsi="Times New Roman" w:cs="Times New Roman"/>
          <w:sz w:val="24"/>
          <w:szCs w:val="24"/>
          <w:lang w:val="en-US"/>
        </w:rPr>
        <w:t>was that decision to withdraw the offer letter that triggered the approach to this court. The applicant contends that the reason given for the withdrawal of the offer letter was vague and defied logic. The respondent could not allege that the farm did not exist when the applicant was in occupation of that very same piece of land.</w:t>
      </w:r>
      <w:r w:rsidRPr="0011169F">
        <w:rPr>
          <w:rFonts w:ascii="Times New Roman" w:eastAsia="Calibri" w:hAnsi="Times New Roman" w:cs="Times New Roman"/>
          <w:sz w:val="24"/>
          <w:szCs w:val="24"/>
          <w:lang w:val="en-US"/>
        </w:rPr>
        <w:t xml:space="preserve"> </w:t>
      </w:r>
      <w:r w:rsidR="00D64BE9">
        <w:rPr>
          <w:rFonts w:ascii="Times New Roman" w:eastAsia="Calibri" w:hAnsi="Times New Roman" w:cs="Times New Roman"/>
          <w:sz w:val="24"/>
          <w:szCs w:val="24"/>
          <w:lang w:val="en-US"/>
        </w:rPr>
        <w:t xml:space="preserve">The applicant also averred that the respondent’s decision flied in the face of the hallowed principles of natural justice which require that a party against whom an adverse decision is to be made has a right to be heard before that decision is taken. The applicant also averred that </w:t>
      </w:r>
      <w:r w:rsidR="00C95D19">
        <w:rPr>
          <w:rFonts w:ascii="Times New Roman" w:eastAsia="Calibri" w:hAnsi="Times New Roman" w:cs="Times New Roman"/>
          <w:sz w:val="24"/>
          <w:szCs w:val="24"/>
          <w:lang w:val="en-US"/>
        </w:rPr>
        <w:t>he was carrying out</w:t>
      </w:r>
      <w:r w:rsidR="00D64BE9">
        <w:rPr>
          <w:rFonts w:ascii="Times New Roman" w:eastAsia="Calibri" w:hAnsi="Times New Roman" w:cs="Times New Roman"/>
          <w:sz w:val="24"/>
          <w:szCs w:val="24"/>
          <w:lang w:val="en-US"/>
        </w:rPr>
        <w:t xml:space="preserve"> commercially viable oper</w:t>
      </w:r>
      <w:r w:rsidR="00C95D19">
        <w:rPr>
          <w:rFonts w:ascii="Times New Roman" w:eastAsia="Calibri" w:hAnsi="Times New Roman" w:cs="Times New Roman"/>
          <w:sz w:val="24"/>
          <w:szCs w:val="24"/>
          <w:lang w:val="en-US"/>
        </w:rPr>
        <w:t xml:space="preserve">ations on the farm even before its compulsory acquisition. That position had not changed to this date. </w:t>
      </w:r>
    </w:p>
    <w:p w14:paraId="5B4194BF" w14:textId="307B7CBB" w:rsidR="00C95D19" w:rsidRDefault="00C95D19" w:rsidP="007941BA">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The grounds for review were summarized as follows. The respondent’s decision was grossly irregular in that no sufficient reasons were given for the withdrawal of the offer letter. The respondent did not produce a survey diagram to confirm the non-existence of the piece of land that the same authority had offered to the applicant. The applicant is the custodian of agricultural land and all records pertaining to farming land in Zimbabwe. The respondent’s decision was therefore a nullity as it contravened principles of natural justice and the Constitution.  </w:t>
      </w:r>
    </w:p>
    <w:p w14:paraId="3DCD05BD" w14:textId="5CB33FDF" w:rsidR="003F5193" w:rsidRPr="003F5193" w:rsidRDefault="003F5193" w:rsidP="003F5193">
      <w:pPr>
        <w:spacing w:after="0" w:line="360" w:lineRule="auto"/>
        <w:jc w:val="both"/>
        <w:rPr>
          <w:rFonts w:ascii="Times New Roman" w:eastAsia="Calibri" w:hAnsi="Times New Roman" w:cs="Times New Roman"/>
          <w:b/>
          <w:sz w:val="24"/>
          <w:szCs w:val="24"/>
          <w:lang w:val="en-US"/>
        </w:rPr>
      </w:pPr>
      <w:r w:rsidRPr="003F5193">
        <w:rPr>
          <w:rFonts w:ascii="Times New Roman" w:eastAsia="Calibri" w:hAnsi="Times New Roman" w:cs="Times New Roman"/>
          <w:b/>
          <w:sz w:val="24"/>
          <w:szCs w:val="24"/>
          <w:lang w:val="en-US"/>
        </w:rPr>
        <w:t xml:space="preserve">The Respondent’s Case </w:t>
      </w:r>
    </w:p>
    <w:p w14:paraId="6124C026" w14:textId="6EC8D932" w:rsidR="0076711F" w:rsidRDefault="0076711F" w:rsidP="007941BA">
      <w:pPr>
        <w:spacing w:after="0" w:line="360" w:lineRule="auto"/>
        <w:ind w:firstLine="720"/>
        <w:jc w:val="both"/>
        <w:rPr>
          <w:rFonts w:ascii="Times New Roman" w:eastAsia="Calibri" w:hAnsi="Times New Roman" w:cs="Times New Roman"/>
          <w:sz w:val="24"/>
          <w:szCs w:val="24"/>
          <w:lang w:val="en-US"/>
        </w:rPr>
      </w:pPr>
      <w:r w:rsidRPr="0011169F">
        <w:rPr>
          <w:rFonts w:ascii="Times New Roman" w:eastAsia="Calibri" w:hAnsi="Times New Roman" w:cs="Times New Roman"/>
          <w:sz w:val="24"/>
          <w:szCs w:val="24"/>
          <w:lang w:val="en-US"/>
        </w:rPr>
        <w:t xml:space="preserve">The </w:t>
      </w:r>
      <w:r w:rsidR="003F5193">
        <w:rPr>
          <w:rFonts w:ascii="Times New Roman" w:eastAsia="Calibri" w:hAnsi="Times New Roman" w:cs="Times New Roman"/>
          <w:sz w:val="24"/>
          <w:szCs w:val="24"/>
          <w:lang w:val="en-US"/>
        </w:rPr>
        <w:t xml:space="preserve">nub of the respondent’s opposition was that </w:t>
      </w:r>
      <w:r w:rsidRPr="0011169F">
        <w:rPr>
          <w:rFonts w:ascii="Times New Roman" w:eastAsia="Calibri" w:hAnsi="Times New Roman" w:cs="Times New Roman"/>
          <w:sz w:val="24"/>
          <w:szCs w:val="24"/>
          <w:lang w:val="en-US"/>
        </w:rPr>
        <w:t xml:space="preserve">the offer letter had been issued in error as there </w:t>
      </w:r>
      <w:r w:rsidR="003F5193">
        <w:rPr>
          <w:rFonts w:ascii="Times New Roman" w:eastAsia="Calibri" w:hAnsi="Times New Roman" w:cs="Times New Roman"/>
          <w:sz w:val="24"/>
          <w:szCs w:val="24"/>
          <w:lang w:val="en-US"/>
        </w:rPr>
        <w:t xml:space="preserve">was </w:t>
      </w:r>
      <w:r w:rsidRPr="0011169F">
        <w:rPr>
          <w:rFonts w:ascii="Times New Roman" w:eastAsia="Calibri" w:hAnsi="Times New Roman" w:cs="Times New Roman"/>
          <w:sz w:val="24"/>
          <w:szCs w:val="24"/>
          <w:lang w:val="en-US"/>
        </w:rPr>
        <w:t xml:space="preserve">no such farm called </w:t>
      </w:r>
      <w:r w:rsidRPr="003F5193">
        <w:rPr>
          <w:rFonts w:ascii="Times New Roman" w:eastAsia="Calibri" w:hAnsi="Times New Roman" w:cs="Times New Roman"/>
          <w:i/>
          <w:sz w:val="24"/>
          <w:szCs w:val="24"/>
          <w:lang w:val="en-US"/>
        </w:rPr>
        <w:t>‘</w:t>
      </w:r>
      <w:r w:rsidR="003F5193" w:rsidRPr="003F5193">
        <w:rPr>
          <w:rFonts w:ascii="Times New Roman" w:eastAsia="Calibri" w:hAnsi="Times New Roman" w:cs="Times New Roman"/>
          <w:i/>
          <w:sz w:val="24"/>
          <w:szCs w:val="24"/>
          <w:lang w:val="en-US"/>
        </w:rPr>
        <w:t xml:space="preserve">the </w:t>
      </w:r>
      <w:r w:rsidRPr="003F5193">
        <w:rPr>
          <w:rFonts w:ascii="Times New Roman" w:eastAsia="Calibri" w:hAnsi="Times New Roman" w:cs="Times New Roman"/>
          <w:i/>
          <w:sz w:val="24"/>
          <w:szCs w:val="24"/>
          <w:lang w:val="en-US"/>
        </w:rPr>
        <w:t xml:space="preserve">remaining extent of </w:t>
      </w:r>
      <w:r w:rsidR="003F5193" w:rsidRPr="003F5193">
        <w:rPr>
          <w:rFonts w:ascii="Times New Roman" w:eastAsia="Calibri" w:hAnsi="Times New Roman" w:cs="Times New Roman"/>
          <w:i/>
          <w:sz w:val="24"/>
          <w:szCs w:val="24"/>
          <w:lang w:val="en-US"/>
        </w:rPr>
        <w:t xml:space="preserve">the </w:t>
      </w:r>
      <w:r w:rsidRPr="003F5193">
        <w:rPr>
          <w:rFonts w:ascii="Times New Roman" w:eastAsia="Calibri" w:hAnsi="Times New Roman" w:cs="Times New Roman"/>
          <w:i/>
          <w:sz w:val="24"/>
          <w:szCs w:val="24"/>
          <w:lang w:val="en-US"/>
        </w:rPr>
        <w:t>Glebe</w:t>
      </w:r>
      <w:r w:rsidR="003F5193" w:rsidRPr="003F5193">
        <w:rPr>
          <w:rFonts w:ascii="Times New Roman" w:eastAsia="Calibri" w:hAnsi="Times New Roman" w:cs="Times New Roman"/>
          <w:i/>
          <w:sz w:val="24"/>
          <w:szCs w:val="24"/>
          <w:lang w:val="en-US"/>
        </w:rPr>
        <w:t>’</w:t>
      </w:r>
      <w:r w:rsidRPr="0011169F">
        <w:rPr>
          <w:rFonts w:ascii="Times New Roman" w:eastAsia="Calibri" w:hAnsi="Times New Roman" w:cs="Times New Roman"/>
          <w:sz w:val="24"/>
          <w:szCs w:val="24"/>
          <w:lang w:val="en-US"/>
        </w:rPr>
        <w:t xml:space="preserve">. The </w:t>
      </w:r>
      <w:r w:rsidR="003F5193">
        <w:rPr>
          <w:rFonts w:ascii="Times New Roman" w:eastAsia="Calibri" w:hAnsi="Times New Roman" w:cs="Times New Roman"/>
          <w:sz w:val="24"/>
          <w:szCs w:val="24"/>
          <w:lang w:val="en-US"/>
        </w:rPr>
        <w:t>Glebe farm was divided into 18 subdivisions, all of which were allocated to beneficiaries. The farm in question was already occupied by farmers who were holders of offer letters. The applicant’s offer letter was issued in respect of a non-existent property.</w:t>
      </w:r>
      <w:r w:rsidRPr="0011169F">
        <w:rPr>
          <w:rFonts w:ascii="Times New Roman" w:eastAsia="Calibri" w:hAnsi="Times New Roman" w:cs="Times New Roman"/>
          <w:sz w:val="24"/>
          <w:szCs w:val="24"/>
          <w:lang w:val="en-US"/>
        </w:rPr>
        <w:t xml:space="preserve"> </w:t>
      </w:r>
      <w:r w:rsidR="00A82592">
        <w:rPr>
          <w:rFonts w:ascii="Times New Roman" w:eastAsia="Calibri" w:hAnsi="Times New Roman" w:cs="Times New Roman"/>
          <w:sz w:val="24"/>
          <w:szCs w:val="24"/>
          <w:lang w:val="en-US"/>
        </w:rPr>
        <w:t xml:space="preserve">The respondent also averred that he could not provide a map </w:t>
      </w:r>
      <w:r w:rsidR="00525432">
        <w:rPr>
          <w:rFonts w:ascii="Times New Roman" w:eastAsia="Calibri" w:hAnsi="Times New Roman" w:cs="Times New Roman"/>
          <w:sz w:val="24"/>
          <w:szCs w:val="24"/>
          <w:lang w:val="en-US"/>
        </w:rPr>
        <w:t xml:space="preserve">in respect of </w:t>
      </w:r>
      <w:r w:rsidR="00A82592">
        <w:rPr>
          <w:rFonts w:ascii="Times New Roman" w:eastAsia="Calibri" w:hAnsi="Times New Roman" w:cs="Times New Roman"/>
          <w:sz w:val="24"/>
          <w:szCs w:val="24"/>
          <w:lang w:val="en-US"/>
        </w:rPr>
        <w:t xml:space="preserve">a non-existent farm. The error made in the allocation of a non-existent farm could only be regularized by the withdrawal of the irregular offer letter. The withdrawal of the offer letter was therefore above board. </w:t>
      </w:r>
    </w:p>
    <w:p w14:paraId="37CE8613" w14:textId="5E8E405B" w:rsidR="00A82592" w:rsidRPr="00A82592" w:rsidRDefault="00A82592" w:rsidP="00A82592">
      <w:pPr>
        <w:spacing w:after="0" w:line="360" w:lineRule="auto"/>
        <w:jc w:val="both"/>
        <w:rPr>
          <w:rFonts w:ascii="Times New Roman" w:eastAsia="Calibri" w:hAnsi="Times New Roman" w:cs="Times New Roman"/>
          <w:b/>
          <w:sz w:val="24"/>
          <w:szCs w:val="24"/>
          <w:lang w:val="en-US"/>
        </w:rPr>
      </w:pPr>
      <w:r w:rsidRPr="00A82592">
        <w:rPr>
          <w:rFonts w:ascii="Times New Roman" w:eastAsia="Calibri" w:hAnsi="Times New Roman" w:cs="Times New Roman"/>
          <w:b/>
          <w:sz w:val="24"/>
          <w:szCs w:val="24"/>
          <w:lang w:val="en-US"/>
        </w:rPr>
        <w:t xml:space="preserve">The </w:t>
      </w:r>
      <w:r w:rsidR="00B1241D">
        <w:rPr>
          <w:rFonts w:ascii="Times New Roman" w:eastAsia="Calibri" w:hAnsi="Times New Roman" w:cs="Times New Roman"/>
          <w:b/>
          <w:sz w:val="24"/>
          <w:szCs w:val="24"/>
          <w:lang w:val="en-US"/>
        </w:rPr>
        <w:t>H</w:t>
      </w:r>
      <w:r w:rsidRPr="00A82592">
        <w:rPr>
          <w:rFonts w:ascii="Times New Roman" w:eastAsia="Calibri" w:hAnsi="Times New Roman" w:cs="Times New Roman"/>
          <w:b/>
          <w:sz w:val="24"/>
          <w:szCs w:val="24"/>
          <w:lang w:val="en-US"/>
        </w:rPr>
        <w:t xml:space="preserve">earing </w:t>
      </w:r>
    </w:p>
    <w:p w14:paraId="59EC6006" w14:textId="33651BA5" w:rsidR="0076711F" w:rsidRDefault="00A82592" w:rsidP="00A82592">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When the parties appeared before the court on the day of the hearing </w:t>
      </w:r>
      <w:r w:rsidR="0076711F" w:rsidRPr="00B14A8C">
        <w:rPr>
          <w:rFonts w:ascii="Times New Roman" w:eastAsia="Calibri" w:hAnsi="Times New Roman" w:cs="Times New Roman"/>
          <w:sz w:val="24"/>
          <w:szCs w:val="24"/>
          <w:lang w:val="en-US"/>
        </w:rPr>
        <w:t xml:space="preserve">Ms </w:t>
      </w:r>
      <w:r w:rsidR="0076711F" w:rsidRPr="00A82592">
        <w:rPr>
          <w:rFonts w:ascii="Times New Roman" w:eastAsia="Calibri" w:hAnsi="Times New Roman" w:cs="Times New Roman"/>
          <w:i/>
          <w:sz w:val="24"/>
          <w:szCs w:val="24"/>
          <w:lang w:val="en-US"/>
        </w:rPr>
        <w:t>Dzumbunu</w:t>
      </w:r>
      <w:r w:rsidR="0076711F" w:rsidRPr="00B14A8C">
        <w:rPr>
          <w:rFonts w:ascii="Times New Roman" w:eastAsia="Calibri" w:hAnsi="Times New Roman" w:cs="Times New Roman"/>
          <w:sz w:val="24"/>
          <w:szCs w:val="24"/>
          <w:lang w:val="en-US"/>
        </w:rPr>
        <w:t xml:space="preserve"> rose to her feet and</w:t>
      </w:r>
      <w:r>
        <w:rPr>
          <w:rFonts w:ascii="Times New Roman" w:eastAsia="Calibri" w:hAnsi="Times New Roman" w:cs="Times New Roman"/>
          <w:sz w:val="24"/>
          <w:szCs w:val="24"/>
          <w:lang w:val="en-US"/>
        </w:rPr>
        <w:t xml:space="preserve"> submitted that </w:t>
      </w:r>
      <w:r w:rsidR="0076711F" w:rsidRPr="00B14A8C">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r</w:t>
      </w:r>
      <w:r w:rsidR="0076711F" w:rsidRPr="00B14A8C">
        <w:rPr>
          <w:rFonts w:ascii="Times New Roman" w:eastAsia="Calibri" w:hAnsi="Times New Roman" w:cs="Times New Roman"/>
          <w:sz w:val="24"/>
          <w:szCs w:val="24"/>
          <w:lang w:val="en-US"/>
        </w:rPr>
        <w:t xml:space="preserve">espondent </w:t>
      </w:r>
      <w:r>
        <w:rPr>
          <w:rFonts w:ascii="Times New Roman" w:eastAsia="Calibri" w:hAnsi="Times New Roman" w:cs="Times New Roman"/>
          <w:sz w:val="24"/>
          <w:szCs w:val="24"/>
          <w:lang w:val="en-US"/>
        </w:rPr>
        <w:t>had no right of audience since he was barred for reasons stated earlier in the judgment. It was at that point that</w:t>
      </w:r>
      <w:r w:rsidR="0076711F" w:rsidRPr="00B14A8C">
        <w:rPr>
          <w:rFonts w:ascii="Times New Roman" w:eastAsia="Calibri" w:hAnsi="Times New Roman" w:cs="Times New Roman"/>
          <w:sz w:val="24"/>
          <w:szCs w:val="24"/>
          <w:lang w:val="en-US"/>
        </w:rPr>
        <w:t xml:space="preserve"> Ms </w:t>
      </w:r>
      <w:r w:rsidR="0076711F" w:rsidRPr="00A82592">
        <w:rPr>
          <w:rFonts w:ascii="Times New Roman" w:eastAsia="Calibri" w:hAnsi="Times New Roman" w:cs="Times New Roman"/>
          <w:i/>
          <w:sz w:val="24"/>
          <w:szCs w:val="24"/>
          <w:lang w:val="en-US"/>
        </w:rPr>
        <w:t>Chiro</w:t>
      </w:r>
      <w:r w:rsidR="0076711F" w:rsidRPr="00B14A8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applied for the uplift</w:t>
      </w:r>
      <w:r w:rsidR="00525432">
        <w:rPr>
          <w:rFonts w:ascii="Times New Roman" w:eastAsia="Calibri" w:hAnsi="Times New Roman" w:cs="Times New Roman"/>
          <w:sz w:val="24"/>
          <w:szCs w:val="24"/>
          <w:lang w:val="en-US"/>
        </w:rPr>
        <w:t xml:space="preserve">ing </w:t>
      </w:r>
      <w:r>
        <w:rPr>
          <w:rFonts w:ascii="Times New Roman" w:eastAsia="Calibri" w:hAnsi="Times New Roman" w:cs="Times New Roman"/>
          <w:sz w:val="24"/>
          <w:szCs w:val="24"/>
          <w:lang w:val="en-US"/>
        </w:rPr>
        <w:t xml:space="preserve">of the double bar. She made concessions following exchanges with the court. Those concessions culminated in the granting of the said order. </w:t>
      </w:r>
    </w:p>
    <w:p w14:paraId="4B26F214" w14:textId="0BD98976" w:rsidR="00A82592" w:rsidRPr="00A82592" w:rsidRDefault="00A82592" w:rsidP="00A82592">
      <w:pPr>
        <w:spacing w:after="0" w:line="360" w:lineRule="auto"/>
        <w:jc w:val="both"/>
        <w:rPr>
          <w:rFonts w:ascii="Times New Roman" w:eastAsia="Calibri" w:hAnsi="Times New Roman" w:cs="Times New Roman"/>
          <w:b/>
          <w:sz w:val="24"/>
          <w:szCs w:val="24"/>
          <w:lang w:val="en-US"/>
        </w:rPr>
      </w:pPr>
      <w:r w:rsidRPr="00A82592">
        <w:rPr>
          <w:rFonts w:ascii="Times New Roman" w:eastAsia="Calibri" w:hAnsi="Times New Roman" w:cs="Times New Roman"/>
          <w:b/>
          <w:sz w:val="24"/>
          <w:szCs w:val="24"/>
          <w:lang w:val="en-US"/>
        </w:rPr>
        <w:t xml:space="preserve">The </w:t>
      </w:r>
      <w:r w:rsidR="00B1241D">
        <w:rPr>
          <w:rFonts w:ascii="Times New Roman" w:eastAsia="Calibri" w:hAnsi="Times New Roman" w:cs="Times New Roman"/>
          <w:b/>
          <w:sz w:val="24"/>
          <w:szCs w:val="24"/>
          <w:lang w:val="en-US"/>
        </w:rPr>
        <w:t>B</w:t>
      </w:r>
      <w:r w:rsidRPr="00A82592">
        <w:rPr>
          <w:rFonts w:ascii="Times New Roman" w:eastAsia="Calibri" w:hAnsi="Times New Roman" w:cs="Times New Roman"/>
          <w:b/>
          <w:sz w:val="24"/>
          <w:szCs w:val="24"/>
          <w:lang w:val="en-US"/>
        </w:rPr>
        <w:t xml:space="preserve">rief </w:t>
      </w:r>
      <w:r w:rsidR="00B1241D">
        <w:rPr>
          <w:rFonts w:ascii="Times New Roman" w:eastAsia="Calibri" w:hAnsi="Times New Roman" w:cs="Times New Roman"/>
          <w:b/>
          <w:sz w:val="24"/>
          <w:szCs w:val="24"/>
          <w:lang w:val="en-US"/>
        </w:rPr>
        <w:t>A</w:t>
      </w:r>
      <w:r w:rsidRPr="00A82592">
        <w:rPr>
          <w:rFonts w:ascii="Times New Roman" w:eastAsia="Calibri" w:hAnsi="Times New Roman" w:cs="Times New Roman"/>
          <w:b/>
          <w:sz w:val="24"/>
          <w:szCs w:val="24"/>
          <w:lang w:val="en-US"/>
        </w:rPr>
        <w:t xml:space="preserve">nalysis </w:t>
      </w:r>
    </w:p>
    <w:p w14:paraId="54ABFC38" w14:textId="6720DB52" w:rsidR="004679C3" w:rsidRDefault="0076711F" w:rsidP="00A82592">
      <w:pPr>
        <w:spacing w:after="0" w:line="360" w:lineRule="auto"/>
        <w:ind w:firstLine="720"/>
        <w:jc w:val="both"/>
        <w:rPr>
          <w:rFonts w:ascii="Times New Roman" w:eastAsia="Calibri" w:hAnsi="Times New Roman" w:cs="Times New Roman"/>
          <w:sz w:val="24"/>
          <w:szCs w:val="24"/>
          <w:lang w:val="en-US"/>
        </w:rPr>
      </w:pPr>
      <w:r w:rsidRPr="00B14A8C">
        <w:rPr>
          <w:rFonts w:ascii="Times New Roman" w:eastAsia="Calibri" w:hAnsi="Times New Roman" w:cs="Times New Roman"/>
          <w:sz w:val="24"/>
          <w:szCs w:val="24"/>
          <w:lang w:val="en-US"/>
        </w:rPr>
        <w:t xml:space="preserve">The respondent </w:t>
      </w:r>
      <w:r w:rsidR="00A82592">
        <w:rPr>
          <w:rFonts w:ascii="Times New Roman" w:eastAsia="Calibri" w:hAnsi="Times New Roman" w:cs="Times New Roman"/>
          <w:sz w:val="24"/>
          <w:szCs w:val="24"/>
          <w:lang w:val="en-US"/>
        </w:rPr>
        <w:t xml:space="preserve">stands </w:t>
      </w:r>
      <w:r w:rsidRPr="00B14A8C">
        <w:rPr>
          <w:rFonts w:ascii="Times New Roman" w:eastAsia="Calibri" w:hAnsi="Times New Roman" w:cs="Times New Roman"/>
          <w:sz w:val="24"/>
          <w:szCs w:val="24"/>
          <w:lang w:val="en-US"/>
        </w:rPr>
        <w:t>barred from these proceedings</w:t>
      </w:r>
      <w:r w:rsidR="00A82592">
        <w:rPr>
          <w:rFonts w:ascii="Times New Roman" w:eastAsia="Calibri" w:hAnsi="Times New Roman" w:cs="Times New Roman"/>
          <w:sz w:val="24"/>
          <w:szCs w:val="24"/>
          <w:lang w:val="en-US"/>
        </w:rPr>
        <w:t xml:space="preserve"> for reasons alluded to earlier</w:t>
      </w:r>
      <w:r w:rsidRPr="00B14A8C">
        <w:rPr>
          <w:rFonts w:ascii="Times New Roman" w:eastAsia="Calibri" w:hAnsi="Times New Roman" w:cs="Times New Roman"/>
          <w:sz w:val="24"/>
          <w:szCs w:val="24"/>
          <w:lang w:val="en-US"/>
        </w:rPr>
        <w:t xml:space="preserve">. </w:t>
      </w:r>
      <w:r w:rsidR="00B1241D">
        <w:rPr>
          <w:rFonts w:ascii="Times New Roman" w:eastAsia="Calibri" w:hAnsi="Times New Roman" w:cs="Times New Roman"/>
          <w:sz w:val="24"/>
          <w:szCs w:val="24"/>
          <w:lang w:val="en-US"/>
        </w:rPr>
        <w:t xml:space="preserve"> </w:t>
      </w:r>
      <w:r w:rsidRPr="00B14A8C">
        <w:rPr>
          <w:rFonts w:ascii="Times New Roman" w:eastAsia="Calibri" w:hAnsi="Times New Roman" w:cs="Times New Roman"/>
          <w:sz w:val="24"/>
          <w:szCs w:val="24"/>
          <w:lang w:val="en-US"/>
        </w:rPr>
        <w:t xml:space="preserve">Not once but twice. </w:t>
      </w:r>
      <w:r w:rsidR="00A82592">
        <w:rPr>
          <w:rFonts w:ascii="Times New Roman" w:eastAsia="Calibri" w:hAnsi="Times New Roman" w:cs="Times New Roman"/>
          <w:sz w:val="24"/>
          <w:szCs w:val="24"/>
          <w:lang w:val="en-US"/>
        </w:rPr>
        <w:t xml:space="preserve">In his </w:t>
      </w:r>
      <w:r w:rsidRPr="00B14A8C">
        <w:rPr>
          <w:rFonts w:ascii="Times New Roman" w:eastAsia="Calibri" w:hAnsi="Times New Roman" w:cs="Times New Roman"/>
          <w:sz w:val="24"/>
          <w:szCs w:val="24"/>
          <w:lang w:val="en-US"/>
        </w:rPr>
        <w:t>answering affidavit</w:t>
      </w:r>
      <w:r w:rsidR="004679C3">
        <w:rPr>
          <w:rFonts w:ascii="Times New Roman" w:eastAsia="Calibri" w:hAnsi="Times New Roman" w:cs="Times New Roman"/>
          <w:sz w:val="24"/>
          <w:szCs w:val="24"/>
          <w:lang w:val="en-US"/>
        </w:rPr>
        <w:t xml:space="preserve">, the applicant forewarned the respondent that he was in breach of the </w:t>
      </w:r>
      <w:r w:rsidR="00D7159F">
        <w:rPr>
          <w:rFonts w:ascii="Times New Roman" w:eastAsia="Calibri" w:hAnsi="Times New Roman" w:cs="Times New Roman"/>
          <w:sz w:val="24"/>
          <w:szCs w:val="24"/>
          <w:lang w:val="en-US"/>
        </w:rPr>
        <w:t>r</w:t>
      </w:r>
      <w:r w:rsidR="004679C3">
        <w:rPr>
          <w:rFonts w:ascii="Times New Roman" w:eastAsia="Calibri" w:hAnsi="Times New Roman" w:cs="Times New Roman"/>
          <w:sz w:val="24"/>
          <w:szCs w:val="24"/>
          <w:lang w:val="en-US"/>
        </w:rPr>
        <w:t xml:space="preserve">ules. The respondent did nothing </w:t>
      </w:r>
      <w:r w:rsidRPr="00B14A8C">
        <w:rPr>
          <w:rFonts w:ascii="Times New Roman" w:eastAsia="Calibri" w:hAnsi="Times New Roman" w:cs="Times New Roman"/>
          <w:sz w:val="24"/>
          <w:szCs w:val="24"/>
          <w:lang w:val="en-US"/>
        </w:rPr>
        <w:t>to regularize th</w:t>
      </w:r>
      <w:r w:rsidR="004679C3">
        <w:rPr>
          <w:rFonts w:ascii="Times New Roman" w:eastAsia="Calibri" w:hAnsi="Times New Roman" w:cs="Times New Roman"/>
          <w:sz w:val="24"/>
          <w:szCs w:val="24"/>
          <w:lang w:val="en-US"/>
        </w:rPr>
        <w:t>at anomaly up to the point of</w:t>
      </w:r>
      <w:r w:rsidR="00525432">
        <w:rPr>
          <w:rFonts w:ascii="Times New Roman" w:eastAsia="Calibri" w:hAnsi="Times New Roman" w:cs="Times New Roman"/>
          <w:sz w:val="24"/>
          <w:szCs w:val="24"/>
          <w:lang w:val="en-US"/>
        </w:rPr>
        <w:t xml:space="preserve"> the</w:t>
      </w:r>
      <w:r w:rsidR="004679C3">
        <w:rPr>
          <w:rFonts w:ascii="Times New Roman" w:eastAsia="Calibri" w:hAnsi="Times New Roman" w:cs="Times New Roman"/>
          <w:sz w:val="24"/>
          <w:szCs w:val="24"/>
          <w:lang w:val="en-US"/>
        </w:rPr>
        <w:t xml:space="preserve"> hearing. The respondent further violated the </w:t>
      </w:r>
      <w:r w:rsidR="00D7159F">
        <w:rPr>
          <w:rFonts w:ascii="Times New Roman" w:eastAsia="Calibri" w:hAnsi="Times New Roman" w:cs="Times New Roman"/>
          <w:sz w:val="24"/>
          <w:szCs w:val="24"/>
          <w:lang w:val="en-US"/>
        </w:rPr>
        <w:t>r</w:t>
      </w:r>
      <w:r w:rsidR="004679C3">
        <w:rPr>
          <w:rFonts w:ascii="Times New Roman" w:eastAsia="Calibri" w:hAnsi="Times New Roman" w:cs="Times New Roman"/>
          <w:sz w:val="24"/>
          <w:szCs w:val="24"/>
          <w:lang w:val="en-US"/>
        </w:rPr>
        <w:t xml:space="preserve">ules by failing to file heads of argument. </w:t>
      </w:r>
      <w:r w:rsidRPr="00B14A8C">
        <w:rPr>
          <w:rFonts w:ascii="Times New Roman" w:eastAsia="Calibri" w:hAnsi="Times New Roman" w:cs="Times New Roman"/>
          <w:sz w:val="24"/>
          <w:szCs w:val="24"/>
          <w:lang w:val="en-US"/>
        </w:rPr>
        <w:t>Even on the day of the hearing</w:t>
      </w:r>
      <w:r w:rsidR="004679C3">
        <w:rPr>
          <w:rFonts w:ascii="Times New Roman" w:eastAsia="Calibri" w:hAnsi="Times New Roman" w:cs="Times New Roman"/>
          <w:sz w:val="24"/>
          <w:szCs w:val="24"/>
          <w:lang w:val="en-US"/>
        </w:rPr>
        <w:t xml:space="preserve">, the respondent’s counsel did not have a draft copy of the heads that would have been placed before the court had the application for the </w:t>
      </w:r>
      <w:r w:rsidR="00525432">
        <w:rPr>
          <w:rFonts w:ascii="Times New Roman" w:eastAsia="Calibri" w:hAnsi="Times New Roman" w:cs="Times New Roman"/>
          <w:sz w:val="24"/>
          <w:szCs w:val="24"/>
          <w:lang w:val="en-US"/>
        </w:rPr>
        <w:t xml:space="preserve">removal </w:t>
      </w:r>
      <w:r w:rsidR="004679C3">
        <w:rPr>
          <w:rFonts w:ascii="Times New Roman" w:eastAsia="Calibri" w:hAnsi="Times New Roman" w:cs="Times New Roman"/>
          <w:sz w:val="24"/>
          <w:szCs w:val="24"/>
          <w:lang w:val="en-US"/>
        </w:rPr>
        <w:t xml:space="preserve">of the double bar been successful. </w:t>
      </w:r>
    </w:p>
    <w:p w14:paraId="5C2CA76F" w14:textId="52350B25" w:rsidR="0076711F" w:rsidRPr="00B14A8C" w:rsidRDefault="004679C3" w:rsidP="00A82592">
      <w:pPr>
        <w:spacing w:after="0" w:line="360" w:lineRule="auto"/>
        <w:ind w:firstLine="720"/>
        <w:jc w:val="both"/>
        <w:rPr>
          <w:rFonts w:ascii="Times New Roman" w:hAnsi="Times New Roman" w:cs="Times New Roman"/>
          <w:i/>
          <w:sz w:val="24"/>
          <w:szCs w:val="24"/>
        </w:rPr>
      </w:pPr>
      <w:r>
        <w:rPr>
          <w:rFonts w:ascii="Times New Roman" w:eastAsia="Calibri" w:hAnsi="Times New Roman" w:cs="Times New Roman"/>
          <w:sz w:val="24"/>
          <w:szCs w:val="24"/>
          <w:lang w:val="en-US"/>
        </w:rPr>
        <w:t xml:space="preserve">The </w:t>
      </w:r>
      <w:r w:rsidR="00D7159F">
        <w:rPr>
          <w:rFonts w:ascii="Times New Roman" w:eastAsia="Calibri" w:hAnsi="Times New Roman" w:cs="Times New Roman"/>
          <w:sz w:val="24"/>
          <w:szCs w:val="24"/>
          <w:lang w:val="en-US"/>
        </w:rPr>
        <w:t>r</w:t>
      </w:r>
      <w:r>
        <w:rPr>
          <w:rFonts w:ascii="Times New Roman" w:eastAsia="Calibri" w:hAnsi="Times New Roman" w:cs="Times New Roman"/>
          <w:sz w:val="24"/>
          <w:szCs w:val="24"/>
          <w:lang w:val="en-US"/>
        </w:rPr>
        <w:t xml:space="preserve">ules are clear that once a party is barred, they have no right of audience before the court until that bar is removed. </w:t>
      </w:r>
      <w:r w:rsidR="0076711F" w:rsidRPr="00B14A8C">
        <w:rPr>
          <w:rFonts w:ascii="Times New Roman" w:eastAsia="Calibri" w:hAnsi="Times New Roman" w:cs="Times New Roman"/>
          <w:sz w:val="24"/>
          <w:szCs w:val="24"/>
          <w:lang w:val="en-US"/>
        </w:rPr>
        <w:t xml:space="preserve">While an oral application is permissible in terms of the rules, </w:t>
      </w:r>
      <w:r w:rsidR="0076711F" w:rsidRPr="00B14A8C">
        <w:rPr>
          <w:rFonts w:ascii="Times New Roman" w:eastAsia="Calibri" w:hAnsi="Times New Roman" w:cs="Times New Roman"/>
          <w:sz w:val="24"/>
          <w:szCs w:val="24"/>
          <w:lang w:val="en-US"/>
        </w:rPr>
        <w:lastRenderedPageBreak/>
        <w:t xml:space="preserve">the preference of the Courts is that </w:t>
      </w:r>
      <w:r>
        <w:rPr>
          <w:rFonts w:ascii="Times New Roman" w:eastAsia="Calibri" w:hAnsi="Times New Roman" w:cs="Times New Roman"/>
          <w:sz w:val="24"/>
          <w:szCs w:val="24"/>
          <w:lang w:val="en-US"/>
        </w:rPr>
        <w:t xml:space="preserve">such </w:t>
      </w:r>
      <w:r w:rsidR="0076711F" w:rsidRPr="00B14A8C">
        <w:rPr>
          <w:rFonts w:ascii="Times New Roman" w:eastAsia="Calibri" w:hAnsi="Times New Roman" w:cs="Times New Roman"/>
          <w:sz w:val="24"/>
          <w:szCs w:val="24"/>
          <w:lang w:val="en-US"/>
        </w:rPr>
        <w:t xml:space="preserve">applications be </w:t>
      </w:r>
      <w:r>
        <w:rPr>
          <w:rFonts w:ascii="Times New Roman" w:eastAsia="Calibri" w:hAnsi="Times New Roman" w:cs="Times New Roman"/>
          <w:sz w:val="24"/>
          <w:szCs w:val="24"/>
          <w:lang w:val="en-US"/>
        </w:rPr>
        <w:t>in writing</w:t>
      </w:r>
      <w:r w:rsidR="0076711F" w:rsidRPr="00B14A8C">
        <w:rPr>
          <w:rStyle w:val="FootnoteReference"/>
          <w:rFonts w:ascii="Times New Roman" w:eastAsia="Calibri" w:hAnsi="Times New Roman" w:cs="Times New Roman"/>
          <w:sz w:val="24"/>
          <w:szCs w:val="24"/>
          <w:lang w:val="en-US"/>
        </w:rPr>
        <w:footnoteReference w:id="1"/>
      </w:r>
      <w:r>
        <w:rPr>
          <w:rFonts w:ascii="Times New Roman" w:eastAsia="Calibri" w:hAnsi="Times New Roman" w:cs="Times New Roman"/>
          <w:sz w:val="24"/>
          <w:szCs w:val="24"/>
          <w:lang w:val="en-US"/>
        </w:rPr>
        <w:t xml:space="preserve">. </w:t>
      </w:r>
      <w:r w:rsidR="00525432">
        <w:rPr>
          <w:rFonts w:ascii="Times New Roman" w:eastAsia="Calibri" w:hAnsi="Times New Roman" w:cs="Times New Roman"/>
          <w:sz w:val="24"/>
          <w:szCs w:val="24"/>
          <w:lang w:val="en-US"/>
        </w:rPr>
        <w:t xml:space="preserve">Each case must be determined on its own peculiar circumstances. </w:t>
      </w:r>
      <w:r>
        <w:rPr>
          <w:rFonts w:ascii="Times New Roman" w:eastAsia="Calibri" w:hAnsi="Times New Roman" w:cs="Times New Roman"/>
          <w:sz w:val="24"/>
          <w:szCs w:val="24"/>
          <w:lang w:val="en-US"/>
        </w:rPr>
        <w:t>I</w:t>
      </w:r>
      <w:r w:rsidR="0076711F" w:rsidRPr="00B14A8C">
        <w:rPr>
          <w:rFonts w:ascii="Times New Roman" w:eastAsia="Calibri" w:hAnsi="Times New Roman" w:cs="Times New Roman"/>
          <w:sz w:val="24"/>
          <w:szCs w:val="24"/>
          <w:lang w:val="en-US"/>
        </w:rPr>
        <w:t xml:space="preserve">n </w:t>
      </w:r>
      <w:r w:rsidR="0076711F" w:rsidRPr="00B14A8C">
        <w:rPr>
          <w:rFonts w:ascii="Times New Roman" w:hAnsi="Times New Roman" w:cs="Times New Roman"/>
          <w:i/>
          <w:sz w:val="24"/>
          <w:szCs w:val="24"/>
        </w:rPr>
        <w:t>Roysen Traders (Pvt) Ltd t/a Alliance Ginneries</w:t>
      </w:r>
      <w:r w:rsidR="009D4469">
        <w:rPr>
          <w:rFonts w:ascii="Times New Roman" w:hAnsi="Times New Roman" w:cs="Times New Roman"/>
          <w:sz w:val="24"/>
          <w:szCs w:val="24"/>
        </w:rPr>
        <w:t xml:space="preserve"> v</w:t>
      </w:r>
      <w:r w:rsidR="0076711F" w:rsidRPr="00B14A8C">
        <w:rPr>
          <w:rFonts w:ascii="Times New Roman" w:hAnsi="Times New Roman" w:cs="Times New Roman"/>
          <w:sz w:val="24"/>
          <w:szCs w:val="24"/>
        </w:rPr>
        <w:t xml:space="preserve"> </w:t>
      </w:r>
      <w:r w:rsidR="0076711F" w:rsidRPr="00B14A8C">
        <w:rPr>
          <w:rFonts w:ascii="Times New Roman" w:hAnsi="Times New Roman" w:cs="Times New Roman"/>
          <w:i/>
          <w:sz w:val="24"/>
          <w:szCs w:val="24"/>
        </w:rPr>
        <w:t>Quton Seed Company (Pvt) Ltd</w:t>
      </w:r>
      <w:r w:rsidR="0076711F" w:rsidRPr="00B14A8C">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w:t>
      </w:r>
      <w:r w:rsidR="009D4469" w:rsidRPr="009D4469">
        <w:rPr>
          <w:rFonts w:ascii="Times New Roman" w:hAnsi="Times New Roman" w:cs="Times New Roman"/>
          <w:smallCaps/>
          <w:sz w:val="24"/>
          <w:szCs w:val="24"/>
        </w:rPr>
        <w:t>Chitapi J</w:t>
      </w:r>
      <w:r>
        <w:rPr>
          <w:rFonts w:ascii="Times New Roman" w:hAnsi="Times New Roman" w:cs="Times New Roman"/>
          <w:sz w:val="24"/>
          <w:szCs w:val="24"/>
        </w:rPr>
        <w:t xml:space="preserve"> explained the position of the law as follows</w:t>
      </w:r>
      <w:r w:rsidR="0076711F" w:rsidRPr="00B14A8C">
        <w:rPr>
          <w:rFonts w:ascii="Times New Roman" w:hAnsi="Times New Roman" w:cs="Times New Roman"/>
          <w:i/>
          <w:sz w:val="24"/>
          <w:szCs w:val="24"/>
        </w:rPr>
        <w:t>:</w:t>
      </w:r>
    </w:p>
    <w:p w14:paraId="382044B0" w14:textId="5B18288F" w:rsidR="0076711F" w:rsidRDefault="0076711F" w:rsidP="004679C3">
      <w:pPr>
        <w:spacing w:after="0" w:line="240" w:lineRule="auto"/>
        <w:ind w:left="720" w:firstLine="60"/>
        <w:jc w:val="both"/>
        <w:rPr>
          <w:rFonts w:ascii="Times New Roman" w:hAnsi="Times New Roman" w:cs="Times New Roman"/>
        </w:rPr>
      </w:pPr>
      <w:r w:rsidRPr="004679C3">
        <w:rPr>
          <w:rFonts w:ascii="Times New Roman" w:hAnsi="Times New Roman" w:cs="Times New Roman"/>
        </w:rPr>
        <w:t xml:space="preserve">“The respondent who is barred can only appear in person or by a legal practitioner for purpose of applying for the removal of the bar. The removal of the bar is sought through a chamber application or by applying orally at the hearing for its upliftment. The relevant rules of court providing for the upliftment of a bar are rules 83 and 84. The choice as to whether or not to make a chamber application for upliftment of bar or to apply orally at the hearing is a matter not provided for in the rules. Perhaps the rules should do so. </w:t>
      </w:r>
      <w:r w:rsidRPr="004679C3">
        <w:rPr>
          <w:rFonts w:ascii="Times New Roman" w:hAnsi="Times New Roman" w:cs="Times New Roman"/>
          <w:u w:val="single"/>
        </w:rPr>
        <w:t>Speaking for myself I have preferred the oral application route where heads of argument have been prepared by the barred party and he is holding them and has served the other party but cannot however file them because of the bar operating against such party whose effect in terms of r 83(a) is to preclude the Registrar from accepting for filing any pleading or other document from a barred party whilst the bar is in operation.</w:t>
      </w:r>
      <w:r w:rsidRPr="004679C3">
        <w:rPr>
          <w:rFonts w:ascii="Times New Roman" w:hAnsi="Times New Roman" w:cs="Times New Roman"/>
        </w:rPr>
        <w:t>”</w:t>
      </w:r>
      <w:r w:rsidR="004679C3">
        <w:rPr>
          <w:rFonts w:ascii="Times New Roman" w:hAnsi="Times New Roman" w:cs="Times New Roman"/>
        </w:rPr>
        <w:t xml:space="preserve"> (Underlining for emphasis). </w:t>
      </w:r>
    </w:p>
    <w:p w14:paraId="620333E0" w14:textId="77777777" w:rsidR="004679C3" w:rsidRPr="004679C3" w:rsidRDefault="004679C3" w:rsidP="004679C3">
      <w:pPr>
        <w:spacing w:after="0" w:line="240" w:lineRule="auto"/>
        <w:ind w:left="720" w:firstLine="60"/>
        <w:jc w:val="both"/>
        <w:rPr>
          <w:rFonts w:ascii="Times New Roman" w:hAnsi="Times New Roman" w:cs="Times New Roman"/>
        </w:rPr>
      </w:pPr>
    </w:p>
    <w:p w14:paraId="1F971F45" w14:textId="383F0B8A" w:rsidR="003762FB" w:rsidRDefault="0076711F" w:rsidP="004679C3">
      <w:pPr>
        <w:spacing w:after="0" w:line="360" w:lineRule="auto"/>
        <w:ind w:firstLine="720"/>
        <w:jc w:val="both"/>
        <w:rPr>
          <w:rFonts w:ascii="Times New Roman" w:eastAsia="Calibri" w:hAnsi="Times New Roman" w:cs="Times New Roman"/>
          <w:sz w:val="24"/>
          <w:szCs w:val="24"/>
          <w:lang w:val="en-US"/>
        </w:rPr>
      </w:pPr>
      <w:r w:rsidRPr="00B14A8C">
        <w:rPr>
          <w:rFonts w:ascii="Times New Roman" w:eastAsia="Calibri" w:hAnsi="Times New Roman" w:cs="Times New Roman"/>
          <w:sz w:val="24"/>
          <w:szCs w:val="24"/>
          <w:lang w:val="en-US"/>
        </w:rPr>
        <w:t xml:space="preserve">I associate myself with the </w:t>
      </w:r>
      <w:r w:rsidR="004679C3">
        <w:rPr>
          <w:rFonts w:ascii="Times New Roman" w:eastAsia="Calibri" w:hAnsi="Times New Roman" w:cs="Times New Roman"/>
          <w:sz w:val="24"/>
          <w:szCs w:val="24"/>
          <w:lang w:val="en-US"/>
        </w:rPr>
        <w:t xml:space="preserve">views of the learned Judge. </w:t>
      </w:r>
      <w:r w:rsidRPr="00B14A8C">
        <w:rPr>
          <w:rFonts w:ascii="Times New Roman" w:eastAsia="Calibri" w:hAnsi="Times New Roman" w:cs="Times New Roman"/>
          <w:sz w:val="24"/>
          <w:szCs w:val="24"/>
          <w:lang w:val="en-US"/>
        </w:rPr>
        <w:t xml:space="preserve">The </w:t>
      </w:r>
      <w:r w:rsidR="004679C3">
        <w:rPr>
          <w:rFonts w:ascii="Times New Roman" w:eastAsia="Calibri" w:hAnsi="Times New Roman" w:cs="Times New Roman"/>
          <w:sz w:val="24"/>
          <w:szCs w:val="24"/>
          <w:lang w:val="en-US"/>
        </w:rPr>
        <w:t>r</w:t>
      </w:r>
      <w:r w:rsidRPr="00B14A8C">
        <w:rPr>
          <w:rFonts w:ascii="Times New Roman" w:eastAsia="Calibri" w:hAnsi="Times New Roman" w:cs="Times New Roman"/>
          <w:sz w:val="24"/>
          <w:szCs w:val="24"/>
          <w:lang w:val="en-US"/>
        </w:rPr>
        <w:t xml:space="preserve">espondent had ample time to regularize </w:t>
      </w:r>
      <w:r w:rsidR="005027F2">
        <w:rPr>
          <w:rFonts w:ascii="Times New Roman" w:eastAsia="Calibri" w:hAnsi="Times New Roman" w:cs="Times New Roman"/>
          <w:sz w:val="24"/>
          <w:szCs w:val="24"/>
          <w:lang w:val="en-US"/>
        </w:rPr>
        <w:t xml:space="preserve">his </w:t>
      </w:r>
      <w:r w:rsidRPr="00B14A8C">
        <w:rPr>
          <w:rFonts w:ascii="Times New Roman" w:eastAsia="Calibri" w:hAnsi="Times New Roman" w:cs="Times New Roman"/>
          <w:sz w:val="24"/>
          <w:szCs w:val="24"/>
          <w:lang w:val="en-US"/>
        </w:rPr>
        <w:t xml:space="preserve">papers before </w:t>
      </w:r>
      <w:r w:rsidR="00525432">
        <w:rPr>
          <w:rFonts w:ascii="Times New Roman" w:eastAsia="Calibri" w:hAnsi="Times New Roman" w:cs="Times New Roman"/>
          <w:sz w:val="24"/>
          <w:szCs w:val="24"/>
          <w:lang w:val="en-US"/>
        </w:rPr>
        <w:t xml:space="preserve">coming to </w:t>
      </w:r>
      <w:r w:rsidR="00D7159F">
        <w:rPr>
          <w:rFonts w:ascii="Times New Roman" w:eastAsia="Calibri" w:hAnsi="Times New Roman" w:cs="Times New Roman"/>
          <w:sz w:val="24"/>
          <w:szCs w:val="24"/>
          <w:lang w:val="en-US"/>
        </w:rPr>
        <w:t>c</w:t>
      </w:r>
      <w:r w:rsidRPr="00B14A8C">
        <w:rPr>
          <w:rFonts w:ascii="Times New Roman" w:eastAsia="Calibri" w:hAnsi="Times New Roman" w:cs="Times New Roman"/>
          <w:sz w:val="24"/>
          <w:szCs w:val="24"/>
          <w:lang w:val="en-US"/>
        </w:rPr>
        <w:t>ourt</w:t>
      </w:r>
      <w:r w:rsidR="00525432">
        <w:rPr>
          <w:rFonts w:ascii="Times New Roman" w:eastAsia="Calibri" w:hAnsi="Times New Roman" w:cs="Times New Roman"/>
          <w:sz w:val="24"/>
          <w:szCs w:val="24"/>
          <w:lang w:val="en-US"/>
        </w:rPr>
        <w:t xml:space="preserve"> on the date of the hearing</w:t>
      </w:r>
      <w:r w:rsidRPr="00B14A8C">
        <w:rPr>
          <w:rFonts w:ascii="Times New Roman" w:eastAsia="Calibri" w:hAnsi="Times New Roman" w:cs="Times New Roman"/>
          <w:sz w:val="24"/>
          <w:szCs w:val="24"/>
          <w:lang w:val="en-US"/>
        </w:rPr>
        <w:t xml:space="preserve"> but chose to do nothing. </w:t>
      </w:r>
      <w:r w:rsidR="005027F2">
        <w:rPr>
          <w:rFonts w:ascii="Times New Roman" w:eastAsia="Calibri" w:hAnsi="Times New Roman" w:cs="Times New Roman"/>
          <w:sz w:val="24"/>
          <w:szCs w:val="24"/>
          <w:lang w:val="en-US"/>
        </w:rPr>
        <w:t xml:space="preserve">It meant that even if the court had </w:t>
      </w:r>
      <w:r w:rsidR="00525432">
        <w:rPr>
          <w:rFonts w:ascii="Times New Roman" w:eastAsia="Calibri" w:hAnsi="Times New Roman" w:cs="Times New Roman"/>
          <w:sz w:val="24"/>
          <w:szCs w:val="24"/>
          <w:lang w:val="en-US"/>
        </w:rPr>
        <w:t xml:space="preserve">granted </w:t>
      </w:r>
      <w:r w:rsidR="005027F2">
        <w:rPr>
          <w:rFonts w:ascii="Times New Roman" w:eastAsia="Calibri" w:hAnsi="Times New Roman" w:cs="Times New Roman"/>
          <w:sz w:val="24"/>
          <w:szCs w:val="24"/>
          <w:lang w:val="en-US"/>
        </w:rPr>
        <w:t xml:space="preserve">the application for the removal of the double bar, the matter was still not going to be heard because </w:t>
      </w:r>
      <w:r w:rsidR="00A36F51">
        <w:rPr>
          <w:rFonts w:ascii="Times New Roman" w:eastAsia="Calibri" w:hAnsi="Times New Roman" w:cs="Times New Roman"/>
          <w:sz w:val="24"/>
          <w:szCs w:val="24"/>
          <w:lang w:val="en-US"/>
        </w:rPr>
        <w:t>the respondent’s counsel had not yet prepared the respondent’s h</w:t>
      </w:r>
      <w:r w:rsidR="005027F2">
        <w:rPr>
          <w:rFonts w:ascii="Times New Roman" w:eastAsia="Calibri" w:hAnsi="Times New Roman" w:cs="Times New Roman"/>
          <w:sz w:val="24"/>
          <w:szCs w:val="24"/>
          <w:lang w:val="en-US"/>
        </w:rPr>
        <w:t>eads of argument</w:t>
      </w:r>
      <w:r w:rsidR="00A36F51">
        <w:rPr>
          <w:rFonts w:ascii="Times New Roman" w:eastAsia="Calibri" w:hAnsi="Times New Roman" w:cs="Times New Roman"/>
          <w:sz w:val="24"/>
          <w:szCs w:val="24"/>
          <w:lang w:val="en-US"/>
        </w:rPr>
        <w:t>.</w:t>
      </w:r>
      <w:r w:rsidR="005027F2">
        <w:rPr>
          <w:rFonts w:ascii="Times New Roman" w:eastAsia="Calibri" w:hAnsi="Times New Roman" w:cs="Times New Roman"/>
          <w:sz w:val="24"/>
          <w:szCs w:val="24"/>
          <w:lang w:val="en-US"/>
        </w:rPr>
        <w:t xml:space="preserve"> Such outright contempt towards the </w:t>
      </w:r>
      <w:r w:rsidR="007E0E91">
        <w:rPr>
          <w:rFonts w:ascii="Times New Roman" w:eastAsia="Calibri" w:hAnsi="Times New Roman" w:cs="Times New Roman"/>
          <w:sz w:val="24"/>
          <w:szCs w:val="24"/>
          <w:lang w:val="en-US"/>
        </w:rPr>
        <w:t>r</w:t>
      </w:r>
      <w:r w:rsidR="005027F2">
        <w:rPr>
          <w:rFonts w:ascii="Times New Roman" w:eastAsia="Calibri" w:hAnsi="Times New Roman" w:cs="Times New Roman"/>
          <w:sz w:val="24"/>
          <w:szCs w:val="24"/>
          <w:lang w:val="en-US"/>
        </w:rPr>
        <w:t xml:space="preserve">ules of court cannot be condoned. Such a casual approach to the business of the court ordinarily invites the wrath of the court. Court business </w:t>
      </w:r>
      <w:r w:rsidR="00A36F51">
        <w:rPr>
          <w:rFonts w:ascii="Times New Roman" w:eastAsia="Calibri" w:hAnsi="Times New Roman" w:cs="Times New Roman"/>
          <w:sz w:val="24"/>
          <w:szCs w:val="24"/>
          <w:lang w:val="en-US"/>
        </w:rPr>
        <w:t xml:space="preserve">is </w:t>
      </w:r>
      <w:r w:rsidR="005027F2">
        <w:rPr>
          <w:rFonts w:ascii="Times New Roman" w:eastAsia="Calibri" w:hAnsi="Times New Roman" w:cs="Times New Roman"/>
          <w:sz w:val="24"/>
          <w:szCs w:val="24"/>
          <w:lang w:val="en-US"/>
        </w:rPr>
        <w:t xml:space="preserve">no stroll in the park so to speak. </w:t>
      </w:r>
      <w:r w:rsidR="00D9423E">
        <w:rPr>
          <w:rFonts w:ascii="Times New Roman" w:eastAsia="Calibri" w:hAnsi="Times New Roman" w:cs="Times New Roman"/>
          <w:sz w:val="24"/>
          <w:szCs w:val="24"/>
          <w:lang w:val="en-US"/>
        </w:rPr>
        <w:t>An a</w:t>
      </w:r>
      <w:r w:rsidR="006855C3">
        <w:rPr>
          <w:rFonts w:ascii="Times New Roman" w:eastAsia="Calibri" w:hAnsi="Times New Roman" w:cs="Times New Roman"/>
          <w:sz w:val="24"/>
          <w:szCs w:val="24"/>
          <w:lang w:val="en-US"/>
        </w:rPr>
        <w:t xml:space="preserve">pplications </w:t>
      </w:r>
      <w:r w:rsidR="00D9423E">
        <w:rPr>
          <w:rFonts w:ascii="Times New Roman" w:eastAsia="Calibri" w:hAnsi="Times New Roman" w:cs="Times New Roman"/>
          <w:sz w:val="24"/>
          <w:szCs w:val="24"/>
          <w:lang w:val="en-US"/>
        </w:rPr>
        <w:t xml:space="preserve">to be condoned for having breached the </w:t>
      </w:r>
      <w:r w:rsidR="007E0E91">
        <w:rPr>
          <w:rFonts w:ascii="Times New Roman" w:eastAsia="Calibri" w:hAnsi="Times New Roman" w:cs="Times New Roman"/>
          <w:sz w:val="24"/>
          <w:szCs w:val="24"/>
          <w:lang w:val="en-US"/>
        </w:rPr>
        <w:t>r</w:t>
      </w:r>
      <w:r w:rsidR="00D9423E">
        <w:rPr>
          <w:rFonts w:ascii="Times New Roman" w:eastAsia="Calibri" w:hAnsi="Times New Roman" w:cs="Times New Roman"/>
          <w:sz w:val="24"/>
          <w:szCs w:val="24"/>
          <w:lang w:val="en-US"/>
        </w:rPr>
        <w:t xml:space="preserve">ules of court is not just there for the taking. The court must be satisfied that the conduct of a litigant or its legal practitioner is worth condoning. </w:t>
      </w:r>
      <w:r w:rsidR="006855C3">
        <w:rPr>
          <w:rFonts w:ascii="Times New Roman" w:eastAsia="Calibri" w:hAnsi="Times New Roman" w:cs="Times New Roman"/>
          <w:sz w:val="24"/>
          <w:szCs w:val="24"/>
          <w:lang w:val="en-US"/>
        </w:rPr>
        <w:t xml:space="preserve"> </w:t>
      </w:r>
      <w:r w:rsidR="003762FB">
        <w:rPr>
          <w:rFonts w:ascii="Times New Roman" w:eastAsia="Calibri" w:hAnsi="Times New Roman" w:cs="Times New Roman"/>
          <w:sz w:val="24"/>
          <w:szCs w:val="24"/>
          <w:lang w:val="en-US"/>
        </w:rPr>
        <w:t xml:space="preserve">The court has no time for litigants who want to play some hide and seek with it. </w:t>
      </w:r>
    </w:p>
    <w:p w14:paraId="43DFFD56" w14:textId="3F907A57" w:rsidR="005027F2" w:rsidRDefault="003762FB" w:rsidP="004679C3">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This court </w:t>
      </w:r>
      <w:r w:rsidR="005027F2">
        <w:rPr>
          <w:rFonts w:ascii="Times New Roman" w:eastAsia="Calibri" w:hAnsi="Times New Roman" w:cs="Times New Roman"/>
          <w:sz w:val="24"/>
          <w:szCs w:val="24"/>
          <w:lang w:val="en-US"/>
        </w:rPr>
        <w:t>is reposed with discretion even when determining an application for the removal of a bar. Rule 39 (5) states as follows:</w:t>
      </w:r>
    </w:p>
    <w:p w14:paraId="3BB939A9" w14:textId="323829A4" w:rsidR="005027F2" w:rsidRPr="005027F2" w:rsidRDefault="005027F2" w:rsidP="005027F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w:t>
      </w:r>
      <w:r w:rsidRPr="005027F2">
        <w:rPr>
          <w:rFonts w:ascii="Times New Roman" w:hAnsi="Times New Roman" w:cs="Times New Roman"/>
          <w:color w:val="000000"/>
        </w:rPr>
        <w:t xml:space="preserve">(5) A party who has been barred may— </w:t>
      </w:r>
    </w:p>
    <w:p w14:paraId="4BE5CC47" w14:textId="77777777" w:rsidR="005027F2" w:rsidRPr="005027F2" w:rsidRDefault="005027F2" w:rsidP="005027F2">
      <w:pPr>
        <w:autoSpaceDE w:val="0"/>
        <w:autoSpaceDN w:val="0"/>
        <w:adjustRightInd w:val="0"/>
        <w:spacing w:after="0" w:line="240" w:lineRule="auto"/>
        <w:ind w:firstLine="720"/>
        <w:jc w:val="both"/>
        <w:rPr>
          <w:rFonts w:ascii="Times New Roman" w:hAnsi="Times New Roman" w:cs="Times New Roman"/>
          <w:color w:val="000000"/>
        </w:rPr>
      </w:pPr>
      <w:r w:rsidRPr="005027F2">
        <w:rPr>
          <w:rFonts w:ascii="Times New Roman" w:hAnsi="Times New Roman" w:cs="Times New Roman"/>
          <w:color w:val="000000"/>
        </w:rPr>
        <w:t xml:space="preserve">(a) make a chamber application to remove the bar; or </w:t>
      </w:r>
    </w:p>
    <w:p w14:paraId="49DAAF5C" w14:textId="77777777" w:rsidR="005027F2" w:rsidRPr="005027F2" w:rsidRDefault="005027F2" w:rsidP="005027F2">
      <w:pPr>
        <w:autoSpaceDE w:val="0"/>
        <w:autoSpaceDN w:val="0"/>
        <w:adjustRightInd w:val="0"/>
        <w:spacing w:after="0" w:line="240" w:lineRule="auto"/>
        <w:ind w:firstLine="720"/>
        <w:jc w:val="both"/>
        <w:rPr>
          <w:rFonts w:ascii="Times New Roman" w:hAnsi="Times New Roman" w:cs="Times New Roman"/>
          <w:color w:val="000000"/>
        </w:rPr>
      </w:pPr>
      <w:r w:rsidRPr="005027F2">
        <w:rPr>
          <w:rFonts w:ascii="Times New Roman" w:hAnsi="Times New Roman" w:cs="Times New Roman"/>
          <w:color w:val="000000"/>
        </w:rPr>
        <w:t xml:space="preserve">(b) make an oral application at the hearing, if any, of the action or suit concerned; </w:t>
      </w:r>
    </w:p>
    <w:p w14:paraId="31E49C61" w14:textId="677E3310" w:rsidR="005027F2" w:rsidRDefault="005027F2" w:rsidP="005027F2">
      <w:pPr>
        <w:spacing w:after="0" w:line="240" w:lineRule="auto"/>
        <w:ind w:left="720"/>
        <w:jc w:val="both"/>
        <w:rPr>
          <w:rFonts w:ascii="Times New Roman" w:hAnsi="Times New Roman" w:cs="Times New Roman"/>
          <w:color w:val="000000"/>
        </w:rPr>
      </w:pPr>
      <w:r w:rsidRPr="005027F2">
        <w:rPr>
          <w:rFonts w:ascii="Times New Roman" w:hAnsi="Times New Roman" w:cs="Times New Roman"/>
          <w:color w:val="000000"/>
        </w:rPr>
        <w:t xml:space="preserve">and the judge or court </w:t>
      </w:r>
      <w:r w:rsidRPr="00E13733">
        <w:rPr>
          <w:rFonts w:ascii="Times New Roman" w:hAnsi="Times New Roman" w:cs="Times New Roman"/>
          <w:color w:val="000000"/>
          <w:u w:val="single"/>
        </w:rPr>
        <w:t>may allow the application on such terms</w:t>
      </w:r>
      <w:r w:rsidRPr="005027F2">
        <w:rPr>
          <w:rFonts w:ascii="Times New Roman" w:hAnsi="Times New Roman" w:cs="Times New Roman"/>
          <w:color w:val="000000"/>
        </w:rPr>
        <w:t xml:space="preserve"> as to costs and </w:t>
      </w:r>
      <w:r w:rsidRPr="00E13733">
        <w:rPr>
          <w:rFonts w:ascii="Times New Roman" w:hAnsi="Times New Roman" w:cs="Times New Roman"/>
          <w:color w:val="000000"/>
          <w:u w:val="single"/>
        </w:rPr>
        <w:t>otherwise as the judge or court, as the case may be, considers fit</w:t>
      </w:r>
      <w:r w:rsidRPr="005027F2">
        <w:rPr>
          <w:rFonts w:ascii="Times New Roman" w:hAnsi="Times New Roman" w:cs="Times New Roman"/>
          <w:color w:val="000000"/>
        </w:rPr>
        <w:t>.</w:t>
      </w:r>
      <w:r>
        <w:rPr>
          <w:rFonts w:ascii="Times New Roman" w:hAnsi="Times New Roman" w:cs="Times New Roman"/>
          <w:color w:val="000000"/>
        </w:rPr>
        <w:t>”</w:t>
      </w:r>
      <w:r w:rsidR="00E13733">
        <w:rPr>
          <w:rFonts w:ascii="Times New Roman" w:hAnsi="Times New Roman" w:cs="Times New Roman"/>
          <w:color w:val="000000"/>
        </w:rPr>
        <w:t xml:space="preserve"> (Underlining for emphasis)</w:t>
      </w:r>
    </w:p>
    <w:p w14:paraId="5725FD95" w14:textId="77777777" w:rsidR="00E13733" w:rsidRDefault="00E13733" w:rsidP="00E13733">
      <w:pPr>
        <w:spacing w:after="0" w:line="240" w:lineRule="auto"/>
        <w:jc w:val="both"/>
        <w:rPr>
          <w:rFonts w:ascii="Times New Roman" w:hAnsi="Times New Roman" w:cs="Times New Roman"/>
          <w:color w:val="000000"/>
        </w:rPr>
      </w:pPr>
    </w:p>
    <w:p w14:paraId="25D20807" w14:textId="3F08E2C7" w:rsidR="0076711F" w:rsidRDefault="00E13733" w:rsidP="00DE027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rPr>
        <w:tab/>
      </w:r>
      <w:r w:rsidRPr="00E13733">
        <w:rPr>
          <w:rFonts w:ascii="Times New Roman" w:hAnsi="Times New Roman" w:cs="Times New Roman"/>
          <w:color w:val="000000"/>
          <w:sz w:val="24"/>
          <w:szCs w:val="24"/>
        </w:rPr>
        <w:t xml:space="preserve">From a reading of the </w:t>
      </w:r>
      <w:r>
        <w:rPr>
          <w:rFonts w:ascii="Times New Roman" w:hAnsi="Times New Roman" w:cs="Times New Roman"/>
          <w:color w:val="000000"/>
          <w:sz w:val="24"/>
          <w:szCs w:val="24"/>
        </w:rPr>
        <w:t xml:space="preserve">rule, it is clear that the court may allow the application for the removal of the bar on such terms as to costs and otherwise as the court may consider fit. In so doing, the court may interrogate the merits or demerits of the respective cases before it </w:t>
      </w:r>
      <w:r>
        <w:rPr>
          <w:rFonts w:ascii="Times New Roman" w:hAnsi="Times New Roman" w:cs="Times New Roman"/>
          <w:color w:val="000000"/>
          <w:sz w:val="24"/>
          <w:szCs w:val="24"/>
        </w:rPr>
        <w:lastRenderedPageBreak/>
        <w:t xml:space="preserve">consistent with the inherent powers it enjoys to protect and regulate its processes in the interests of justice in terms of s 176 of the Constitution. </w:t>
      </w:r>
      <w:r w:rsidR="00DA2F9E">
        <w:rPr>
          <w:rFonts w:ascii="Times New Roman" w:hAnsi="Times New Roman" w:cs="Times New Roman"/>
          <w:color w:val="000000"/>
          <w:sz w:val="24"/>
          <w:szCs w:val="24"/>
        </w:rPr>
        <w:t xml:space="preserve">It was for that reason that the respondent’s counsel was also asked to advert to the merits of the respondent’s own case in the course of her making the application for the removal of the bar. It was that consideration that also informed her decision to abandon her application for the removal of the double bar and consent to the granting of the relief sought. </w:t>
      </w:r>
      <w:r w:rsidR="00C52016">
        <w:rPr>
          <w:rFonts w:ascii="Times New Roman" w:hAnsi="Times New Roman" w:cs="Times New Roman"/>
          <w:color w:val="000000"/>
          <w:sz w:val="24"/>
          <w:szCs w:val="24"/>
        </w:rPr>
        <w:t xml:space="preserve">The respondent’s conduct was grossly unreasonable and even if the double bar </w:t>
      </w:r>
      <w:r w:rsidR="00DE0279">
        <w:rPr>
          <w:rFonts w:ascii="Times New Roman" w:hAnsi="Times New Roman" w:cs="Times New Roman"/>
          <w:color w:val="000000"/>
          <w:sz w:val="24"/>
          <w:szCs w:val="24"/>
        </w:rPr>
        <w:t xml:space="preserve">had been </w:t>
      </w:r>
      <w:r w:rsidR="00C52016">
        <w:rPr>
          <w:rFonts w:ascii="Times New Roman" w:hAnsi="Times New Roman" w:cs="Times New Roman"/>
          <w:color w:val="000000"/>
          <w:sz w:val="24"/>
          <w:szCs w:val="24"/>
        </w:rPr>
        <w:t xml:space="preserve">removed, the </w:t>
      </w:r>
      <w:r w:rsidR="00DE0279">
        <w:rPr>
          <w:rFonts w:ascii="Times New Roman" w:hAnsi="Times New Roman" w:cs="Times New Roman"/>
          <w:color w:val="000000"/>
          <w:sz w:val="24"/>
          <w:szCs w:val="24"/>
        </w:rPr>
        <w:t>respondent’s case was devoid of merit on the papers.  It was for the foregoing reasons that the court granted the following order:</w:t>
      </w:r>
    </w:p>
    <w:p w14:paraId="23892DCC" w14:textId="3BE4BF6F" w:rsidR="00DE0279" w:rsidRPr="00DE0279" w:rsidRDefault="00E51C16" w:rsidP="00DE0279">
      <w:pPr>
        <w:spacing w:after="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b/>
      </w:r>
      <w:r w:rsidR="00DE0279" w:rsidRPr="00DE0279">
        <w:rPr>
          <w:rFonts w:ascii="Times New Roman" w:eastAsia="Calibri" w:hAnsi="Times New Roman" w:cs="Times New Roman"/>
          <w:b/>
          <w:sz w:val="24"/>
          <w:szCs w:val="24"/>
          <w:lang w:val="en-US"/>
        </w:rPr>
        <w:t>IT IS HEREBY ORDERED THAT:-</w:t>
      </w:r>
    </w:p>
    <w:p w14:paraId="60AEB13E" w14:textId="129F556F" w:rsidR="00DE0279" w:rsidRPr="00DE0279" w:rsidRDefault="00BC6C34" w:rsidP="00E51C16">
      <w:pPr>
        <w:pStyle w:val="ListParagraph"/>
        <w:numPr>
          <w:ilvl w:val="0"/>
          <w:numId w:val="4"/>
        </w:numPr>
        <w:tabs>
          <w:tab w:val="left" w:pos="1080"/>
        </w:tabs>
        <w:spacing w:after="0"/>
        <w:ind w:firstLine="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r</w:t>
      </w:r>
      <w:r w:rsidR="00DE0279" w:rsidRPr="00DE0279">
        <w:rPr>
          <w:rFonts w:ascii="Times New Roman" w:eastAsia="Calibri" w:hAnsi="Times New Roman" w:cs="Times New Roman"/>
          <w:sz w:val="24"/>
          <w:szCs w:val="24"/>
          <w:lang w:val="en-US"/>
        </w:rPr>
        <w:t xml:space="preserve">espondent’s decision to withdraw an offer letter </w:t>
      </w:r>
      <w:r w:rsidR="003762FB">
        <w:rPr>
          <w:rFonts w:ascii="Times New Roman" w:eastAsia="Calibri" w:hAnsi="Times New Roman" w:cs="Times New Roman"/>
          <w:sz w:val="24"/>
          <w:szCs w:val="24"/>
          <w:lang w:val="en-US"/>
        </w:rPr>
        <w:t xml:space="preserve">issued </w:t>
      </w:r>
      <w:r w:rsidR="00DE0279" w:rsidRPr="00DE0279">
        <w:rPr>
          <w:rFonts w:ascii="Times New Roman" w:eastAsia="Calibri" w:hAnsi="Times New Roman" w:cs="Times New Roman"/>
          <w:sz w:val="24"/>
          <w:szCs w:val="24"/>
          <w:lang w:val="en-US"/>
        </w:rPr>
        <w:t xml:space="preserve">to the applicant be and </w:t>
      </w:r>
      <w:r w:rsidR="00E51C16">
        <w:rPr>
          <w:rFonts w:ascii="Times New Roman" w:eastAsia="Calibri" w:hAnsi="Times New Roman" w:cs="Times New Roman"/>
          <w:sz w:val="24"/>
          <w:szCs w:val="24"/>
          <w:lang w:val="en-US"/>
        </w:rPr>
        <w:tab/>
      </w:r>
      <w:r w:rsidR="00DE0279" w:rsidRPr="00DE0279">
        <w:rPr>
          <w:rFonts w:ascii="Times New Roman" w:eastAsia="Calibri" w:hAnsi="Times New Roman" w:cs="Times New Roman"/>
          <w:sz w:val="24"/>
          <w:szCs w:val="24"/>
          <w:lang w:val="en-US"/>
        </w:rPr>
        <w:t>is hereby set aside.</w:t>
      </w:r>
    </w:p>
    <w:p w14:paraId="058AB835" w14:textId="50D5B127" w:rsidR="0076711F" w:rsidRPr="00B14A8C" w:rsidRDefault="00DE0279" w:rsidP="00E51C16">
      <w:pPr>
        <w:pStyle w:val="ListParagraph"/>
        <w:numPr>
          <w:ilvl w:val="0"/>
          <w:numId w:val="4"/>
        </w:numPr>
        <w:tabs>
          <w:tab w:val="left" w:pos="1080"/>
          <w:tab w:val="left" w:pos="1440"/>
        </w:tabs>
        <w:spacing w:after="0"/>
        <w:ind w:firstLine="0"/>
        <w:jc w:val="both"/>
        <w:rPr>
          <w:sz w:val="24"/>
          <w:szCs w:val="24"/>
        </w:rPr>
      </w:pPr>
      <w:r w:rsidRPr="00DE0279">
        <w:rPr>
          <w:rFonts w:ascii="Times New Roman" w:eastAsia="Calibri" w:hAnsi="Times New Roman" w:cs="Times New Roman"/>
          <w:sz w:val="24"/>
          <w:szCs w:val="24"/>
          <w:lang w:val="en-US"/>
        </w:rPr>
        <w:t xml:space="preserve">There shall be no order as to costs. </w:t>
      </w:r>
    </w:p>
    <w:p w14:paraId="35C98BF1" w14:textId="77777777" w:rsidR="0076711F" w:rsidRDefault="0076711F" w:rsidP="0076711F">
      <w:pPr>
        <w:spacing w:line="360" w:lineRule="auto"/>
        <w:jc w:val="both"/>
        <w:rPr>
          <w:sz w:val="24"/>
          <w:szCs w:val="24"/>
        </w:rPr>
      </w:pPr>
    </w:p>
    <w:p w14:paraId="41130AB9" w14:textId="77777777" w:rsidR="00EC0F5B" w:rsidRPr="00B14A8C" w:rsidRDefault="00EC0F5B" w:rsidP="0076711F">
      <w:pPr>
        <w:spacing w:line="360" w:lineRule="auto"/>
        <w:jc w:val="both"/>
        <w:rPr>
          <w:sz w:val="24"/>
          <w:szCs w:val="24"/>
        </w:rPr>
      </w:pPr>
    </w:p>
    <w:p w14:paraId="100A695B" w14:textId="77777777" w:rsidR="0076711F" w:rsidRPr="00B14A8C" w:rsidRDefault="0076711F" w:rsidP="0076711F">
      <w:pPr>
        <w:spacing w:line="360" w:lineRule="auto"/>
        <w:jc w:val="both"/>
        <w:rPr>
          <w:sz w:val="24"/>
          <w:szCs w:val="24"/>
        </w:rPr>
      </w:pPr>
    </w:p>
    <w:p w14:paraId="6092891C" w14:textId="6B8BA996" w:rsidR="0076711F" w:rsidRDefault="0076711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Mlotshwa Solicitors,</w:t>
      </w:r>
      <w:r w:rsidR="007660BA" w:rsidRPr="007660BA">
        <w:rPr>
          <w:rFonts w:ascii="Times New Roman" w:hAnsi="Times New Roman" w:cs="Times New Roman"/>
          <w:sz w:val="24"/>
          <w:szCs w:val="24"/>
        </w:rPr>
        <w:t xml:space="preserve"> </w:t>
      </w:r>
      <w:r w:rsidR="00EC0F5B">
        <w:rPr>
          <w:rFonts w:ascii="Times New Roman" w:hAnsi="Times New Roman" w:cs="Times New Roman"/>
          <w:sz w:val="24"/>
          <w:szCs w:val="24"/>
        </w:rPr>
        <w:t xml:space="preserve">applicant’s </w:t>
      </w:r>
      <w:r w:rsidR="007660BA" w:rsidRPr="007660BA">
        <w:rPr>
          <w:rFonts w:ascii="Times New Roman" w:hAnsi="Times New Roman" w:cs="Times New Roman"/>
          <w:sz w:val="24"/>
          <w:szCs w:val="24"/>
        </w:rPr>
        <w:t xml:space="preserve">legal practitioners </w:t>
      </w:r>
    </w:p>
    <w:p w14:paraId="2909EAE3" w14:textId="08E3EE7D" w:rsidR="0076711F" w:rsidRPr="00B14A8C" w:rsidRDefault="0076711F" w:rsidP="0076711F">
      <w:pPr>
        <w:spacing w:line="360" w:lineRule="auto"/>
        <w:jc w:val="both"/>
        <w:rPr>
          <w:rFonts w:ascii="Times New Roman" w:hAnsi="Times New Roman" w:cs="Times New Roman"/>
          <w:sz w:val="24"/>
          <w:szCs w:val="24"/>
        </w:rPr>
      </w:pPr>
      <w:r w:rsidRPr="00B14A8C">
        <w:rPr>
          <w:rFonts w:ascii="Times New Roman" w:hAnsi="Times New Roman" w:cs="Times New Roman"/>
          <w:i/>
          <w:sz w:val="24"/>
          <w:szCs w:val="24"/>
        </w:rPr>
        <w:t>Civil Division of the Attorney General’s Office</w:t>
      </w:r>
      <w:r w:rsidRPr="00B14A8C">
        <w:rPr>
          <w:rFonts w:ascii="Times New Roman" w:hAnsi="Times New Roman" w:cs="Times New Roman"/>
          <w:sz w:val="24"/>
          <w:szCs w:val="24"/>
        </w:rPr>
        <w:t xml:space="preserve">, </w:t>
      </w:r>
      <w:r w:rsidR="00EC0F5B">
        <w:rPr>
          <w:rFonts w:ascii="Times New Roman" w:hAnsi="Times New Roman" w:cs="Times New Roman"/>
          <w:sz w:val="24"/>
          <w:szCs w:val="24"/>
        </w:rPr>
        <w:t xml:space="preserve">respondent’s </w:t>
      </w:r>
      <w:r w:rsidRPr="00B14A8C">
        <w:rPr>
          <w:rFonts w:ascii="Times New Roman" w:hAnsi="Times New Roman" w:cs="Times New Roman"/>
          <w:sz w:val="24"/>
          <w:szCs w:val="24"/>
        </w:rPr>
        <w:t>legal practitioners</w:t>
      </w:r>
      <w:r>
        <w:rPr>
          <w:rFonts w:ascii="Times New Roman" w:hAnsi="Times New Roman" w:cs="Times New Roman"/>
          <w:sz w:val="24"/>
          <w:szCs w:val="24"/>
        </w:rPr>
        <w:t xml:space="preserve"> </w:t>
      </w:r>
    </w:p>
    <w:sectPr w:rsidR="0076711F" w:rsidRPr="00B14A8C"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182D3" w14:textId="77777777" w:rsidR="00AB7088" w:rsidRDefault="00AB7088" w:rsidP="00EA00E7">
      <w:pPr>
        <w:spacing w:after="0" w:line="240" w:lineRule="auto"/>
      </w:pPr>
      <w:r>
        <w:separator/>
      </w:r>
    </w:p>
  </w:endnote>
  <w:endnote w:type="continuationSeparator" w:id="0">
    <w:p w14:paraId="01DCAC14" w14:textId="77777777" w:rsidR="00AB7088" w:rsidRDefault="00AB708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469F4" w14:textId="77777777" w:rsidR="00AB7088" w:rsidRDefault="00AB7088" w:rsidP="00EA00E7">
      <w:pPr>
        <w:spacing w:after="0" w:line="240" w:lineRule="auto"/>
      </w:pPr>
      <w:r>
        <w:separator/>
      </w:r>
    </w:p>
  </w:footnote>
  <w:footnote w:type="continuationSeparator" w:id="0">
    <w:p w14:paraId="5E8D642B" w14:textId="77777777" w:rsidR="00AB7088" w:rsidRDefault="00AB7088" w:rsidP="00EA00E7">
      <w:pPr>
        <w:spacing w:after="0" w:line="240" w:lineRule="auto"/>
      </w:pPr>
      <w:r>
        <w:continuationSeparator/>
      </w:r>
    </w:p>
  </w:footnote>
  <w:footnote w:id="1">
    <w:p w14:paraId="4BB1B014" w14:textId="77777777" w:rsidR="0076711F" w:rsidRPr="00DE0279" w:rsidRDefault="0076711F" w:rsidP="0076711F">
      <w:pPr>
        <w:pStyle w:val="FootnoteText"/>
        <w:rPr>
          <w:rFonts w:ascii="Times New Roman" w:hAnsi="Times New Roman" w:cs="Times New Roman"/>
        </w:rPr>
      </w:pPr>
      <w:r w:rsidRPr="00DE0279">
        <w:rPr>
          <w:rStyle w:val="FootnoteReference"/>
          <w:rFonts w:ascii="Times New Roman" w:hAnsi="Times New Roman" w:cs="Times New Roman"/>
        </w:rPr>
        <w:footnoteRef/>
      </w:r>
      <w:r w:rsidRPr="00DE0279">
        <w:rPr>
          <w:rFonts w:ascii="Times New Roman" w:hAnsi="Times New Roman" w:cs="Times New Roman"/>
        </w:rPr>
        <w:t xml:space="preserve"> </w:t>
      </w:r>
      <w:r w:rsidRPr="00DE0279">
        <w:rPr>
          <w:rFonts w:ascii="Times New Roman" w:hAnsi="Times New Roman" w:cs="Times New Roman"/>
          <w:i/>
        </w:rPr>
        <w:t>GMB v Muchero</w:t>
      </w:r>
      <w:r w:rsidRPr="00DE0279">
        <w:rPr>
          <w:rFonts w:ascii="Times New Roman" w:hAnsi="Times New Roman" w:cs="Times New Roman"/>
        </w:rPr>
        <w:t xml:space="preserve"> 2008(1) ZLR 216</w:t>
      </w:r>
    </w:p>
  </w:footnote>
  <w:footnote w:id="2">
    <w:p w14:paraId="7ABCCF9F" w14:textId="77777777" w:rsidR="0076711F" w:rsidRDefault="0076711F" w:rsidP="0076711F">
      <w:pPr>
        <w:pStyle w:val="FootnoteText"/>
      </w:pPr>
      <w:r>
        <w:rPr>
          <w:rStyle w:val="FootnoteReference"/>
        </w:rPr>
        <w:footnoteRef/>
      </w:r>
      <w:r>
        <w:t xml:space="preserve"> HH 12/17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rPr>
    </w:sdtEndPr>
    <w:sdtContent>
      <w:p w14:paraId="66621C6F" w14:textId="3FFFCDA7" w:rsidR="00FD619D" w:rsidRPr="00AD468B" w:rsidRDefault="00FD619D">
        <w:pPr>
          <w:pStyle w:val="Header"/>
          <w:jc w:val="right"/>
          <w:rPr>
            <w:rFonts w:ascii="Times New Roman" w:hAnsi="Times New Roman" w:cs="Times New Roman"/>
          </w:rPr>
        </w:pPr>
        <w:r w:rsidRPr="00AD468B">
          <w:rPr>
            <w:rFonts w:ascii="Times New Roman" w:hAnsi="Times New Roman" w:cs="Times New Roman"/>
          </w:rPr>
          <w:fldChar w:fldCharType="begin"/>
        </w:r>
        <w:r w:rsidRPr="00AD468B">
          <w:rPr>
            <w:rFonts w:ascii="Times New Roman" w:hAnsi="Times New Roman" w:cs="Times New Roman"/>
          </w:rPr>
          <w:instrText xml:space="preserve"> PAGE   \* MERGEFORMAT </w:instrText>
        </w:r>
        <w:r w:rsidRPr="00AD468B">
          <w:rPr>
            <w:rFonts w:ascii="Times New Roman" w:hAnsi="Times New Roman" w:cs="Times New Roman"/>
          </w:rPr>
          <w:fldChar w:fldCharType="separate"/>
        </w:r>
        <w:r w:rsidR="00CB42BA">
          <w:rPr>
            <w:rFonts w:ascii="Times New Roman" w:hAnsi="Times New Roman" w:cs="Times New Roman"/>
            <w:noProof/>
          </w:rPr>
          <w:t>1</w:t>
        </w:r>
        <w:r w:rsidRPr="00AD468B">
          <w:rPr>
            <w:rFonts w:ascii="Times New Roman" w:hAnsi="Times New Roman" w:cs="Times New Roman"/>
          </w:rPr>
          <w:fldChar w:fldCharType="end"/>
        </w:r>
      </w:p>
      <w:p w14:paraId="5CE9CC21" w14:textId="4855E6AA" w:rsidR="00FD619D" w:rsidRPr="00AD468B" w:rsidRDefault="00FD619D">
        <w:pPr>
          <w:pStyle w:val="Header"/>
          <w:jc w:val="right"/>
          <w:rPr>
            <w:rFonts w:ascii="Times New Roman" w:hAnsi="Times New Roman" w:cs="Times New Roman"/>
          </w:rPr>
        </w:pPr>
        <w:r w:rsidRPr="00AD468B">
          <w:rPr>
            <w:rFonts w:ascii="Times New Roman" w:hAnsi="Times New Roman" w:cs="Times New Roman"/>
          </w:rPr>
          <w:t>H</w:t>
        </w:r>
        <w:r w:rsidR="00AD468B">
          <w:rPr>
            <w:rFonts w:ascii="Times New Roman" w:hAnsi="Times New Roman" w:cs="Times New Roman"/>
          </w:rPr>
          <w:t>H 266-23</w:t>
        </w:r>
      </w:p>
      <w:p w14:paraId="1E05EEBD" w14:textId="7CBA9956" w:rsidR="00FD619D" w:rsidRPr="00AD468B" w:rsidRDefault="00FD619D">
        <w:pPr>
          <w:pStyle w:val="Header"/>
          <w:jc w:val="right"/>
          <w:rPr>
            <w:rFonts w:ascii="Times New Roman" w:hAnsi="Times New Roman" w:cs="Times New Roman"/>
          </w:rPr>
        </w:pPr>
        <w:r w:rsidRPr="00AD468B">
          <w:rPr>
            <w:rFonts w:ascii="Times New Roman" w:hAnsi="Times New Roman" w:cs="Times New Roman"/>
          </w:rPr>
          <w:t xml:space="preserve"> HC </w:t>
        </w:r>
        <w:r w:rsidR="0076711F" w:rsidRPr="00AD468B">
          <w:rPr>
            <w:rFonts w:ascii="Times New Roman" w:hAnsi="Times New Roman" w:cs="Times New Roman"/>
          </w:rPr>
          <w:t>7354/21</w:t>
        </w:r>
      </w:p>
      <w:p w14:paraId="1048E6DB" w14:textId="64A47F35" w:rsidR="00FD619D" w:rsidRPr="00AD468B" w:rsidRDefault="00AB7088">
        <w:pPr>
          <w:pStyle w:val="Header"/>
          <w:jc w:val="right"/>
          <w:rPr>
            <w:rFonts w:ascii="Times New Roman" w:hAnsi="Times New Roman" w:cs="Times New Roman"/>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1B0F48F5"/>
    <w:multiLevelType w:val="hybridMultilevel"/>
    <w:tmpl w:val="E8268570"/>
    <w:lvl w:ilvl="0" w:tplc="DF8826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CE044DC"/>
    <w:multiLevelType w:val="hybridMultilevel"/>
    <w:tmpl w:val="11542A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58F461A"/>
    <w:multiLevelType w:val="hybridMultilevel"/>
    <w:tmpl w:val="42D43296"/>
    <w:lvl w:ilvl="0" w:tplc="9EBC37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8E536DE"/>
    <w:multiLevelType w:val="hybridMultilevel"/>
    <w:tmpl w:val="58D430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69F"/>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95A"/>
    <w:rsid w:val="00187A75"/>
    <w:rsid w:val="00190418"/>
    <w:rsid w:val="001906E3"/>
    <w:rsid w:val="00192192"/>
    <w:rsid w:val="0019274E"/>
    <w:rsid w:val="00192F89"/>
    <w:rsid w:val="001941DA"/>
    <w:rsid w:val="0019457E"/>
    <w:rsid w:val="001947D2"/>
    <w:rsid w:val="001953F5"/>
    <w:rsid w:val="0019676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17D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848"/>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77608"/>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E7BF6"/>
    <w:rsid w:val="002F03F8"/>
    <w:rsid w:val="002F089B"/>
    <w:rsid w:val="002F12D1"/>
    <w:rsid w:val="002F13BD"/>
    <w:rsid w:val="002F15AD"/>
    <w:rsid w:val="002F15AF"/>
    <w:rsid w:val="002F2200"/>
    <w:rsid w:val="002F2435"/>
    <w:rsid w:val="002F30EF"/>
    <w:rsid w:val="002F332F"/>
    <w:rsid w:val="002F34F2"/>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3E19"/>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29DA"/>
    <w:rsid w:val="00373CC0"/>
    <w:rsid w:val="0037485C"/>
    <w:rsid w:val="003751B1"/>
    <w:rsid w:val="0037587D"/>
    <w:rsid w:val="003762FB"/>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0901"/>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55F"/>
    <w:rsid w:val="003F0EFF"/>
    <w:rsid w:val="003F1BC7"/>
    <w:rsid w:val="003F1E9B"/>
    <w:rsid w:val="003F379F"/>
    <w:rsid w:val="003F3F9E"/>
    <w:rsid w:val="003F43C0"/>
    <w:rsid w:val="003F4AC8"/>
    <w:rsid w:val="003F4E5C"/>
    <w:rsid w:val="003F5193"/>
    <w:rsid w:val="003F6537"/>
    <w:rsid w:val="003F7092"/>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6BB"/>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AD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9C3"/>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A78C0"/>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69C6"/>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27F2"/>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32"/>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4307"/>
    <w:rsid w:val="00684F39"/>
    <w:rsid w:val="006855C3"/>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7DF"/>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9B5"/>
    <w:rsid w:val="006D0E00"/>
    <w:rsid w:val="006D1C41"/>
    <w:rsid w:val="006D244F"/>
    <w:rsid w:val="006D2915"/>
    <w:rsid w:val="006D2E3A"/>
    <w:rsid w:val="006D303C"/>
    <w:rsid w:val="006D3398"/>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11F"/>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1B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38A"/>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D7B82"/>
    <w:rsid w:val="007E0316"/>
    <w:rsid w:val="007E0E91"/>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1F06"/>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6B8"/>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236"/>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0932"/>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469"/>
    <w:rsid w:val="009D453D"/>
    <w:rsid w:val="009D5357"/>
    <w:rsid w:val="009D573A"/>
    <w:rsid w:val="009D6643"/>
    <w:rsid w:val="009D721F"/>
    <w:rsid w:val="009D72F4"/>
    <w:rsid w:val="009D76DD"/>
    <w:rsid w:val="009D782B"/>
    <w:rsid w:val="009E01C3"/>
    <w:rsid w:val="009E028C"/>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136"/>
    <w:rsid w:val="00A26450"/>
    <w:rsid w:val="00A31CC3"/>
    <w:rsid w:val="00A326CB"/>
    <w:rsid w:val="00A32AC5"/>
    <w:rsid w:val="00A32D62"/>
    <w:rsid w:val="00A32FDD"/>
    <w:rsid w:val="00A33F82"/>
    <w:rsid w:val="00A3409E"/>
    <w:rsid w:val="00A341D2"/>
    <w:rsid w:val="00A35A51"/>
    <w:rsid w:val="00A36390"/>
    <w:rsid w:val="00A36680"/>
    <w:rsid w:val="00A36F51"/>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592"/>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088"/>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68B"/>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41D"/>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1161"/>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27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BE7"/>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6C34"/>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30E"/>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CFA"/>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016"/>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D19"/>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2BA"/>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04C"/>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BE9"/>
    <w:rsid w:val="00D64C44"/>
    <w:rsid w:val="00D65004"/>
    <w:rsid w:val="00D6521A"/>
    <w:rsid w:val="00D65296"/>
    <w:rsid w:val="00D6618E"/>
    <w:rsid w:val="00D66D10"/>
    <w:rsid w:val="00D6715A"/>
    <w:rsid w:val="00D676DB"/>
    <w:rsid w:val="00D7159F"/>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3E"/>
    <w:rsid w:val="00D94280"/>
    <w:rsid w:val="00D94E27"/>
    <w:rsid w:val="00D94EB3"/>
    <w:rsid w:val="00D94FAF"/>
    <w:rsid w:val="00D95810"/>
    <w:rsid w:val="00D95CEB"/>
    <w:rsid w:val="00D974F9"/>
    <w:rsid w:val="00D97C91"/>
    <w:rsid w:val="00DA0749"/>
    <w:rsid w:val="00DA09AF"/>
    <w:rsid w:val="00DA09EF"/>
    <w:rsid w:val="00DA10C5"/>
    <w:rsid w:val="00DA1821"/>
    <w:rsid w:val="00DA1A29"/>
    <w:rsid w:val="00DA2F9E"/>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279"/>
    <w:rsid w:val="00DE0483"/>
    <w:rsid w:val="00DE08D4"/>
    <w:rsid w:val="00DE0F0C"/>
    <w:rsid w:val="00DE1EAB"/>
    <w:rsid w:val="00DE2304"/>
    <w:rsid w:val="00DE2B2B"/>
    <w:rsid w:val="00DE38CD"/>
    <w:rsid w:val="00DE3CD1"/>
    <w:rsid w:val="00DE3EB9"/>
    <w:rsid w:val="00DE5469"/>
    <w:rsid w:val="00DE67CD"/>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3733"/>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4D7"/>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2D8"/>
    <w:rsid w:val="00E46AF6"/>
    <w:rsid w:val="00E47A0A"/>
    <w:rsid w:val="00E47F6C"/>
    <w:rsid w:val="00E5015F"/>
    <w:rsid w:val="00E50816"/>
    <w:rsid w:val="00E5166E"/>
    <w:rsid w:val="00E516A3"/>
    <w:rsid w:val="00E518AB"/>
    <w:rsid w:val="00E51C16"/>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0F5B"/>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8A2"/>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5EA7"/>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30"/>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07BF-07CC-42A6-ACC1-5D05F81E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2023-05-02T12:50:00Z</cp:lastPrinted>
  <dcterms:created xsi:type="dcterms:W3CDTF">2023-05-05T10:26:00Z</dcterms:created>
  <dcterms:modified xsi:type="dcterms:W3CDTF">2023-05-05T10:26:00Z</dcterms:modified>
</cp:coreProperties>
</file>