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48" w:rsidRDefault="00C171BD">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MATOVU INVESTMENTS (PVT) LTD</w:t>
      </w:r>
    </w:p>
    <w:p w:rsidR="00464B48" w:rsidRDefault="00C1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rsidR="00464B48" w:rsidRDefault="00C1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LUCKSON SITHOLE</w:t>
      </w:r>
    </w:p>
    <w:p w:rsidR="00464B48" w:rsidRDefault="00C1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rsidR="00464B48" w:rsidRDefault="00C1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MINISTER OF MINES AND MINING DEVELOPMENT</w:t>
      </w:r>
    </w:p>
    <w:p w:rsidR="00464B48" w:rsidRDefault="00C1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rsidR="00464B48" w:rsidRDefault="00C1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SECRETARY OF MINES AND MINING DEVELOPMENT</w:t>
      </w:r>
    </w:p>
    <w:p w:rsidR="00464B48" w:rsidRDefault="00C1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rsidR="00464B48" w:rsidRDefault="00C17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PROVINCIAL MINING DIRECTOR MIDLANDS</w:t>
      </w:r>
    </w:p>
    <w:p w:rsidR="00464B48" w:rsidRDefault="00464B48">
      <w:pPr>
        <w:spacing w:after="0" w:line="240" w:lineRule="auto"/>
        <w:jc w:val="both"/>
        <w:rPr>
          <w:rFonts w:ascii="Times New Roman" w:hAnsi="Times New Roman" w:cs="Times New Roman"/>
          <w:sz w:val="24"/>
          <w:szCs w:val="24"/>
        </w:rPr>
      </w:pPr>
    </w:p>
    <w:p w:rsidR="00464B48" w:rsidRDefault="00C17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64B48" w:rsidRDefault="00C17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rsidR="00464B48" w:rsidRDefault="00C17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May &amp; 16 August 2023</w:t>
      </w:r>
    </w:p>
    <w:p w:rsidR="00464B48" w:rsidRDefault="00464B48">
      <w:pPr>
        <w:spacing w:after="0" w:line="240" w:lineRule="auto"/>
        <w:jc w:val="both"/>
        <w:rPr>
          <w:rFonts w:ascii="Times New Roman" w:hAnsi="Times New Roman" w:cs="Times New Roman"/>
          <w:b/>
          <w:sz w:val="24"/>
          <w:szCs w:val="24"/>
        </w:rPr>
      </w:pPr>
    </w:p>
    <w:p w:rsidR="00464B48" w:rsidRDefault="00C171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COURT APPLICATION</w:t>
      </w:r>
    </w:p>
    <w:p w:rsidR="00464B48" w:rsidRDefault="00464B48">
      <w:pPr>
        <w:spacing w:after="0" w:line="240" w:lineRule="auto"/>
        <w:jc w:val="both"/>
        <w:rPr>
          <w:rFonts w:ascii="Times New Roman" w:hAnsi="Times New Roman" w:cs="Times New Roman"/>
          <w:sz w:val="24"/>
          <w:szCs w:val="24"/>
        </w:rPr>
      </w:pPr>
    </w:p>
    <w:p w:rsidR="00464B48" w:rsidRDefault="00C171B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L Uriri with M Zinyakatira</w:t>
      </w:r>
      <w:r>
        <w:rPr>
          <w:rFonts w:ascii="Times New Roman" w:hAnsi="Times New Roman" w:cs="Times New Roman"/>
          <w:sz w:val="24"/>
          <w:szCs w:val="24"/>
        </w:rPr>
        <w:t>, for the applicant</w:t>
      </w:r>
    </w:p>
    <w:p w:rsidR="00464B48" w:rsidRDefault="00C171B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T G Kuchenga</w:t>
      </w:r>
      <w:r>
        <w:rPr>
          <w:rFonts w:ascii="Times New Roman" w:hAnsi="Times New Roman" w:cs="Times New Roman"/>
          <w:sz w:val="24"/>
          <w:szCs w:val="24"/>
        </w:rPr>
        <w:t>,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64B48" w:rsidRDefault="00464B48">
      <w:pPr>
        <w:spacing w:after="0" w:line="240" w:lineRule="auto"/>
        <w:jc w:val="both"/>
        <w:rPr>
          <w:rFonts w:ascii="Times New Roman" w:hAnsi="Times New Roman" w:cs="Times New Roman"/>
          <w:sz w:val="24"/>
          <w:szCs w:val="24"/>
        </w:rPr>
      </w:pPr>
    </w:p>
    <w:p w:rsidR="00464B48" w:rsidRDefault="00464B48">
      <w:pPr>
        <w:spacing w:after="0" w:line="240" w:lineRule="auto"/>
        <w:jc w:val="both"/>
        <w:rPr>
          <w:rFonts w:ascii="Times New Roman" w:hAnsi="Times New Roman" w:cs="Times New Roman"/>
          <w:sz w:val="24"/>
          <w:szCs w:val="24"/>
        </w:rPr>
      </w:pP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MANZUNZU J</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This is an opposed court application in which the applicant seeks a declaratory order in the following terms;</w:t>
      </w:r>
    </w:p>
    <w:p w:rsidR="00464B48" w:rsidRDefault="00C171BD">
      <w:pPr>
        <w:jc w:val="both"/>
        <w:rPr>
          <w:rFonts w:ascii="Times New Roman" w:hAnsi="Times New Roman" w:cs="Times New Roman"/>
          <w:b/>
          <w:bCs/>
          <w:i/>
          <w:sz w:val="24"/>
          <w:szCs w:val="24"/>
        </w:rPr>
      </w:pPr>
      <w:r>
        <w:rPr>
          <w:rFonts w:ascii="Times New Roman" w:hAnsi="Times New Roman" w:cs="Times New Roman"/>
          <w:b/>
          <w:bCs/>
          <w:sz w:val="24"/>
          <w:szCs w:val="24"/>
        </w:rPr>
        <w:t>“</w:t>
      </w:r>
      <w:r>
        <w:rPr>
          <w:rFonts w:ascii="Times New Roman" w:hAnsi="Times New Roman" w:cs="Times New Roman"/>
          <w:b/>
          <w:bCs/>
          <w:i/>
          <w:sz w:val="24"/>
          <w:szCs w:val="24"/>
        </w:rPr>
        <w:t>IT BE AND IS HEREB</w:t>
      </w:r>
      <w:r>
        <w:rPr>
          <w:rFonts w:ascii="Times New Roman" w:hAnsi="Times New Roman" w:cs="Times New Roman"/>
          <w:b/>
          <w:bCs/>
          <w:i/>
          <w:sz w:val="24"/>
          <w:szCs w:val="24"/>
        </w:rPr>
        <w:t>Y ORDERED THAT:</w:t>
      </w:r>
    </w:p>
    <w:p w:rsidR="00464B48" w:rsidRDefault="00C171BD">
      <w:pPr>
        <w:pStyle w:val="ListParagraph"/>
        <w:numPr>
          <w:ilvl w:val="0"/>
          <w:numId w:val="1"/>
        </w:numPr>
        <w:jc w:val="both"/>
        <w:rPr>
          <w:rFonts w:ascii="Times New Roman" w:hAnsi="Times New Roman" w:cs="Times New Roman"/>
          <w:i/>
          <w:sz w:val="24"/>
          <w:szCs w:val="24"/>
        </w:rPr>
      </w:pPr>
      <w:r>
        <w:rPr>
          <w:rFonts w:ascii="Times New Roman" w:hAnsi="Times New Roman" w:cs="Times New Roman"/>
          <w:i/>
          <w:sz w:val="24"/>
          <w:szCs w:val="24"/>
        </w:rPr>
        <w:t>The certificate of registration issued to the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on the 17</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of June 2021 by the 4</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respondent be and is hereby declared unlawful and illegal therefore rendering it null and void.</w:t>
      </w:r>
    </w:p>
    <w:p w:rsidR="00464B48" w:rsidRDefault="00C171BD">
      <w:pPr>
        <w:pStyle w:val="ListParagraph"/>
        <w:numPr>
          <w:ilvl w:val="0"/>
          <w:numId w:val="1"/>
        </w:numPr>
        <w:jc w:val="both"/>
        <w:rPr>
          <w:rFonts w:ascii="Times New Roman" w:hAnsi="Times New Roman" w:cs="Times New Roman"/>
          <w:i/>
          <w:sz w:val="24"/>
          <w:szCs w:val="24"/>
        </w:rPr>
      </w:pPr>
      <w:r>
        <w:rPr>
          <w:rFonts w:ascii="Times New Roman" w:hAnsi="Times New Roman" w:cs="Times New Roman"/>
          <w:i/>
          <w:sz w:val="24"/>
          <w:szCs w:val="24"/>
        </w:rPr>
        <w:t>The 4</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respondent be and is hereby ordered to facilitate the cancellation of the certificate of registration issued to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w:t>
      </w:r>
    </w:p>
    <w:p w:rsidR="00464B48" w:rsidRDefault="00C171BD">
      <w:pPr>
        <w:pStyle w:val="ListParagraph"/>
        <w:numPr>
          <w:ilvl w:val="0"/>
          <w:numId w:val="1"/>
        </w:numPr>
        <w:jc w:val="both"/>
        <w:rPr>
          <w:rFonts w:ascii="Times New Roman" w:hAnsi="Times New Roman" w:cs="Times New Roman"/>
          <w:i/>
          <w:sz w:val="24"/>
          <w:szCs w:val="24"/>
        </w:rPr>
      </w:pPr>
      <w:r>
        <w:rPr>
          <w:rFonts w:ascii="Times New Roman" w:hAnsi="Times New Roman" w:cs="Times New Roman"/>
          <w:i/>
          <w:sz w:val="24"/>
          <w:szCs w:val="24"/>
        </w:rPr>
        <w:t>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pays costs of suit on a higher scale if application is opposed.”</w:t>
      </w:r>
    </w:p>
    <w:p w:rsidR="00464B48" w:rsidRDefault="00C171BD">
      <w:pPr>
        <w:jc w:val="both"/>
        <w:rPr>
          <w:rFonts w:ascii="Times New Roman" w:hAnsi="Times New Roman" w:cs="Times New Roman"/>
          <w:b/>
          <w:bCs/>
          <w:sz w:val="24"/>
          <w:szCs w:val="24"/>
        </w:rPr>
      </w:pPr>
      <w:r>
        <w:rPr>
          <w:rFonts w:ascii="Times New Roman" w:hAnsi="Times New Roman" w:cs="Times New Roman"/>
          <w:b/>
          <w:bCs/>
          <w:sz w:val="24"/>
          <w:szCs w:val="24"/>
        </w:rPr>
        <w:t>APPLICANT’S CASE</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case is that it is a holder of a mining location registered as Tebekwe mine by virtue of a tribute agreement signed in February 2010 between the applicant as the tributor and Ngezi Mining Company Pvt Ltd,   a subsidiary of SMM Holdings as t</w:t>
      </w:r>
      <w:r>
        <w:rPr>
          <w:rFonts w:ascii="Times New Roman" w:hAnsi="Times New Roman" w:cs="Times New Roman"/>
          <w:sz w:val="24"/>
          <w:szCs w:val="24"/>
        </w:rPr>
        <w:t>he grantor. A copy of the tribute agreement is attached in support. There were subsequent renewals of the tribute agreement the last of which was on 24 September 2021 before the applicant then bought the mining location from Ngezi Mining Company Pvt Ltd. A</w:t>
      </w:r>
      <w:r>
        <w:rPr>
          <w:rFonts w:ascii="Times New Roman" w:hAnsi="Times New Roman" w:cs="Times New Roman"/>
          <w:sz w:val="24"/>
          <w:szCs w:val="24"/>
        </w:rPr>
        <w:t xml:space="preserve"> copy of the agreement of sale is attached signed in October 2021. </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 further claims that it has been carrying out mining activities at the mine since 2010 and has been paying all statutory fees to the Ministry of Mines. </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The bone of contention</w:t>
      </w:r>
      <w:r>
        <w:rPr>
          <w:rFonts w:ascii="Times New Roman" w:hAnsi="Times New Roman" w:cs="Times New Roman"/>
          <w:sz w:val="24"/>
          <w:szCs w:val="24"/>
        </w:rPr>
        <w:t xml:space="preserve"> is that on 17 June 2021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issued with a certificate of registration by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in respect to the same mining location which belongs to the applicant. The certificate was issued in terms of section 48 of the Mines and Minera</w:t>
      </w:r>
      <w:r>
        <w:rPr>
          <w:rFonts w:ascii="Times New Roman" w:hAnsi="Times New Roman" w:cs="Times New Roman"/>
          <w:sz w:val="24"/>
          <w:szCs w:val="24"/>
        </w:rPr>
        <w:t>l Act, Chapter 21:05 (the Act) whose intended purpose is to carry out prospecting operations and pegging.</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applicant further avers that such certificate can only be issued to a location which is open and reserved for pegging and prospecting as per sect</w:t>
      </w:r>
      <w:r>
        <w:rPr>
          <w:rFonts w:ascii="Times New Roman" w:hAnsi="Times New Roman" w:cs="Times New Roman"/>
          <w:sz w:val="24"/>
          <w:szCs w:val="24"/>
        </w:rPr>
        <w:t>ions 50 (1) (a) and 31 (1) (b) of the Act. The applicant says the certificate issued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violates the above sections in that it was issued at a mining location that is not reserved and open for prospecting and pegging, that is to say, was</w:t>
      </w:r>
      <w:r>
        <w:rPr>
          <w:rFonts w:ascii="Times New Roman" w:hAnsi="Times New Roman" w:cs="Times New Roman"/>
          <w:sz w:val="24"/>
          <w:szCs w:val="24"/>
        </w:rPr>
        <w:t xml:space="preserve"> issued at the applicant’s mining blocks. </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a supporting affidavit of Joseph Phiri, a pegger, who says the coordinates on the special grant issued to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are within Tebekwe mine and as such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intends to carry out prospec</w:t>
      </w:r>
      <w:r>
        <w:rPr>
          <w:rFonts w:ascii="Times New Roman" w:hAnsi="Times New Roman" w:cs="Times New Roman"/>
          <w:sz w:val="24"/>
          <w:szCs w:val="24"/>
        </w:rPr>
        <w:t>ting and pegging within the mining location which belongs to the applicant.</w:t>
      </w:r>
    </w:p>
    <w:p w:rsidR="00464B48" w:rsidRDefault="00C171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RESPONDENT’S CASE</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was opposed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while acknowledging the existence of a tribute agreement, says it was an invalid document because the </w:t>
      </w:r>
      <w:r>
        <w:rPr>
          <w:rFonts w:ascii="Times New Roman" w:hAnsi="Times New Roman" w:cs="Times New Roman"/>
          <w:sz w:val="24"/>
          <w:szCs w:val="24"/>
        </w:rPr>
        <w:t xml:space="preserve">same was not endorsed as required by sections 284 to 286 of the Act. On that basis he says the applicant has no </w:t>
      </w:r>
      <w:r>
        <w:rPr>
          <w:rFonts w:ascii="Times New Roman" w:hAnsi="Times New Roman" w:cs="Times New Roman"/>
          <w:i/>
          <w:sz w:val="24"/>
          <w:szCs w:val="24"/>
        </w:rPr>
        <w:t>locus standi</w:t>
      </w:r>
      <w:r>
        <w:rPr>
          <w:rFonts w:ascii="Times New Roman" w:hAnsi="Times New Roman" w:cs="Times New Roman"/>
          <w:sz w:val="24"/>
          <w:szCs w:val="24"/>
        </w:rPr>
        <w:t xml:space="preserve"> to sue in respect of the said mining location.</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In respect to the sale of the mining location,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position is that the alleged sale came after the issuance of the certificate in question and in any event the agreement fails to identify fully the mine sold.</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defence revolves around the question of </w:t>
      </w:r>
      <w:r>
        <w:rPr>
          <w:rFonts w:ascii="Times New Roman" w:hAnsi="Times New Roman" w:cs="Times New Roman"/>
          <w:i/>
          <w:sz w:val="24"/>
          <w:szCs w:val="24"/>
        </w:rPr>
        <w:t>locus standi</w:t>
      </w:r>
      <w:r>
        <w:rPr>
          <w:rFonts w:ascii="Times New Roman" w:hAnsi="Times New Roman" w:cs="Times New Roman"/>
          <w:sz w:val="24"/>
          <w:szCs w:val="24"/>
        </w:rPr>
        <w:t>. He claim</w:t>
      </w:r>
      <w:r>
        <w:rPr>
          <w:rFonts w:ascii="Times New Roman" w:hAnsi="Times New Roman" w:cs="Times New Roman"/>
          <w:sz w:val="24"/>
          <w:szCs w:val="24"/>
        </w:rPr>
        <w:t>s the place was open for prospecting at the time he pegged and subsequently issued with a certificate.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queried why applicant chose not to exhaust internal remedies through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to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and has challenged any map or coordina</w:t>
      </w:r>
      <w:r>
        <w:rPr>
          <w:rFonts w:ascii="Times New Roman" w:hAnsi="Times New Roman" w:cs="Times New Roman"/>
          <w:sz w:val="24"/>
          <w:szCs w:val="24"/>
        </w:rPr>
        <w:t>tes presented by the applicant not through the Ministry of Mines. He has also relied on the interim order in case number HCN 288/21 issued by this court in Masvingo. The merx has not been properly defined, he added.</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Consequently,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prays f</w:t>
      </w:r>
      <w:r>
        <w:rPr>
          <w:rFonts w:ascii="Times New Roman" w:hAnsi="Times New Roman" w:cs="Times New Roman"/>
          <w:sz w:val="24"/>
          <w:szCs w:val="24"/>
        </w:rPr>
        <w:t>or the dismissal of the application with costs.</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its answering affidavit the applicant says the mining rights are not in dispute, but that is not correct because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disputes that. However, the applicant says there was a verification survey do</w:t>
      </w:r>
      <w:r>
        <w:rPr>
          <w:rFonts w:ascii="Times New Roman" w:hAnsi="Times New Roman" w:cs="Times New Roman"/>
          <w:sz w:val="24"/>
          <w:szCs w:val="24"/>
        </w:rPr>
        <w:t>ne by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on 24 November 2021 in the presence of both parties. To that end, a report with the findings was attached to the answering affidavit. The survey report raises pertinent issues relevant to resolve the dispute between the parties.</w:t>
      </w:r>
    </w:p>
    <w:p w:rsidR="00464B48" w:rsidRDefault="00C171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w:t>
      </w:r>
      <w:r>
        <w:rPr>
          <w:rFonts w:ascii="Times New Roman" w:hAnsi="Times New Roman" w:cs="Times New Roman"/>
          <w:b/>
          <w:bCs/>
          <w:sz w:val="24"/>
          <w:szCs w:val="24"/>
        </w:rPr>
        <w:t>ALYSIS OF EVIDENCE</w:t>
      </w:r>
    </w:p>
    <w:p w:rsidR="00464B48" w:rsidRDefault="00C171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relies on the tribute agreement to draw its </w:t>
      </w:r>
      <w:r>
        <w:rPr>
          <w:rFonts w:ascii="Times New Roman" w:hAnsi="Times New Roman" w:cs="Times New Roman"/>
          <w:i/>
          <w:sz w:val="24"/>
          <w:szCs w:val="24"/>
        </w:rPr>
        <w:t>locus standi</w:t>
      </w:r>
      <w:r>
        <w:rPr>
          <w:rFonts w:ascii="Times New Roman" w:hAnsi="Times New Roman" w:cs="Times New Roman"/>
          <w:sz w:val="24"/>
          <w:szCs w:val="24"/>
        </w:rPr>
        <w:t xml:space="preserve"> at the time the certificate of registration was issued on 17 June 2021. The sale agreement which came in September 2021, though challenged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i</w:t>
      </w:r>
      <w:r>
        <w:rPr>
          <w:rFonts w:ascii="Times New Roman" w:hAnsi="Times New Roman" w:cs="Times New Roman"/>
          <w:sz w:val="24"/>
          <w:szCs w:val="24"/>
        </w:rPr>
        <w:t xml:space="preserve">n my view a non-event. This is so because it came after the date on which the validity of the certificate of registration is put to question. The question is what were the rights of the applicant at the time the alleged offending act occurred. </w:t>
      </w:r>
    </w:p>
    <w:p w:rsidR="00464B48" w:rsidRDefault="00C171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w:t>
      </w:r>
      <w:r>
        <w:rPr>
          <w:rFonts w:ascii="Times New Roman" w:hAnsi="Times New Roman" w:cs="Times New Roman"/>
          <w:sz w:val="24"/>
          <w:szCs w:val="24"/>
        </w:rPr>
        <w:t xml:space="preserve"> dispute in the interpretation of sections 48, 31 (1) (b) and 50 (1)(a) of the Act.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issued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with a certificate of registration for the purpose to carry out prospecting operations and pegging. Section 31 (1) (b) of the A</w:t>
      </w:r>
      <w:r>
        <w:rPr>
          <w:rFonts w:ascii="Times New Roman" w:hAnsi="Times New Roman" w:cs="Times New Roman"/>
          <w:sz w:val="24"/>
          <w:szCs w:val="24"/>
        </w:rPr>
        <w:t xml:space="preserve">ct reads; </w:t>
      </w:r>
    </w:p>
    <w:p w:rsidR="00464B48" w:rsidRDefault="00464B48">
      <w:pPr>
        <w:autoSpaceDE w:val="0"/>
        <w:autoSpaceDN w:val="0"/>
        <w:adjustRightInd w:val="0"/>
        <w:spacing w:after="0" w:line="360" w:lineRule="auto"/>
        <w:jc w:val="both"/>
        <w:rPr>
          <w:rFonts w:ascii="Times New Roman" w:hAnsi="Times New Roman" w:cs="Times New Roman"/>
          <w:sz w:val="24"/>
          <w:szCs w:val="24"/>
        </w:rPr>
      </w:pPr>
    </w:p>
    <w:p w:rsidR="00464B48" w:rsidRDefault="00C171BD">
      <w:pPr>
        <w:autoSpaceDE w:val="0"/>
        <w:autoSpaceDN w:val="0"/>
        <w:adjustRightInd w:val="0"/>
        <w:spacing w:after="0" w:line="240" w:lineRule="auto"/>
        <w:jc w:val="both"/>
        <w:rPr>
          <w:rFonts w:ascii="Arial" w:hAnsi="Arial" w:cs="Arial"/>
          <w:b/>
          <w:bCs/>
          <w:i/>
          <w:sz w:val="21"/>
          <w:szCs w:val="21"/>
        </w:rPr>
      </w:pPr>
      <w:r>
        <w:rPr>
          <w:rFonts w:ascii="Times New Roman" w:hAnsi="Times New Roman" w:cs="Times New Roman"/>
          <w:i/>
          <w:sz w:val="24"/>
          <w:szCs w:val="24"/>
        </w:rPr>
        <w:t>“</w:t>
      </w:r>
      <w:r>
        <w:rPr>
          <w:rFonts w:ascii="Arial" w:hAnsi="Arial" w:cs="Arial"/>
          <w:b/>
          <w:bCs/>
          <w:i/>
          <w:sz w:val="21"/>
          <w:szCs w:val="21"/>
        </w:rPr>
        <w:t>Ground not open to prospecting</w:t>
      </w:r>
    </w:p>
    <w:p w:rsidR="00464B48" w:rsidRDefault="00C171BD">
      <w:pPr>
        <w:autoSpaceDE w:val="0"/>
        <w:autoSpaceDN w:val="0"/>
        <w:adjustRightInd w:val="0"/>
        <w:spacing w:after="0" w:line="240" w:lineRule="auto"/>
        <w:jc w:val="both"/>
        <w:rPr>
          <w:rFonts w:ascii="Times New Roman" w:hAnsi="Times New Roman" w:cs="Times New Roman"/>
          <w:i/>
          <w:sz w:val="21"/>
          <w:szCs w:val="21"/>
        </w:rPr>
      </w:pPr>
      <w:r>
        <w:rPr>
          <w:rFonts w:ascii="Times New Roman" w:hAnsi="Times New Roman" w:cs="Times New Roman"/>
          <w:i/>
          <w:sz w:val="21"/>
          <w:szCs w:val="21"/>
        </w:rPr>
        <w:t>(1) Save as provided in Parts V and VII, no person shall be entitled to exercise any of his rights under any</w:t>
      </w:r>
    </w:p>
    <w:p w:rsidR="00464B48" w:rsidRDefault="00C171BD">
      <w:pPr>
        <w:autoSpaceDE w:val="0"/>
        <w:autoSpaceDN w:val="0"/>
        <w:adjustRightInd w:val="0"/>
        <w:spacing w:after="0" w:line="240" w:lineRule="auto"/>
        <w:jc w:val="both"/>
        <w:rPr>
          <w:rFonts w:ascii="Times New Roman" w:hAnsi="Times New Roman" w:cs="Times New Roman"/>
          <w:i/>
          <w:sz w:val="21"/>
          <w:szCs w:val="21"/>
        </w:rPr>
      </w:pPr>
      <w:r>
        <w:rPr>
          <w:rFonts w:ascii="Times New Roman" w:hAnsi="Times New Roman" w:cs="Times New Roman"/>
          <w:i/>
          <w:sz w:val="21"/>
          <w:szCs w:val="21"/>
        </w:rPr>
        <w:t xml:space="preserve">prospecting licence or any special grant to carry out prospecting operations or any exclusive </w:t>
      </w:r>
      <w:r>
        <w:rPr>
          <w:rFonts w:ascii="Times New Roman" w:hAnsi="Times New Roman" w:cs="Times New Roman"/>
          <w:i/>
          <w:sz w:val="21"/>
          <w:szCs w:val="21"/>
        </w:rPr>
        <w:t>prospecting order—</w:t>
      </w:r>
    </w:p>
    <w:p w:rsidR="00464B48" w:rsidRDefault="00C171BD">
      <w:pPr>
        <w:autoSpaceDE w:val="0"/>
        <w:autoSpaceDN w:val="0"/>
        <w:adjustRightInd w:val="0"/>
        <w:spacing w:after="0" w:line="240" w:lineRule="auto"/>
        <w:jc w:val="both"/>
        <w:rPr>
          <w:rFonts w:ascii="Times New Roman" w:hAnsi="Times New Roman" w:cs="Times New Roman"/>
          <w:i/>
          <w:sz w:val="21"/>
          <w:szCs w:val="21"/>
        </w:rPr>
      </w:pPr>
      <w:r>
        <w:rPr>
          <w:rFonts w:ascii="Times New Roman" w:hAnsi="Times New Roman" w:cs="Times New Roman"/>
          <w:i/>
          <w:sz w:val="21"/>
          <w:szCs w:val="21"/>
        </w:rPr>
        <w:t>(</w:t>
      </w:r>
      <w:r>
        <w:rPr>
          <w:rFonts w:ascii="Times New Roman" w:hAnsi="Times New Roman" w:cs="Times New Roman"/>
          <w:i/>
          <w:iCs/>
          <w:sz w:val="21"/>
          <w:szCs w:val="21"/>
        </w:rPr>
        <w:t>a</w:t>
      </w:r>
      <w:r>
        <w:rPr>
          <w:rFonts w:ascii="Times New Roman" w:hAnsi="Times New Roman" w:cs="Times New Roman"/>
          <w:i/>
          <w:sz w:val="21"/>
          <w:szCs w:val="21"/>
        </w:rPr>
        <w:t>) …</w:t>
      </w:r>
    </w:p>
    <w:p w:rsidR="00464B48" w:rsidRDefault="00C171BD">
      <w:pPr>
        <w:autoSpaceDE w:val="0"/>
        <w:autoSpaceDN w:val="0"/>
        <w:adjustRightInd w:val="0"/>
        <w:spacing w:after="0" w:line="240" w:lineRule="auto"/>
        <w:jc w:val="both"/>
        <w:rPr>
          <w:rFonts w:ascii="Times New Roman" w:hAnsi="Times New Roman" w:cs="Times New Roman"/>
          <w:i/>
          <w:sz w:val="21"/>
          <w:szCs w:val="21"/>
        </w:rPr>
      </w:pPr>
      <w:r>
        <w:rPr>
          <w:rFonts w:ascii="Times New Roman" w:hAnsi="Times New Roman" w:cs="Times New Roman"/>
          <w:i/>
          <w:sz w:val="21"/>
          <w:szCs w:val="21"/>
        </w:rPr>
        <w:t xml:space="preserve"> (</w:t>
      </w:r>
      <w:r>
        <w:rPr>
          <w:rFonts w:ascii="Times New Roman" w:hAnsi="Times New Roman" w:cs="Times New Roman"/>
          <w:i/>
          <w:iCs/>
          <w:sz w:val="21"/>
          <w:szCs w:val="21"/>
        </w:rPr>
        <w:t>b</w:t>
      </w:r>
      <w:r>
        <w:rPr>
          <w:rFonts w:ascii="Times New Roman" w:hAnsi="Times New Roman" w:cs="Times New Roman"/>
          <w:i/>
          <w:sz w:val="21"/>
          <w:szCs w:val="21"/>
        </w:rPr>
        <w:t>) upon any mining location, other than one in respect of which he may have acquired the exclusive right</w:t>
      </w:r>
    </w:p>
    <w:p w:rsidR="00464B48" w:rsidRDefault="00C171BD">
      <w:pPr>
        <w:autoSpaceDE w:val="0"/>
        <w:autoSpaceDN w:val="0"/>
        <w:adjustRightInd w:val="0"/>
        <w:spacing w:after="0" w:line="240" w:lineRule="auto"/>
        <w:jc w:val="both"/>
        <w:rPr>
          <w:rFonts w:ascii="Times New Roman" w:hAnsi="Times New Roman" w:cs="Times New Roman"/>
          <w:i/>
          <w:sz w:val="21"/>
          <w:szCs w:val="21"/>
        </w:rPr>
      </w:pPr>
      <w:r>
        <w:rPr>
          <w:rFonts w:ascii="Times New Roman" w:hAnsi="Times New Roman" w:cs="Times New Roman"/>
          <w:i/>
          <w:sz w:val="21"/>
          <w:szCs w:val="21"/>
        </w:rPr>
        <w:t>of prospecting under such licence or special grant or exclusive prospecting order;”</w:t>
      </w:r>
    </w:p>
    <w:p w:rsidR="00464B48" w:rsidRDefault="00464B48">
      <w:pPr>
        <w:autoSpaceDE w:val="0"/>
        <w:autoSpaceDN w:val="0"/>
        <w:adjustRightInd w:val="0"/>
        <w:spacing w:after="0" w:line="240" w:lineRule="auto"/>
        <w:jc w:val="both"/>
        <w:rPr>
          <w:rFonts w:ascii="Times New Roman" w:hAnsi="Times New Roman" w:cs="Times New Roman"/>
          <w:i/>
          <w:sz w:val="21"/>
          <w:szCs w:val="21"/>
        </w:rPr>
      </w:pPr>
    </w:p>
    <w:p w:rsidR="00464B48" w:rsidRDefault="00C171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1"/>
          <w:szCs w:val="21"/>
        </w:rPr>
        <w:t xml:space="preserve">This section is drawn in peremptory terms by the use of the word “shall”. It prohibits prospecting upon any mining location. The applicant relies upon a tribute agreement to derive its </w:t>
      </w:r>
      <w:r>
        <w:rPr>
          <w:rFonts w:ascii="Times New Roman" w:hAnsi="Times New Roman" w:cs="Times New Roman"/>
          <w:i/>
          <w:sz w:val="21"/>
          <w:szCs w:val="21"/>
        </w:rPr>
        <w:t>locus standi</w:t>
      </w:r>
      <w:r>
        <w:rPr>
          <w:rFonts w:ascii="Times New Roman" w:hAnsi="Times New Roman" w:cs="Times New Roman"/>
          <w:sz w:val="21"/>
          <w:szCs w:val="21"/>
        </w:rPr>
        <w:t>. The tribute agreement is challenged by the 1</w:t>
      </w:r>
      <w:r>
        <w:rPr>
          <w:rFonts w:ascii="Times New Roman" w:hAnsi="Times New Roman" w:cs="Times New Roman"/>
          <w:sz w:val="21"/>
          <w:szCs w:val="21"/>
          <w:vertAlign w:val="superscript"/>
        </w:rPr>
        <w:t>st</w:t>
      </w:r>
      <w:r>
        <w:rPr>
          <w:rFonts w:ascii="Times New Roman" w:hAnsi="Times New Roman" w:cs="Times New Roman"/>
          <w:sz w:val="21"/>
          <w:szCs w:val="21"/>
        </w:rPr>
        <w:t xml:space="preserve"> respondent</w:t>
      </w:r>
      <w:r>
        <w:rPr>
          <w:rFonts w:ascii="Times New Roman" w:hAnsi="Times New Roman" w:cs="Times New Roman"/>
          <w:sz w:val="21"/>
          <w:szCs w:val="21"/>
        </w:rPr>
        <w:t xml:space="preserve"> on the basis that it was not approved in terms of the provisions  of sections </w:t>
      </w:r>
      <w:r>
        <w:rPr>
          <w:rFonts w:ascii="Times New Roman" w:hAnsi="Times New Roman" w:cs="Times New Roman"/>
          <w:sz w:val="24"/>
          <w:szCs w:val="24"/>
        </w:rPr>
        <w:t xml:space="preserve"> 284 to 286 of the Act.  I recite sections 284 to 286 of the Act hereunder;</w:t>
      </w:r>
    </w:p>
    <w:p w:rsidR="00464B48" w:rsidRDefault="00464B48">
      <w:pPr>
        <w:autoSpaceDE w:val="0"/>
        <w:autoSpaceDN w:val="0"/>
        <w:adjustRightInd w:val="0"/>
        <w:spacing w:after="0" w:line="240" w:lineRule="auto"/>
        <w:jc w:val="both"/>
        <w:rPr>
          <w:rFonts w:ascii="Times New Roman" w:hAnsi="Times New Roman" w:cs="Times New Roman"/>
          <w:sz w:val="24"/>
          <w:szCs w:val="24"/>
        </w:rPr>
      </w:pPr>
    </w:p>
    <w:p w:rsidR="00464B48" w:rsidRDefault="00C171BD">
      <w:pPr>
        <w:autoSpaceDE w:val="0"/>
        <w:autoSpaceDN w:val="0"/>
        <w:adjustRightInd w:val="0"/>
        <w:spacing w:after="0" w:line="240" w:lineRule="auto"/>
        <w:jc w:val="both"/>
        <w:rPr>
          <w:rFonts w:ascii="Times New Roman" w:hAnsi="Times New Roman" w:cs="Times New Roman"/>
          <w:b/>
          <w:bCs/>
          <w:i/>
          <w:color w:val="000000"/>
          <w:sz w:val="24"/>
          <w:szCs w:val="24"/>
        </w:rPr>
      </w:pPr>
      <w:r>
        <w:rPr>
          <w:rFonts w:ascii="Times New Roman" w:hAnsi="Times New Roman" w:cs="Times New Roman"/>
          <w:sz w:val="24"/>
          <w:szCs w:val="24"/>
        </w:rPr>
        <w:t>“</w:t>
      </w:r>
      <w:r>
        <w:rPr>
          <w:rFonts w:ascii="Times New Roman" w:hAnsi="Times New Roman" w:cs="Times New Roman"/>
          <w:b/>
          <w:bCs/>
          <w:i/>
          <w:color w:val="000000"/>
          <w:sz w:val="24"/>
          <w:szCs w:val="24"/>
        </w:rPr>
        <w:t>284 Submission of tribute agreements for approval</w:t>
      </w:r>
    </w:p>
    <w:p w:rsidR="00464B48" w:rsidRDefault="00C171BD">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The terms of every tribute agreement shall be red</w:t>
      </w:r>
      <w:r>
        <w:rPr>
          <w:rFonts w:ascii="Times New Roman" w:hAnsi="Times New Roman" w:cs="Times New Roman"/>
          <w:i/>
          <w:color w:val="000000"/>
          <w:sz w:val="24"/>
          <w:szCs w:val="24"/>
        </w:rPr>
        <w:t>uced to writing and such agreement, together with the prescribed number of copies thereof, shall be submitted to the mining commissioner for examination and approval by the Board or the mining commissioner.</w:t>
      </w:r>
    </w:p>
    <w:p w:rsidR="00464B48" w:rsidRDefault="00464B48">
      <w:pPr>
        <w:autoSpaceDE w:val="0"/>
        <w:autoSpaceDN w:val="0"/>
        <w:adjustRightInd w:val="0"/>
        <w:spacing w:after="0" w:line="240" w:lineRule="auto"/>
        <w:jc w:val="both"/>
        <w:rPr>
          <w:rFonts w:ascii="Times New Roman" w:hAnsi="Times New Roman" w:cs="Times New Roman"/>
          <w:i/>
          <w:color w:val="000000"/>
          <w:sz w:val="24"/>
          <w:szCs w:val="24"/>
        </w:rPr>
      </w:pPr>
    </w:p>
    <w:p w:rsidR="00464B48" w:rsidRDefault="00464B48">
      <w:pPr>
        <w:autoSpaceDE w:val="0"/>
        <w:autoSpaceDN w:val="0"/>
        <w:adjustRightInd w:val="0"/>
        <w:spacing w:after="0" w:line="240" w:lineRule="auto"/>
        <w:jc w:val="both"/>
        <w:rPr>
          <w:rFonts w:ascii="Times New Roman" w:hAnsi="Times New Roman" w:cs="Times New Roman"/>
          <w:i/>
          <w:color w:val="000000"/>
          <w:sz w:val="24"/>
          <w:szCs w:val="24"/>
        </w:rPr>
      </w:pPr>
    </w:p>
    <w:p w:rsidR="00464B48" w:rsidRDefault="00464B48">
      <w:pPr>
        <w:autoSpaceDE w:val="0"/>
        <w:autoSpaceDN w:val="0"/>
        <w:adjustRightInd w:val="0"/>
        <w:spacing w:after="0" w:line="240" w:lineRule="auto"/>
        <w:jc w:val="both"/>
        <w:rPr>
          <w:rFonts w:ascii="Times New Roman" w:hAnsi="Times New Roman" w:cs="Times New Roman"/>
          <w:b/>
          <w:bCs/>
          <w:i/>
          <w:color w:val="000000"/>
          <w:sz w:val="24"/>
          <w:szCs w:val="24"/>
        </w:rPr>
      </w:pPr>
    </w:p>
    <w:p w:rsidR="00464B48" w:rsidRDefault="00C171BD">
      <w:pPr>
        <w:autoSpaceDE w:val="0"/>
        <w:autoSpaceDN w:val="0"/>
        <w:adjustRightInd w:val="0"/>
        <w:spacing w:after="0" w:line="240" w:lineRule="auto"/>
        <w:jc w:val="both"/>
        <w:rPr>
          <w:rFonts w:ascii="Times New Roman" w:hAnsi="Times New Roman" w:cs="Times New Roman"/>
          <w:b/>
          <w:bCs/>
          <w:i/>
          <w:color w:val="000000"/>
          <w:sz w:val="24"/>
          <w:szCs w:val="24"/>
        </w:rPr>
      </w:pPr>
      <w:r>
        <w:rPr>
          <w:rFonts w:ascii="Times New Roman" w:hAnsi="Times New Roman" w:cs="Times New Roman"/>
          <w:b/>
          <w:bCs/>
          <w:i/>
          <w:color w:val="000000"/>
          <w:sz w:val="24"/>
          <w:szCs w:val="24"/>
        </w:rPr>
        <w:t>285 Approval of tribute agreements by mining c</w:t>
      </w:r>
      <w:r>
        <w:rPr>
          <w:rFonts w:ascii="Times New Roman" w:hAnsi="Times New Roman" w:cs="Times New Roman"/>
          <w:b/>
          <w:bCs/>
          <w:i/>
          <w:color w:val="000000"/>
          <w:sz w:val="24"/>
          <w:szCs w:val="24"/>
        </w:rPr>
        <w:t>ommissioner</w:t>
      </w:r>
    </w:p>
    <w:p w:rsidR="00464B48" w:rsidRDefault="00C171BD">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(1) The Board may authorize the mining commissioner to approve any tribute agreement which conforms to a standard agreement drawn up and approved by the Board.</w:t>
      </w:r>
    </w:p>
    <w:p w:rsidR="00464B48" w:rsidRDefault="00C171BD">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(2) If any tribute agreement submitted to the mining commissioner conforms to such s</w:t>
      </w:r>
      <w:r>
        <w:rPr>
          <w:rFonts w:ascii="Times New Roman" w:hAnsi="Times New Roman" w:cs="Times New Roman"/>
          <w:i/>
          <w:color w:val="000000"/>
          <w:sz w:val="24"/>
          <w:szCs w:val="24"/>
        </w:rPr>
        <w:t xml:space="preserve">tandard agreement, the mining commissioner may approve such agreement and shall report such </w:t>
      </w:r>
      <w:r>
        <w:rPr>
          <w:rFonts w:ascii="Times New Roman" w:hAnsi="Times New Roman" w:cs="Times New Roman"/>
          <w:i/>
          <w:color w:val="000000"/>
          <w:sz w:val="24"/>
          <w:szCs w:val="24"/>
        </w:rPr>
        <w:lastRenderedPageBreak/>
        <w:t>approval to the Board and to the occupier or, if there is no occupier, the owner of the land concerned and shall furnish the Board with a copy of the agreement.</w:t>
      </w:r>
    </w:p>
    <w:p w:rsidR="00464B48" w:rsidRDefault="00C171BD">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(3)</w:t>
      </w:r>
      <w:r>
        <w:rPr>
          <w:rFonts w:ascii="Times New Roman" w:hAnsi="Times New Roman" w:cs="Times New Roman"/>
          <w:i/>
          <w:color w:val="000000"/>
          <w:sz w:val="24"/>
          <w:szCs w:val="24"/>
        </w:rPr>
        <w:t xml:space="preserve"> If the mining commissioner does not himself approve a tribute agreement he shall submit the agreement to the Board for consideration.</w:t>
      </w:r>
    </w:p>
    <w:p w:rsidR="00464B48" w:rsidRDefault="00464B48">
      <w:pPr>
        <w:autoSpaceDE w:val="0"/>
        <w:autoSpaceDN w:val="0"/>
        <w:adjustRightInd w:val="0"/>
        <w:spacing w:after="0" w:line="240" w:lineRule="auto"/>
        <w:jc w:val="both"/>
        <w:rPr>
          <w:rFonts w:ascii="Times New Roman" w:hAnsi="Times New Roman" w:cs="Times New Roman"/>
          <w:b/>
          <w:bCs/>
          <w:i/>
          <w:sz w:val="24"/>
          <w:szCs w:val="24"/>
        </w:rPr>
      </w:pPr>
    </w:p>
    <w:p w:rsidR="00464B48" w:rsidRDefault="00C171BD">
      <w:pPr>
        <w:autoSpaceDE w:val="0"/>
        <w:autoSpaceDN w:val="0"/>
        <w:adjustRightInd w:val="0"/>
        <w:spacing w:after="0" w:line="240" w:lineRule="auto"/>
        <w:jc w:val="both"/>
        <w:rPr>
          <w:rFonts w:ascii="Times New Roman" w:hAnsi="Times New Roman" w:cs="Times New Roman"/>
          <w:b/>
          <w:bCs/>
          <w:i/>
          <w:sz w:val="24"/>
          <w:szCs w:val="24"/>
        </w:rPr>
      </w:pPr>
      <w:r>
        <w:rPr>
          <w:rFonts w:ascii="Times New Roman" w:hAnsi="Times New Roman" w:cs="Times New Roman"/>
          <w:b/>
          <w:bCs/>
          <w:i/>
          <w:sz w:val="24"/>
          <w:szCs w:val="24"/>
        </w:rPr>
        <w:t>286 Approval of tribute agreements by Board</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If upon examination of any tribute agreement which has been submitted to it </w:t>
      </w:r>
      <w:r>
        <w:rPr>
          <w:rFonts w:ascii="Times New Roman" w:hAnsi="Times New Roman" w:cs="Times New Roman"/>
          <w:i/>
          <w:sz w:val="24"/>
          <w:szCs w:val="24"/>
        </w:rPr>
        <w:t>by a mining commissioner the Board is satisfied—</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iCs/>
          <w:sz w:val="24"/>
          <w:szCs w:val="24"/>
        </w:rPr>
        <w:t>a</w:t>
      </w:r>
      <w:r>
        <w:rPr>
          <w:rFonts w:ascii="Times New Roman" w:hAnsi="Times New Roman" w:cs="Times New Roman"/>
          <w:i/>
          <w:sz w:val="24"/>
          <w:szCs w:val="24"/>
        </w:rPr>
        <w:t>) that the method of fixing the tribute royalty payable to the grantor and the rate of such royalty are satisfactory and are not likely to retard the progress or expansion of the mine or bring about the ea</w:t>
      </w:r>
      <w:r>
        <w:rPr>
          <w:rFonts w:ascii="Times New Roman" w:hAnsi="Times New Roman" w:cs="Times New Roman"/>
          <w:i/>
          <w:sz w:val="24"/>
          <w:szCs w:val="24"/>
        </w:rPr>
        <w:t>rly cessation of mining operations; and</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iCs/>
          <w:sz w:val="24"/>
          <w:szCs w:val="24"/>
        </w:rPr>
        <w:t>b</w:t>
      </w:r>
      <w:r>
        <w:rPr>
          <w:rFonts w:ascii="Times New Roman" w:hAnsi="Times New Roman" w:cs="Times New Roman"/>
          <w:i/>
          <w:sz w:val="24"/>
          <w:szCs w:val="24"/>
        </w:rPr>
        <w:t>) that the interests of both the grantor and the tributor are adequately safeguarded thereunder; and</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iCs/>
          <w:sz w:val="24"/>
          <w:szCs w:val="24"/>
        </w:rPr>
        <w:t>c</w:t>
      </w:r>
      <w:r>
        <w:rPr>
          <w:rFonts w:ascii="Times New Roman" w:hAnsi="Times New Roman" w:cs="Times New Roman"/>
          <w:i/>
          <w:sz w:val="24"/>
          <w:szCs w:val="24"/>
        </w:rPr>
        <w:t>) that the period of such agreement is clearly defined and, if termination of the agreement by notice is provid</w:t>
      </w:r>
      <w:r>
        <w:rPr>
          <w:rFonts w:ascii="Times New Roman" w:hAnsi="Times New Roman" w:cs="Times New Roman"/>
          <w:i/>
          <w:sz w:val="24"/>
          <w:szCs w:val="24"/>
        </w:rPr>
        <w:t>ed for, that the interests of the parties to the agreement are adequately protected; and</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iCs/>
          <w:sz w:val="24"/>
          <w:szCs w:val="24"/>
        </w:rPr>
        <w:t>d</w:t>
      </w:r>
      <w:r>
        <w:rPr>
          <w:rFonts w:ascii="Times New Roman" w:hAnsi="Times New Roman" w:cs="Times New Roman"/>
          <w:i/>
          <w:sz w:val="24"/>
          <w:szCs w:val="24"/>
        </w:rPr>
        <w:t>) that the development work required by the agreement is reasonable in the circumstances and is not unduly burdensome or likely to cause the premature cessation of m</w:t>
      </w:r>
      <w:r>
        <w:rPr>
          <w:rFonts w:ascii="Times New Roman" w:hAnsi="Times New Roman" w:cs="Times New Roman"/>
          <w:i/>
          <w:sz w:val="24"/>
          <w:szCs w:val="24"/>
        </w:rPr>
        <w:t>ining operations on the mine; and</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iCs/>
          <w:sz w:val="24"/>
          <w:szCs w:val="24"/>
        </w:rPr>
        <w:t>e</w:t>
      </w:r>
      <w:r>
        <w:rPr>
          <w:rFonts w:ascii="Times New Roman" w:hAnsi="Times New Roman" w:cs="Times New Roman"/>
          <w:i/>
          <w:sz w:val="24"/>
          <w:szCs w:val="24"/>
        </w:rPr>
        <w:t>) that the tributor is required to carry out sufficient development work to ensure the continuity of mining operations on the mine; and</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iCs/>
          <w:sz w:val="24"/>
          <w:szCs w:val="24"/>
        </w:rPr>
        <w:t>f</w:t>
      </w:r>
      <w:r>
        <w:rPr>
          <w:rFonts w:ascii="Times New Roman" w:hAnsi="Times New Roman" w:cs="Times New Roman"/>
          <w:i/>
          <w:sz w:val="24"/>
          <w:szCs w:val="24"/>
        </w:rPr>
        <w:t>) that the grantor is entitled periodically and at reasonable times to inspect the</w:t>
      </w:r>
      <w:r>
        <w:rPr>
          <w:rFonts w:ascii="Times New Roman" w:hAnsi="Times New Roman" w:cs="Times New Roman"/>
          <w:i/>
          <w:sz w:val="24"/>
          <w:szCs w:val="24"/>
        </w:rPr>
        <w:t xml:space="preserve"> mine and satisfy himself that the terms of the agreement are being observed; and</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Pr>
          <w:rFonts w:ascii="Times New Roman" w:hAnsi="Times New Roman" w:cs="Times New Roman"/>
          <w:i/>
          <w:iCs/>
          <w:sz w:val="24"/>
          <w:szCs w:val="24"/>
        </w:rPr>
        <w:t>g</w:t>
      </w:r>
      <w:r>
        <w:rPr>
          <w:rFonts w:ascii="Times New Roman" w:hAnsi="Times New Roman" w:cs="Times New Roman"/>
          <w:i/>
          <w:sz w:val="24"/>
          <w:szCs w:val="24"/>
        </w:rPr>
        <w:t>) that in all respects the agreement is satisfactory and likely to result in the mine being mined to the best advantage;</w:t>
      </w: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the Board may approve the agreement and shall endor</w:t>
      </w:r>
      <w:r>
        <w:rPr>
          <w:rFonts w:ascii="Times New Roman" w:hAnsi="Times New Roman" w:cs="Times New Roman"/>
          <w:i/>
          <w:sz w:val="24"/>
          <w:szCs w:val="24"/>
        </w:rPr>
        <w:t>se such approval thereon and shall inform the owner or occupier of the land concerned of such approval.”</w:t>
      </w:r>
    </w:p>
    <w:p w:rsidR="00464B48" w:rsidRDefault="00464B48">
      <w:pPr>
        <w:autoSpaceDE w:val="0"/>
        <w:autoSpaceDN w:val="0"/>
        <w:adjustRightInd w:val="0"/>
        <w:spacing w:after="0" w:line="240" w:lineRule="auto"/>
        <w:jc w:val="both"/>
        <w:rPr>
          <w:rFonts w:ascii="Times New Roman" w:hAnsi="Times New Roman" w:cs="Times New Roman"/>
          <w:i/>
          <w:sz w:val="24"/>
          <w:szCs w:val="24"/>
        </w:rPr>
      </w:pPr>
    </w:p>
    <w:p w:rsidR="00464B48" w:rsidRDefault="00C171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tribute agreement is given its effect by approval by either the commissioner or the Board. Section 289 of the Act criminalises any party to a tribut</w:t>
      </w:r>
      <w:r>
        <w:rPr>
          <w:rFonts w:ascii="Times New Roman" w:hAnsi="Times New Roman" w:cs="Times New Roman"/>
          <w:sz w:val="24"/>
          <w:szCs w:val="24"/>
        </w:rPr>
        <w:t xml:space="preserve">e agreement who exercises any right on an unapproved tribute agreement. </w:t>
      </w:r>
    </w:p>
    <w:p w:rsidR="00464B48" w:rsidRDefault="00C171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Two issues arise for determination; whether the tribute agreement relied upon by the applicant was approved by the relevant authority and whether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prospected on a mi</w:t>
      </w:r>
      <w:r>
        <w:rPr>
          <w:rFonts w:ascii="Times New Roman" w:hAnsi="Times New Roman" w:cs="Times New Roman"/>
          <w:sz w:val="24"/>
          <w:szCs w:val="24"/>
        </w:rPr>
        <w:t>ning location contrary to the provisions of section 31 (1) (b) of the Act. These issues are resolved by the report by the Provincial Mining Director. The report dated 29 November 2021 was compiled after this application was commenced on 15 November 2021. T</w:t>
      </w:r>
      <w:r>
        <w:rPr>
          <w:rFonts w:ascii="Times New Roman" w:hAnsi="Times New Roman" w:cs="Times New Roman"/>
          <w:sz w:val="24"/>
          <w:szCs w:val="24"/>
        </w:rPr>
        <w:t>he report was compiled after the verification exercise done on 23 November 2021 in the presence of the  applicant and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responded. The report remains extant. An application for its review under case number HC 101/22 was withdrawn. </w:t>
      </w:r>
    </w:p>
    <w:p w:rsidR="00464B48" w:rsidRDefault="00464B48">
      <w:pPr>
        <w:autoSpaceDE w:val="0"/>
        <w:autoSpaceDN w:val="0"/>
        <w:adjustRightInd w:val="0"/>
        <w:spacing w:after="0" w:line="240" w:lineRule="auto"/>
        <w:jc w:val="both"/>
        <w:rPr>
          <w:rFonts w:ascii="Times New Roman" w:hAnsi="Times New Roman" w:cs="Times New Roman"/>
          <w:sz w:val="24"/>
          <w:szCs w:val="24"/>
        </w:rPr>
      </w:pP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Whether the tribute </w:t>
      </w:r>
      <w:r>
        <w:rPr>
          <w:rFonts w:ascii="Times New Roman" w:hAnsi="Times New Roman" w:cs="Times New Roman"/>
          <w:i/>
          <w:sz w:val="24"/>
          <w:szCs w:val="24"/>
        </w:rPr>
        <w:t>agreement was approved:</w:t>
      </w:r>
    </w:p>
    <w:p w:rsidR="00464B48" w:rsidRDefault="00464B48">
      <w:pPr>
        <w:autoSpaceDE w:val="0"/>
        <w:autoSpaceDN w:val="0"/>
        <w:adjustRightInd w:val="0"/>
        <w:spacing w:after="0" w:line="240" w:lineRule="auto"/>
        <w:jc w:val="both"/>
        <w:rPr>
          <w:rFonts w:ascii="Times New Roman" w:hAnsi="Times New Roman" w:cs="Times New Roman"/>
          <w:sz w:val="24"/>
          <w:szCs w:val="24"/>
        </w:rPr>
      </w:pPr>
    </w:p>
    <w:p w:rsidR="00464B48" w:rsidRDefault="00C171BD">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says it was not, hence the applicant has no </w:t>
      </w:r>
      <w:r>
        <w:rPr>
          <w:rFonts w:ascii="Times New Roman" w:hAnsi="Times New Roman" w:cs="Times New Roman"/>
          <w:i/>
          <w:sz w:val="24"/>
          <w:szCs w:val="24"/>
        </w:rPr>
        <w:t>locus standi</w:t>
      </w:r>
      <w:r>
        <w:rPr>
          <w:rFonts w:ascii="Times New Roman" w:hAnsi="Times New Roman" w:cs="Times New Roman"/>
          <w:sz w:val="24"/>
          <w:szCs w:val="24"/>
        </w:rPr>
        <w:t>. The Secretary of Mines, on whose behalf the report was authored, is the custodian of mining records which include tribute agreements. Paragraph 1 of the r</w:t>
      </w:r>
      <w:r>
        <w:rPr>
          <w:rFonts w:ascii="Times New Roman" w:hAnsi="Times New Roman" w:cs="Times New Roman"/>
          <w:sz w:val="24"/>
          <w:szCs w:val="24"/>
        </w:rPr>
        <w:t xml:space="preserve">eport says, </w:t>
      </w:r>
      <w:r>
        <w:rPr>
          <w:rFonts w:ascii="Times New Roman" w:hAnsi="Times New Roman" w:cs="Times New Roman"/>
          <w:i/>
          <w:sz w:val="24"/>
          <w:szCs w:val="24"/>
        </w:rPr>
        <w:t xml:space="preserve">“Mutovu Investments (Pvt) Ltd are holders of a registered standard Tribute Agreement with Ngezi Mining (Pvt) Ltd…. The Tribute Agreement was registered in terms of section 285 (approval of tribute agreement by mining commissioner) of the Mines </w:t>
      </w:r>
      <w:r>
        <w:rPr>
          <w:rFonts w:ascii="Times New Roman" w:hAnsi="Times New Roman" w:cs="Times New Roman"/>
          <w:i/>
          <w:sz w:val="24"/>
          <w:szCs w:val="24"/>
        </w:rPr>
        <w:t>and Minerals act, Chapter 21:05 …”</w:t>
      </w:r>
    </w:p>
    <w:p w:rsidR="00464B48" w:rsidRDefault="00464B48">
      <w:pPr>
        <w:autoSpaceDE w:val="0"/>
        <w:autoSpaceDN w:val="0"/>
        <w:adjustRightInd w:val="0"/>
        <w:spacing w:after="0" w:line="360" w:lineRule="auto"/>
        <w:jc w:val="both"/>
        <w:rPr>
          <w:rFonts w:ascii="Times New Roman" w:hAnsi="Times New Roman" w:cs="Times New Roman"/>
          <w:sz w:val="24"/>
          <w:szCs w:val="24"/>
        </w:rPr>
      </w:pPr>
    </w:p>
    <w:p w:rsidR="00464B48" w:rsidRDefault="00C171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means there is no basis for the claim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tribute agreement was not approved. The tribute agreement was given its effect upon registration which registration can only be upon its approval.</w:t>
      </w:r>
      <w:r>
        <w:rPr>
          <w:rFonts w:ascii="Times New Roman" w:hAnsi="Times New Roman" w:cs="Times New Roman"/>
          <w:sz w:val="24"/>
          <w:szCs w:val="24"/>
        </w:rPr>
        <w:t xml:space="preserve"> The applicant is entitled to exercise its right upon the tribute agreement and derive from it the </w:t>
      </w:r>
      <w:r>
        <w:rPr>
          <w:rFonts w:ascii="Times New Roman" w:hAnsi="Times New Roman" w:cs="Times New Roman"/>
          <w:i/>
          <w:sz w:val="24"/>
          <w:szCs w:val="24"/>
        </w:rPr>
        <w:t>locus standi</w:t>
      </w:r>
      <w:r>
        <w:rPr>
          <w:rFonts w:ascii="Times New Roman" w:hAnsi="Times New Roman" w:cs="Times New Roman"/>
          <w:sz w:val="24"/>
          <w:szCs w:val="24"/>
        </w:rPr>
        <w:t>.</w:t>
      </w:r>
    </w:p>
    <w:p w:rsidR="00464B48" w:rsidRDefault="00464B48">
      <w:pPr>
        <w:autoSpaceDE w:val="0"/>
        <w:autoSpaceDN w:val="0"/>
        <w:adjustRightInd w:val="0"/>
        <w:spacing w:after="0" w:line="240" w:lineRule="auto"/>
        <w:jc w:val="both"/>
        <w:rPr>
          <w:rFonts w:ascii="Times New Roman" w:hAnsi="Times New Roman" w:cs="Times New Roman"/>
          <w:sz w:val="24"/>
          <w:szCs w:val="24"/>
        </w:rPr>
      </w:pPr>
    </w:p>
    <w:p w:rsidR="00464B48" w:rsidRDefault="00C171BD">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Whether the</w:t>
      </w:r>
      <w:r>
        <w:rPr>
          <w:rFonts w:ascii="Times New Roman" w:hAnsi="Times New Roman" w:cs="Times New Roman"/>
          <w:sz w:val="24"/>
          <w:szCs w:val="24"/>
        </w:rPr>
        <w:t xml:space="preserve"> </w:t>
      </w:r>
      <w:r>
        <w:rPr>
          <w:rFonts w:ascii="Times New Roman" w:hAnsi="Times New Roman" w:cs="Times New Roman"/>
          <w:i/>
          <w:sz w:val="24"/>
          <w:szCs w:val="24"/>
        </w:rPr>
        <w:t>certificate of registration issued to the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contravened section 31 (1) (b) of the Act.</w:t>
      </w:r>
    </w:p>
    <w:p w:rsidR="00464B48" w:rsidRDefault="00464B48">
      <w:pPr>
        <w:autoSpaceDE w:val="0"/>
        <w:autoSpaceDN w:val="0"/>
        <w:adjustRightInd w:val="0"/>
        <w:spacing w:after="0" w:line="240" w:lineRule="auto"/>
        <w:jc w:val="both"/>
        <w:rPr>
          <w:rFonts w:ascii="Times New Roman" w:hAnsi="Times New Roman" w:cs="Times New Roman"/>
          <w:i/>
          <w:sz w:val="24"/>
          <w:szCs w:val="24"/>
        </w:rPr>
      </w:pPr>
    </w:p>
    <w:p w:rsidR="00464B48" w:rsidRDefault="00C171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resolution of this issue </w:t>
      </w:r>
      <w:r>
        <w:rPr>
          <w:rFonts w:ascii="Times New Roman" w:hAnsi="Times New Roman" w:cs="Times New Roman"/>
          <w:sz w:val="24"/>
          <w:szCs w:val="24"/>
        </w:rPr>
        <w:t xml:space="preserve">is also found in the conclusion of the  report which says; </w:t>
      </w:r>
    </w:p>
    <w:p w:rsidR="00464B48" w:rsidRDefault="00464B48">
      <w:pPr>
        <w:autoSpaceDE w:val="0"/>
        <w:autoSpaceDN w:val="0"/>
        <w:adjustRightInd w:val="0"/>
        <w:spacing w:after="0" w:line="240" w:lineRule="auto"/>
        <w:jc w:val="both"/>
        <w:rPr>
          <w:rFonts w:ascii="Times New Roman" w:hAnsi="Times New Roman" w:cs="Times New Roman"/>
          <w:sz w:val="24"/>
          <w:szCs w:val="24"/>
        </w:rPr>
      </w:pPr>
    </w:p>
    <w:p w:rsidR="00464B48" w:rsidRDefault="00C171BD">
      <w:pPr>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“It is not disputable that the respondents (Mr Luckson Sithole and KTT Mining </w:t>
      </w:r>
      <w:r>
        <w:rPr>
          <w:rFonts w:ascii="Times New Roman" w:hAnsi="Times New Roman" w:cs="Times New Roman"/>
          <w:i/>
          <w:sz w:val="24"/>
          <w:szCs w:val="24"/>
          <w:lang w:val="en-US"/>
        </w:rPr>
        <w:tab/>
      </w:r>
      <w:r>
        <w:rPr>
          <w:rFonts w:ascii="Times New Roman" w:hAnsi="Times New Roman" w:cs="Times New Roman"/>
          <w:i/>
          <w:sz w:val="24"/>
          <w:szCs w:val="24"/>
        </w:rPr>
        <w:t xml:space="preserve">Syndicate) were pegged over Shaban and Mashava Mines’ Ngezi Mining (Pvt) Ltd’s </w:t>
      </w:r>
      <w:r>
        <w:rPr>
          <w:rFonts w:ascii="Times New Roman" w:hAnsi="Times New Roman" w:cs="Times New Roman"/>
          <w:i/>
          <w:sz w:val="24"/>
          <w:szCs w:val="24"/>
          <w:lang w:val="en-US"/>
        </w:rPr>
        <w:tab/>
      </w:r>
      <w:r>
        <w:rPr>
          <w:rFonts w:ascii="Times New Roman" w:hAnsi="Times New Roman" w:cs="Times New Roman"/>
          <w:i/>
          <w:sz w:val="24"/>
          <w:szCs w:val="24"/>
        </w:rPr>
        <w:t>cluster of mining claims (see diagra</w:t>
      </w:r>
      <w:r>
        <w:rPr>
          <w:rFonts w:ascii="Times New Roman" w:hAnsi="Times New Roman" w:cs="Times New Roman"/>
          <w:i/>
          <w:sz w:val="24"/>
          <w:szCs w:val="24"/>
        </w:rPr>
        <w:t>ms).</w:t>
      </w:r>
    </w:p>
    <w:p w:rsidR="00464B48" w:rsidRDefault="00C171BD">
      <w:pPr>
        <w:autoSpaceDE w:val="0"/>
        <w:autoSpaceDN w:val="0"/>
        <w:adjustRightInd w:val="0"/>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rPr>
        <w:t xml:space="preserve">Lucky Gold registration number 31856 and KTT Mining Syndicate’s special grant </w:t>
      </w:r>
      <w:r>
        <w:rPr>
          <w:rFonts w:ascii="Times New Roman" w:hAnsi="Times New Roman" w:cs="Times New Roman"/>
          <w:i/>
          <w:sz w:val="24"/>
          <w:szCs w:val="24"/>
          <w:lang w:val="en-US"/>
        </w:rPr>
        <w:tab/>
      </w:r>
      <w:r>
        <w:rPr>
          <w:rFonts w:ascii="Times New Roman" w:hAnsi="Times New Roman" w:cs="Times New Roman"/>
          <w:i/>
          <w:sz w:val="24"/>
          <w:szCs w:val="24"/>
        </w:rPr>
        <w:t xml:space="preserve">8223 both lie entirely within the confines of Ngezi Mining (Pvt) Ltd’s cluster of </w:t>
      </w:r>
      <w:r>
        <w:rPr>
          <w:rFonts w:ascii="Times New Roman" w:hAnsi="Times New Roman" w:cs="Times New Roman"/>
          <w:i/>
          <w:sz w:val="24"/>
          <w:szCs w:val="24"/>
          <w:lang w:val="en-US"/>
        </w:rPr>
        <w:tab/>
      </w:r>
    </w:p>
    <w:p w:rsidR="00464B48" w:rsidRDefault="00464B48">
      <w:pPr>
        <w:autoSpaceDE w:val="0"/>
        <w:autoSpaceDN w:val="0"/>
        <w:adjustRightInd w:val="0"/>
        <w:spacing w:after="0" w:line="240" w:lineRule="auto"/>
        <w:jc w:val="both"/>
        <w:rPr>
          <w:rFonts w:ascii="Times New Roman" w:hAnsi="Times New Roman" w:cs="Times New Roman"/>
          <w:sz w:val="24"/>
          <w:szCs w:val="24"/>
        </w:rPr>
      </w:pPr>
    </w:p>
    <w:p w:rsidR="00464B48" w:rsidRDefault="00C171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puts to rest the second issue. While the applicant has asked for costs on a higher</w:t>
      </w:r>
      <w:r>
        <w:rPr>
          <w:rFonts w:ascii="Times New Roman" w:hAnsi="Times New Roman" w:cs="Times New Roman"/>
          <w:sz w:val="24"/>
          <w:szCs w:val="24"/>
        </w:rPr>
        <w:t xml:space="preserve"> scale, my considered view is, such is not justified. More so, because the certificate ought not to have been issued by the Mining commissioner.</w:t>
      </w:r>
    </w:p>
    <w:p w:rsidR="00464B48" w:rsidRDefault="00464B48">
      <w:pPr>
        <w:autoSpaceDE w:val="0"/>
        <w:autoSpaceDN w:val="0"/>
        <w:adjustRightInd w:val="0"/>
        <w:spacing w:after="0" w:line="360" w:lineRule="auto"/>
        <w:jc w:val="both"/>
        <w:rPr>
          <w:rFonts w:ascii="Times New Roman" w:hAnsi="Times New Roman" w:cs="Times New Roman"/>
          <w:sz w:val="24"/>
          <w:szCs w:val="24"/>
        </w:rPr>
      </w:pPr>
    </w:p>
    <w:p w:rsidR="00464B48" w:rsidRDefault="00C171BD">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DISPOSITION</w:t>
      </w:r>
    </w:p>
    <w:p w:rsidR="00464B48" w:rsidRDefault="00C171B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certificate of registration number 31856 issued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2021 by 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declared unlawful and illegal therefore rendering it null and void.</w:t>
      </w:r>
    </w:p>
    <w:p w:rsidR="00464B48" w:rsidRDefault="00C171B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ordered to cancel the certificate of registration issued to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464B48" w:rsidRDefault="00C171BD">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w:t>
      </w:r>
      <w:r>
        <w:rPr>
          <w:rFonts w:ascii="Times New Roman" w:hAnsi="Times New Roman" w:cs="Times New Roman"/>
          <w:sz w:val="24"/>
          <w:szCs w:val="24"/>
        </w:rPr>
        <w:t>l pay costs of suit.</w:t>
      </w:r>
    </w:p>
    <w:p w:rsidR="00464B48" w:rsidRDefault="00464B48">
      <w:pPr>
        <w:autoSpaceDE w:val="0"/>
        <w:autoSpaceDN w:val="0"/>
        <w:adjustRightInd w:val="0"/>
        <w:spacing w:after="0" w:line="360" w:lineRule="auto"/>
        <w:jc w:val="both"/>
        <w:rPr>
          <w:rFonts w:ascii="Times New Roman" w:hAnsi="Times New Roman" w:cs="Times New Roman"/>
          <w:sz w:val="24"/>
          <w:szCs w:val="24"/>
        </w:rPr>
      </w:pPr>
    </w:p>
    <w:p w:rsidR="00464B48" w:rsidRDefault="00464B48">
      <w:pPr>
        <w:autoSpaceDE w:val="0"/>
        <w:autoSpaceDN w:val="0"/>
        <w:adjustRightInd w:val="0"/>
        <w:spacing w:after="0" w:line="240" w:lineRule="auto"/>
        <w:jc w:val="both"/>
        <w:rPr>
          <w:rFonts w:ascii="Times New Roman" w:hAnsi="Times New Roman" w:cs="Times New Roman"/>
          <w:sz w:val="24"/>
          <w:szCs w:val="24"/>
        </w:rPr>
      </w:pPr>
    </w:p>
    <w:p w:rsidR="00464B48" w:rsidRDefault="00C171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Makururu and Partners</w:t>
      </w:r>
      <w:r>
        <w:rPr>
          <w:rFonts w:ascii="Times New Roman" w:hAnsi="Times New Roman" w:cs="Times New Roman"/>
          <w:sz w:val="24"/>
          <w:szCs w:val="24"/>
        </w:rPr>
        <w:t>, applicant’s legal practitioners</w:t>
      </w:r>
    </w:p>
    <w:p w:rsidR="00464B48" w:rsidRDefault="00C171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Nyamundanda and Mutimudye attorneys</w:t>
      </w:r>
      <w:r>
        <w:rPr>
          <w:rFonts w:ascii="Times New Roman" w:hAnsi="Times New Roman" w:cs="Times New Roman"/>
          <w:sz w:val="24"/>
          <w:szCs w:val="24"/>
        </w:rPr>
        <w: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sectPr w:rsidR="00464B48">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BD" w:rsidRDefault="00C171BD">
      <w:pPr>
        <w:spacing w:line="240" w:lineRule="auto"/>
      </w:pPr>
      <w:r>
        <w:separator/>
      </w:r>
    </w:p>
  </w:endnote>
  <w:endnote w:type="continuationSeparator" w:id="0">
    <w:p w:rsidR="00C171BD" w:rsidRDefault="00C17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BD" w:rsidRDefault="00C171BD">
      <w:pPr>
        <w:spacing w:after="0"/>
      </w:pPr>
      <w:r>
        <w:separator/>
      </w:r>
    </w:p>
  </w:footnote>
  <w:footnote w:type="continuationSeparator" w:id="0">
    <w:p w:rsidR="00C171BD" w:rsidRDefault="00C171B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076550"/>
      <w:docPartObj>
        <w:docPartGallery w:val="AutoText"/>
      </w:docPartObj>
    </w:sdtPr>
    <w:sdtEndPr/>
    <w:sdtContent>
      <w:p w:rsidR="00464B48" w:rsidRDefault="00C171BD">
        <w:pPr>
          <w:pStyle w:val="Header"/>
          <w:jc w:val="right"/>
        </w:pPr>
        <w:r>
          <w:fldChar w:fldCharType="begin"/>
        </w:r>
        <w:r>
          <w:instrText xml:space="preserve"> PAGE   \* MERGEFORMAT </w:instrText>
        </w:r>
        <w:r>
          <w:fldChar w:fldCharType="separate"/>
        </w:r>
        <w:r w:rsidR="00970723">
          <w:rPr>
            <w:noProof/>
          </w:rPr>
          <w:t>2</w:t>
        </w:r>
        <w:r>
          <w:fldChar w:fldCharType="end"/>
        </w:r>
      </w:p>
    </w:sdtContent>
  </w:sdt>
  <w:p w:rsidR="00464B48" w:rsidRDefault="00C171BD">
    <w:pPr>
      <w:pStyle w:val="Header"/>
      <w:jc w:val="right"/>
      <w:rPr>
        <w:lang w:val="en-US"/>
      </w:rPr>
    </w:pPr>
    <w:r>
      <w:rPr>
        <w:lang w:val="en-US"/>
      </w:rPr>
      <w:t>HH491/23</w:t>
    </w:r>
  </w:p>
  <w:p w:rsidR="00464B48" w:rsidRDefault="00C171BD">
    <w:pPr>
      <w:pStyle w:val="Header"/>
      <w:jc w:val="right"/>
      <w:rPr>
        <w:lang w:val="en-US"/>
      </w:rPr>
    </w:pPr>
    <w:r>
      <w:rPr>
        <w:lang w:val="en-US"/>
      </w:rPr>
      <w:t>HC6444/21</w:t>
    </w:r>
  </w:p>
  <w:p w:rsidR="00464B48" w:rsidRDefault="00464B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F5044"/>
    <w:multiLevelType w:val="multilevel"/>
    <w:tmpl w:val="2C2F50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EF43EC"/>
    <w:multiLevelType w:val="multilevel"/>
    <w:tmpl w:val="4BEF43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8B"/>
    <w:rsid w:val="00020C01"/>
    <w:rsid w:val="000A2B59"/>
    <w:rsid w:val="000E537C"/>
    <w:rsid w:val="001156C8"/>
    <w:rsid w:val="00162AF8"/>
    <w:rsid w:val="001C37BA"/>
    <w:rsid w:val="00236F66"/>
    <w:rsid w:val="0029178B"/>
    <w:rsid w:val="002B4F18"/>
    <w:rsid w:val="00306558"/>
    <w:rsid w:val="003928C2"/>
    <w:rsid w:val="003E1FF7"/>
    <w:rsid w:val="004019E0"/>
    <w:rsid w:val="00413FBA"/>
    <w:rsid w:val="00464B48"/>
    <w:rsid w:val="004C26FA"/>
    <w:rsid w:val="00623121"/>
    <w:rsid w:val="00635059"/>
    <w:rsid w:val="006644DD"/>
    <w:rsid w:val="006670F4"/>
    <w:rsid w:val="00693FA3"/>
    <w:rsid w:val="0069739A"/>
    <w:rsid w:val="006D38A1"/>
    <w:rsid w:val="007E06E4"/>
    <w:rsid w:val="00810B73"/>
    <w:rsid w:val="008A1D9D"/>
    <w:rsid w:val="008C78F4"/>
    <w:rsid w:val="008D7D03"/>
    <w:rsid w:val="008E26B9"/>
    <w:rsid w:val="008E2962"/>
    <w:rsid w:val="008F6D08"/>
    <w:rsid w:val="0092468C"/>
    <w:rsid w:val="009639EF"/>
    <w:rsid w:val="00970723"/>
    <w:rsid w:val="009A1219"/>
    <w:rsid w:val="009E589B"/>
    <w:rsid w:val="009E7F48"/>
    <w:rsid w:val="00A43D3D"/>
    <w:rsid w:val="00AA23A9"/>
    <w:rsid w:val="00B87D63"/>
    <w:rsid w:val="00B973C7"/>
    <w:rsid w:val="00BA7D0C"/>
    <w:rsid w:val="00BB3587"/>
    <w:rsid w:val="00BF445F"/>
    <w:rsid w:val="00C07670"/>
    <w:rsid w:val="00C171BD"/>
    <w:rsid w:val="00C22216"/>
    <w:rsid w:val="00C71986"/>
    <w:rsid w:val="00C87B30"/>
    <w:rsid w:val="00CC5C6C"/>
    <w:rsid w:val="00D4521B"/>
    <w:rsid w:val="00DB63D9"/>
    <w:rsid w:val="00E30DC2"/>
    <w:rsid w:val="00E35AA6"/>
    <w:rsid w:val="00E3693A"/>
    <w:rsid w:val="00E72D18"/>
    <w:rsid w:val="00EE618E"/>
    <w:rsid w:val="00F506C5"/>
    <w:rsid w:val="00F73BF2"/>
    <w:rsid w:val="00FA52E0"/>
    <w:rsid w:val="00FD15AE"/>
    <w:rsid w:val="00FF63C4"/>
    <w:rsid w:val="1A8C3B1A"/>
    <w:rsid w:val="1AC47300"/>
    <w:rsid w:val="4FFC67DA"/>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683E9A-B666-499B-8122-E8721D90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2023-08-16T13:09:00Z</cp:lastPrinted>
  <dcterms:created xsi:type="dcterms:W3CDTF">2023-09-05T07:04:00Z</dcterms:created>
  <dcterms:modified xsi:type="dcterms:W3CDTF">2023-09-05T07:04:00Z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8C11BC13BF0B40E2A882AE5C4EC52C63</vt:lpwstr>
  </property>
</Properties>
</file>