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93E" w:rsidRPr="00AB093E" w:rsidRDefault="00AB093E" w:rsidP="00987CDA">
      <w:pPr>
        <w:spacing w:after="160"/>
        <w:rPr>
          <w:rFonts w:ascii="Times New Roman" w:eastAsia="Times New Roman" w:hAnsi="Times New Roman" w:cs="Times New Roman"/>
          <w:sz w:val="24"/>
          <w:szCs w:val="24"/>
          <w:lang w:val="en-ZW" w:eastAsia="en-ZW"/>
        </w:rPr>
      </w:pPr>
      <w:bookmarkStart w:id="0" w:name="_GoBack"/>
      <w:bookmarkEnd w:id="0"/>
    </w:p>
    <w:p w:rsidR="00AB093E" w:rsidRPr="00AB093E" w:rsidRDefault="00AB093E" w:rsidP="00192C30">
      <w:pPr>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MASIMBA CHARITY HUNI FUELS PVT LTD </w:t>
      </w:r>
    </w:p>
    <w:p w:rsidR="00AB093E" w:rsidRPr="00AB093E" w:rsidRDefault="00062A10" w:rsidP="00192C30">
      <w:pPr>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 xml:space="preserve">versus </w:t>
      </w:r>
    </w:p>
    <w:p w:rsidR="00AB093E" w:rsidRPr="00AB093E" w:rsidRDefault="00AB093E" w:rsidP="00192C30">
      <w:pPr>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NATHAN AMOS KADURIRA</w:t>
      </w:r>
    </w:p>
    <w:p w:rsidR="00AB093E" w:rsidRPr="00AB093E" w:rsidRDefault="007F187F" w:rsidP="00192C30">
      <w:pPr>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 xml:space="preserve">and </w:t>
      </w:r>
    </w:p>
    <w:p w:rsidR="00AB093E" w:rsidRPr="00AB093E" w:rsidRDefault="00AB093E" w:rsidP="00192C30">
      <w:pPr>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MAKONI RURAL DISTRICT COUNCIL</w:t>
      </w:r>
    </w:p>
    <w:p w:rsidR="005C15C2" w:rsidRDefault="005C15C2" w:rsidP="00192C30">
      <w:pPr>
        <w:rPr>
          <w:rFonts w:ascii="Times New Roman" w:eastAsia="Times New Roman" w:hAnsi="Times New Roman" w:cs="Times New Roman"/>
          <w:color w:val="000000"/>
          <w:sz w:val="24"/>
          <w:szCs w:val="24"/>
          <w:lang w:val="en-ZW" w:eastAsia="en-ZW"/>
        </w:rPr>
      </w:pPr>
    </w:p>
    <w:p w:rsidR="009F73C5" w:rsidRDefault="009F73C5" w:rsidP="00AB093E">
      <w:pPr>
        <w:spacing w:after="160"/>
        <w:rPr>
          <w:rFonts w:ascii="Times New Roman" w:eastAsia="Times New Roman" w:hAnsi="Times New Roman" w:cs="Times New Roman"/>
          <w:color w:val="000000"/>
          <w:sz w:val="24"/>
          <w:szCs w:val="24"/>
          <w:lang w:val="en-ZW" w:eastAsia="en-ZW"/>
        </w:rPr>
      </w:pPr>
    </w:p>
    <w:p w:rsidR="00AB093E" w:rsidRPr="00AB093E" w:rsidRDefault="00AB093E" w:rsidP="00AB093E">
      <w:pPr>
        <w:spacing w:after="160"/>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HIGH COURT OF ZIMBABWE</w:t>
      </w:r>
      <w:r w:rsidRPr="00AB093E">
        <w:rPr>
          <w:rFonts w:ascii="Times New Roman" w:eastAsia="Times New Roman" w:hAnsi="Times New Roman" w:cs="Times New Roman"/>
          <w:color w:val="000000"/>
          <w:sz w:val="24"/>
          <w:szCs w:val="24"/>
          <w:lang w:val="en-ZW" w:eastAsia="en-ZW"/>
        </w:rPr>
        <w:br/>
        <w:t>CH</w:t>
      </w:r>
      <w:r w:rsidR="000B7F88">
        <w:rPr>
          <w:rFonts w:ascii="Times New Roman" w:eastAsia="Times New Roman" w:hAnsi="Times New Roman" w:cs="Times New Roman"/>
          <w:color w:val="000000"/>
          <w:sz w:val="24"/>
          <w:szCs w:val="24"/>
          <w:lang w:val="en-ZW" w:eastAsia="en-ZW"/>
        </w:rPr>
        <w:t xml:space="preserve">INAMORA J &amp; TSANGA J </w:t>
      </w:r>
      <w:r w:rsidR="000B7F88">
        <w:rPr>
          <w:rFonts w:ascii="Times New Roman" w:eastAsia="Times New Roman" w:hAnsi="Times New Roman" w:cs="Times New Roman"/>
          <w:color w:val="000000"/>
          <w:sz w:val="24"/>
          <w:szCs w:val="24"/>
          <w:lang w:val="en-ZW" w:eastAsia="en-ZW"/>
        </w:rPr>
        <w:br/>
        <w:t>22 October</w:t>
      </w:r>
      <w:r w:rsidRPr="00AB093E">
        <w:rPr>
          <w:rFonts w:ascii="Times New Roman" w:eastAsia="Times New Roman" w:hAnsi="Times New Roman" w:cs="Times New Roman"/>
          <w:color w:val="000000"/>
          <w:sz w:val="24"/>
          <w:szCs w:val="24"/>
          <w:lang w:val="en-ZW" w:eastAsia="en-ZW"/>
        </w:rPr>
        <w:t xml:space="preserve"> 2020 &amp; 10 March 2021</w:t>
      </w:r>
    </w:p>
    <w:p w:rsidR="003B5705" w:rsidRDefault="003B5705" w:rsidP="00AB093E">
      <w:pPr>
        <w:spacing w:after="160"/>
        <w:rPr>
          <w:rFonts w:ascii="Times New Roman" w:eastAsia="Times New Roman" w:hAnsi="Times New Roman" w:cs="Times New Roman"/>
          <w:b/>
          <w:bCs/>
          <w:color w:val="000000"/>
          <w:sz w:val="24"/>
          <w:szCs w:val="24"/>
          <w:lang w:val="en-ZW" w:eastAsia="en-ZW"/>
        </w:rPr>
      </w:pPr>
    </w:p>
    <w:p w:rsidR="00AB093E" w:rsidRPr="00AB093E" w:rsidRDefault="00AB093E" w:rsidP="00AB093E">
      <w:pPr>
        <w:spacing w:after="160"/>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b/>
          <w:bCs/>
          <w:color w:val="000000"/>
          <w:sz w:val="24"/>
          <w:szCs w:val="24"/>
          <w:lang w:val="en-ZW" w:eastAsia="en-ZW"/>
        </w:rPr>
        <w:t>Civil Appeal</w:t>
      </w:r>
    </w:p>
    <w:p w:rsidR="00176619" w:rsidRPr="00176619" w:rsidRDefault="00176619" w:rsidP="00AB093E">
      <w:pPr>
        <w:spacing w:after="160"/>
        <w:rPr>
          <w:rFonts w:ascii="Times New Roman" w:eastAsia="Times New Roman" w:hAnsi="Times New Roman" w:cs="Times New Roman"/>
          <w:i/>
          <w:iCs/>
          <w:color w:val="000000"/>
          <w:sz w:val="10"/>
          <w:szCs w:val="10"/>
          <w:lang w:val="en-ZW" w:eastAsia="en-ZW"/>
        </w:rPr>
      </w:pPr>
    </w:p>
    <w:p w:rsidR="00AB093E" w:rsidRPr="009F73C5" w:rsidRDefault="00AB093E" w:rsidP="00AB093E">
      <w:pPr>
        <w:spacing w:after="160"/>
        <w:rPr>
          <w:rFonts w:ascii="Times New Roman" w:eastAsia="Times New Roman" w:hAnsi="Times New Roman" w:cs="Times New Roman"/>
          <w:i/>
          <w:iCs/>
          <w:color w:val="000000"/>
          <w:sz w:val="24"/>
          <w:szCs w:val="24"/>
          <w:lang w:val="en-ZW" w:eastAsia="en-ZW"/>
        </w:rPr>
      </w:pPr>
      <w:r w:rsidRPr="00AB093E">
        <w:rPr>
          <w:rFonts w:ascii="Times New Roman" w:eastAsia="Times New Roman" w:hAnsi="Times New Roman" w:cs="Times New Roman"/>
          <w:i/>
          <w:iCs/>
          <w:color w:val="000000"/>
          <w:sz w:val="24"/>
          <w:szCs w:val="24"/>
          <w:lang w:val="en-ZW" w:eastAsia="en-ZW"/>
        </w:rPr>
        <w:t>Mr T Tabana</w:t>
      </w:r>
      <w:r w:rsidR="00AF49A1">
        <w:rPr>
          <w:rFonts w:ascii="Times New Roman" w:eastAsia="Times New Roman" w:hAnsi="Times New Roman" w:cs="Times New Roman"/>
          <w:i/>
          <w:iCs/>
          <w:color w:val="000000"/>
          <w:sz w:val="24"/>
          <w:szCs w:val="24"/>
          <w:lang w:val="en-ZW" w:eastAsia="en-ZW"/>
        </w:rPr>
        <w:t xml:space="preserve">, </w:t>
      </w:r>
      <w:r w:rsidRPr="00AF49A1">
        <w:rPr>
          <w:rFonts w:ascii="Times New Roman" w:eastAsia="Times New Roman" w:hAnsi="Times New Roman" w:cs="Times New Roman"/>
          <w:iCs/>
          <w:color w:val="000000"/>
          <w:sz w:val="24"/>
          <w:szCs w:val="24"/>
          <w:lang w:val="en-ZW" w:eastAsia="en-ZW"/>
        </w:rPr>
        <w:t>for Appellant</w:t>
      </w:r>
      <w:r w:rsidRPr="00AB093E">
        <w:rPr>
          <w:rFonts w:ascii="Times New Roman" w:eastAsia="Times New Roman" w:hAnsi="Times New Roman" w:cs="Times New Roman"/>
          <w:i/>
          <w:iCs/>
          <w:color w:val="000000"/>
          <w:sz w:val="24"/>
          <w:szCs w:val="24"/>
          <w:lang w:val="en-ZW" w:eastAsia="en-ZW"/>
        </w:rPr>
        <w:br/>
        <w:t>Mr J Zviuya</w:t>
      </w:r>
      <w:r w:rsidR="00AF49A1">
        <w:rPr>
          <w:rFonts w:ascii="Times New Roman" w:eastAsia="Times New Roman" w:hAnsi="Times New Roman" w:cs="Times New Roman"/>
          <w:i/>
          <w:iCs/>
          <w:color w:val="000000"/>
          <w:sz w:val="24"/>
          <w:szCs w:val="24"/>
          <w:lang w:val="en-ZW" w:eastAsia="en-ZW"/>
        </w:rPr>
        <w:t xml:space="preserve">, </w:t>
      </w:r>
      <w:r w:rsidRPr="00AF49A1">
        <w:rPr>
          <w:rFonts w:ascii="Times New Roman" w:eastAsia="Times New Roman" w:hAnsi="Times New Roman" w:cs="Times New Roman"/>
          <w:iCs/>
          <w:color w:val="000000"/>
          <w:sz w:val="24"/>
          <w:szCs w:val="24"/>
          <w:lang w:val="en-ZW" w:eastAsia="en-ZW"/>
        </w:rPr>
        <w:t>for</w:t>
      </w:r>
      <w:r w:rsidRPr="00AB093E">
        <w:rPr>
          <w:rFonts w:ascii="Times New Roman" w:eastAsia="Times New Roman" w:hAnsi="Times New Roman" w:cs="Times New Roman"/>
          <w:i/>
          <w:iCs/>
          <w:color w:val="000000"/>
          <w:sz w:val="24"/>
          <w:szCs w:val="24"/>
          <w:lang w:val="en-ZW" w:eastAsia="en-ZW"/>
        </w:rPr>
        <w:t xml:space="preserve"> </w:t>
      </w:r>
      <w:r w:rsidRPr="00AF49A1">
        <w:rPr>
          <w:rFonts w:ascii="Times New Roman" w:eastAsia="Times New Roman" w:hAnsi="Times New Roman" w:cs="Times New Roman"/>
          <w:iCs/>
          <w:color w:val="000000"/>
          <w:sz w:val="24"/>
          <w:szCs w:val="24"/>
          <w:lang w:val="en-ZW" w:eastAsia="en-ZW"/>
        </w:rPr>
        <w:t>1</w:t>
      </w:r>
      <w:r w:rsidRPr="00AF49A1">
        <w:rPr>
          <w:rFonts w:ascii="Times New Roman" w:eastAsia="Times New Roman" w:hAnsi="Times New Roman" w:cs="Times New Roman"/>
          <w:iCs/>
          <w:color w:val="000000"/>
          <w:sz w:val="14"/>
          <w:szCs w:val="14"/>
          <w:vertAlign w:val="superscript"/>
          <w:lang w:val="en-ZW" w:eastAsia="en-ZW"/>
        </w:rPr>
        <w:t>st</w:t>
      </w:r>
      <w:r w:rsidRPr="00AF49A1">
        <w:rPr>
          <w:rFonts w:ascii="Times New Roman" w:eastAsia="Times New Roman" w:hAnsi="Times New Roman" w:cs="Times New Roman"/>
          <w:iCs/>
          <w:color w:val="000000"/>
          <w:sz w:val="24"/>
          <w:szCs w:val="24"/>
          <w:lang w:val="en-ZW" w:eastAsia="en-ZW"/>
        </w:rPr>
        <w:t xml:space="preserve"> Respondent</w:t>
      </w:r>
      <w:r w:rsidR="00AF49A1">
        <w:rPr>
          <w:rFonts w:ascii="Times New Roman" w:eastAsia="Times New Roman" w:hAnsi="Times New Roman" w:cs="Times New Roman"/>
          <w:i/>
          <w:iCs/>
          <w:color w:val="000000"/>
          <w:sz w:val="24"/>
          <w:szCs w:val="24"/>
          <w:lang w:val="en-ZW" w:eastAsia="en-ZW"/>
        </w:rPr>
        <w:br/>
        <w:t xml:space="preserve">Mr C Warara, </w:t>
      </w:r>
      <w:r w:rsidRPr="00AF49A1">
        <w:rPr>
          <w:rFonts w:ascii="Times New Roman" w:eastAsia="Times New Roman" w:hAnsi="Times New Roman" w:cs="Times New Roman"/>
          <w:iCs/>
          <w:color w:val="000000"/>
          <w:sz w:val="24"/>
          <w:szCs w:val="24"/>
          <w:lang w:val="en-ZW" w:eastAsia="en-ZW"/>
        </w:rPr>
        <w:t>for 2</w:t>
      </w:r>
      <w:r w:rsidRPr="00AF49A1">
        <w:rPr>
          <w:rFonts w:ascii="Times New Roman" w:eastAsia="Times New Roman" w:hAnsi="Times New Roman" w:cs="Times New Roman"/>
          <w:iCs/>
          <w:color w:val="000000"/>
          <w:sz w:val="14"/>
          <w:szCs w:val="14"/>
          <w:vertAlign w:val="superscript"/>
          <w:lang w:val="en-ZW" w:eastAsia="en-ZW"/>
        </w:rPr>
        <w:t>nd</w:t>
      </w:r>
      <w:r w:rsidRPr="00AF49A1">
        <w:rPr>
          <w:rFonts w:ascii="Times New Roman" w:eastAsia="Times New Roman" w:hAnsi="Times New Roman" w:cs="Times New Roman"/>
          <w:iCs/>
          <w:color w:val="000000"/>
          <w:sz w:val="24"/>
          <w:szCs w:val="24"/>
          <w:lang w:val="en-ZW" w:eastAsia="en-ZW"/>
        </w:rPr>
        <w:t xml:space="preserve"> Respondent</w:t>
      </w:r>
    </w:p>
    <w:p w:rsidR="00AB093E" w:rsidRPr="00AB093E" w:rsidRDefault="00AB093E" w:rsidP="00AB093E">
      <w:pPr>
        <w:rPr>
          <w:rFonts w:ascii="Times New Roman" w:eastAsia="Times New Roman" w:hAnsi="Times New Roman" w:cs="Times New Roman"/>
          <w:sz w:val="24"/>
          <w:szCs w:val="24"/>
          <w:lang w:val="en-ZW" w:eastAsia="en-ZW"/>
        </w:rPr>
      </w:pPr>
    </w:p>
    <w:p w:rsidR="00AB093E" w:rsidRPr="00AB093E" w:rsidRDefault="00AB093E" w:rsidP="00DA5D55">
      <w:pPr>
        <w:spacing w:after="160" w:line="360" w:lineRule="auto"/>
        <w:ind w:firstLine="720"/>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CHINAMORA J: This appeal was against the granting of an interdict by the lower court whereby the appellant, Masimba Charity Huni Fuels Private Limited (</w:t>
      </w:r>
      <w:r w:rsidR="00F46F88">
        <w:rPr>
          <w:rFonts w:ascii="Times New Roman" w:eastAsia="Times New Roman" w:hAnsi="Times New Roman" w:cs="Times New Roman"/>
          <w:color w:val="000000"/>
          <w:sz w:val="24"/>
          <w:szCs w:val="24"/>
          <w:lang w:val="en-ZW" w:eastAsia="en-ZW"/>
        </w:rPr>
        <w:t xml:space="preserve">hereinafter referred to as </w:t>
      </w:r>
      <w:r w:rsidR="00AE3E6B">
        <w:rPr>
          <w:rFonts w:ascii="Times New Roman" w:eastAsia="Times New Roman" w:hAnsi="Times New Roman" w:cs="Times New Roman"/>
          <w:color w:val="000000"/>
          <w:sz w:val="24"/>
          <w:szCs w:val="24"/>
          <w:lang w:val="en-ZW" w:eastAsia="en-ZW"/>
        </w:rPr>
        <w:t>“</w:t>
      </w:r>
      <w:r w:rsidRPr="00AB093E">
        <w:rPr>
          <w:rFonts w:ascii="Times New Roman" w:eastAsia="Times New Roman" w:hAnsi="Times New Roman" w:cs="Times New Roman"/>
          <w:color w:val="000000"/>
          <w:sz w:val="24"/>
          <w:szCs w:val="24"/>
          <w:lang w:val="en-ZW" w:eastAsia="en-ZW"/>
        </w:rPr>
        <w:t>the appellant</w:t>
      </w:r>
      <w:r w:rsidR="00AE3E6B">
        <w:rPr>
          <w:rFonts w:ascii="Times New Roman" w:eastAsia="Times New Roman" w:hAnsi="Times New Roman" w:cs="Times New Roman"/>
          <w:color w:val="000000"/>
          <w:sz w:val="24"/>
          <w:szCs w:val="24"/>
          <w:lang w:val="en-ZW" w:eastAsia="en-ZW"/>
        </w:rPr>
        <w:t>”</w:t>
      </w:r>
      <w:r w:rsidRPr="00AB093E">
        <w:rPr>
          <w:rFonts w:ascii="Times New Roman" w:eastAsia="Times New Roman" w:hAnsi="Times New Roman" w:cs="Times New Roman"/>
          <w:color w:val="000000"/>
          <w:sz w:val="24"/>
          <w:szCs w:val="24"/>
          <w:lang w:val="en-ZW" w:eastAsia="en-ZW"/>
        </w:rPr>
        <w:t>) was interdicted from occupying or effecting any form of development and constructing at stands numbers 1497, 1498 1499, 1500 and 1501</w:t>
      </w:r>
      <w:r w:rsidR="008E429C">
        <w:rPr>
          <w:rFonts w:ascii="Times New Roman" w:eastAsia="Times New Roman" w:hAnsi="Times New Roman" w:cs="Times New Roman"/>
          <w:color w:val="000000"/>
          <w:sz w:val="24"/>
          <w:szCs w:val="24"/>
          <w:lang w:val="en-ZW" w:eastAsia="en-ZW"/>
        </w:rPr>
        <w:t>,</w:t>
      </w:r>
      <w:r w:rsidRPr="00AB093E">
        <w:rPr>
          <w:rFonts w:ascii="Times New Roman" w:eastAsia="Times New Roman" w:hAnsi="Times New Roman" w:cs="Times New Roman"/>
          <w:color w:val="000000"/>
          <w:sz w:val="24"/>
          <w:szCs w:val="24"/>
          <w:lang w:val="en-ZW" w:eastAsia="en-ZW"/>
        </w:rPr>
        <w:t xml:space="preserve"> Nyazura Township</w:t>
      </w:r>
      <w:r w:rsidR="00132A63">
        <w:rPr>
          <w:rFonts w:ascii="Times New Roman" w:eastAsia="Times New Roman" w:hAnsi="Times New Roman" w:cs="Times New Roman"/>
          <w:color w:val="000000"/>
          <w:sz w:val="24"/>
          <w:szCs w:val="24"/>
          <w:lang w:val="en-ZW" w:eastAsia="en-ZW"/>
        </w:rPr>
        <w:t>,</w:t>
      </w:r>
      <w:r w:rsidRPr="00AB093E">
        <w:rPr>
          <w:rFonts w:ascii="Times New Roman" w:eastAsia="Times New Roman" w:hAnsi="Times New Roman" w:cs="Times New Roman"/>
          <w:color w:val="000000"/>
          <w:sz w:val="24"/>
          <w:szCs w:val="24"/>
          <w:lang w:val="en-ZW" w:eastAsia="en-ZW"/>
        </w:rPr>
        <w:t xml:space="preserve"> Nyazura. The stands in question had been allocated an</w:t>
      </w:r>
      <w:r w:rsidR="00575F3C">
        <w:rPr>
          <w:rFonts w:ascii="Times New Roman" w:eastAsia="Times New Roman" w:hAnsi="Times New Roman" w:cs="Times New Roman"/>
          <w:color w:val="000000"/>
          <w:sz w:val="24"/>
          <w:szCs w:val="24"/>
          <w:lang w:val="en-ZW" w:eastAsia="en-ZW"/>
        </w:rPr>
        <w:t>d</w:t>
      </w:r>
      <w:r w:rsidRPr="00AB093E">
        <w:rPr>
          <w:rFonts w:ascii="Times New Roman" w:eastAsia="Times New Roman" w:hAnsi="Times New Roman" w:cs="Times New Roman"/>
          <w:color w:val="000000"/>
          <w:sz w:val="24"/>
          <w:szCs w:val="24"/>
          <w:lang w:val="en-ZW" w:eastAsia="en-ZW"/>
        </w:rPr>
        <w:t xml:space="preserve"> sold to the first respondent Nathan Amos Kadurira by the second respondent Makoni Rural District </w:t>
      </w:r>
      <w:r w:rsidR="007A100E">
        <w:rPr>
          <w:rFonts w:ascii="Times New Roman" w:eastAsia="Times New Roman" w:hAnsi="Times New Roman" w:cs="Times New Roman"/>
          <w:color w:val="000000"/>
          <w:sz w:val="24"/>
          <w:szCs w:val="24"/>
          <w:lang w:val="en-ZW" w:eastAsia="en-ZW"/>
        </w:rPr>
        <w:t>Council (hereinafter referred to as “the Council”</w:t>
      </w:r>
      <w:r w:rsidRPr="00AB093E">
        <w:rPr>
          <w:rFonts w:ascii="Times New Roman" w:eastAsia="Times New Roman" w:hAnsi="Times New Roman" w:cs="Times New Roman"/>
          <w:color w:val="000000"/>
          <w:sz w:val="24"/>
          <w:szCs w:val="24"/>
          <w:lang w:val="en-ZW" w:eastAsia="en-ZW"/>
        </w:rPr>
        <w:t>) in compensation for land that had been taken from him after reallocation to another party. The appellant was also ordered to remove all its equipment and materials.</w:t>
      </w:r>
    </w:p>
    <w:p w:rsidR="00AB093E" w:rsidRPr="00AB093E" w:rsidRDefault="00AB093E" w:rsidP="003B5705">
      <w:pPr>
        <w:spacing w:after="160" w:line="360" w:lineRule="auto"/>
        <w:ind w:firstLine="720"/>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The lower court’s reasons for granting the interdict highlighted that the</w:t>
      </w:r>
      <w:r w:rsidR="009637BD">
        <w:rPr>
          <w:rFonts w:ascii="Times New Roman" w:eastAsia="Times New Roman" w:hAnsi="Times New Roman" w:cs="Times New Roman"/>
          <w:color w:val="000000"/>
          <w:sz w:val="24"/>
          <w:szCs w:val="24"/>
          <w:lang w:val="en-ZW" w:eastAsia="en-ZW"/>
        </w:rPr>
        <w:t xml:space="preserve">re was no material dispute of </w:t>
      </w:r>
      <w:r w:rsidRPr="00AB093E">
        <w:rPr>
          <w:rFonts w:ascii="Times New Roman" w:eastAsia="Times New Roman" w:hAnsi="Times New Roman" w:cs="Times New Roman"/>
          <w:color w:val="000000"/>
          <w:sz w:val="24"/>
          <w:szCs w:val="24"/>
          <w:lang w:val="en-ZW" w:eastAsia="en-ZW"/>
        </w:rPr>
        <w:t xml:space="preserve">fact and that a robust approach could be taken without prejudice. The court </w:t>
      </w:r>
      <w:r w:rsidRPr="00AA3EB0">
        <w:rPr>
          <w:rFonts w:ascii="Times New Roman" w:eastAsia="Times New Roman" w:hAnsi="Times New Roman" w:cs="Times New Roman"/>
          <w:i/>
          <w:color w:val="000000"/>
          <w:sz w:val="24"/>
          <w:szCs w:val="24"/>
          <w:lang w:val="en-ZW" w:eastAsia="en-ZW"/>
        </w:rPr>
        <w:t>a quo</w:t>
      </w:r>
      <w:r w:rsidRPr="00AB093E">
        <w:rPr>
          <w:rFonts w:ascii="Times New Roman" w:eastAsia="Times New Roman" w:hAnsi="Times New Roman" w:cs="Times New Roman"/>
          <w:color w:val="000000"/>
          <w:sz w:val="24"/>
          <w:szCs w:val="24"/>
          <w:lang w:val="en-ZW" w:eastAsia="en-ZW"/>
        </w:rPr>
        <w:t xml:space="preserve"> also reasoned that there was a need to look at special circumstance</w:t>
      </w:r>
      <w:r w:rsidR="00AA3EB0">
        <w:rPr>
          <w:rFonts w:ascii="Times New Roman" w:eastAsia="Times New Roman" w:hAnsi="Times New Roman" w:cs="Times New Roman"/>
          <w:color w:val="000000"/>
          <w:sz w:val="24"/>
          <w:szCs w:val="24"/>
          <w:lang w:val="en-ZW" w:eastAsia="en-ZW"/>
        </w:rPr>
        <w:t>s</w:t>
      </w:r>
      <w:r w:rsidRPr="00AB093E">
        <w:rPr>
          <w:rFonts w:ascii="Times New Roman" w:eastAsia="Times New Roman" w:hAnsi="Times New Roman" w:cs="Times New Roman"/>
          <w:color w:val="000000"/>
          <w:sz w:val="24"/>
          <w:szCs w:val="24"/>
          <w:lang w:val="en-ZW" w:eastAsia="en-ZW"/>
        </w:rPr>
        <w:t xml:space="preserve"> that may depart from rule of ownership being proven by title deeds, i.e. where rights can be protected without registration. The court had also looked at the allocation letter and at the history of allocation and double sales pertaining to allocation of land to the first respondent. It highlighted that the letter was not disputed </w:t>
      </w:r>
      <w:r w:rsidRPr="00AB093E">
        <w:rPr>
          <w:rFonts w:ascii="Times New Roman" w:eastAsia="Times New Roman" w:hAnsi="Times New Roman" w:cs="Times New Roman"/>
          <w:color w:val="000000"/>
          <w:sz w:val="24"/>
          <w:szCs w:val="24"/>
          <w:lang w:val="en-ZW" w:eastAsia="en-ZW"/>
        </w:rPr>
        <w:lastRenderedPageBreak/>
        <w:t>by the Council and that it admitted to dealing with first respondent as applicant regarding the land in dispute. It had also noted that a purchase price had been paid by the first respondent who had then fallen victim to bad administration by Council.</w:t>
      </w:r>
    </w:p>
    <w:p w:rsidR="00AB093E" w:rsidRPr="00AB093E" w:rsidRDefault="00AB093E" w:rsidP="003B5705">
      <w:pPr>
        <w:spacing w:after="160" w:line="360" w:lineRule="auto"/>
        <w:ind w:firstLine="720"/>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Equally important</w:t>
      </w:r>
      <w:r w:rsidR="00E070DF">
        <w:rPr>
          <w:rFonts w:ascii="Times New Roman" w:eastAsia="Times New Roman" w:hAnsi="Times New Roman" w:cs="Times New Roman"/>
          <w:color w:val="000000"/>
          <w:sz w:val="24"/>
          <w:szCs w:val="24"/>
          <w:lang w:val="en-ZW" w:eastAsia="en-ZW"/>
        </w:rPr>
        <w:t xml:space="preserve"> is that</w:t>
      </w:r>
      <w:r w:rsidR="004D786B">
        <w:rPr>
          <w:rFonts w:ascii="Times New Roman" w:eastAsia="Times New Roman" w:hAnsi="Times New Roman" w:cs="Times New Roman"/>
          <w:color w:val="000000"/>
          <w:sz w:val="24"/>
          <w:szCs w:val="24"/>
          <w:lang w:val="en-ZW" w:eastAsia="en-ZW"/>
        </w:rPr>
        <w:t xml:space="preserve"> the lower court found</w:t>
      </w:r>
      <w:r w:rsidRPr="00AB093E">
        <w:rPr>
          <w:rFonts w:ascii="Times New Roman" w:eastAsia="Times New Roman" w:hAnsi="Times New Roman" w:cs="Times New Roman"/>
          <w:color w:val="000000"/>
          <w:sz w:val="24"/>
          <w:szCs w:val="24"/>
          <w:lang w:val="en-ZW" w:eastAsia="en-ZW"/>
        </w:rPr>
        <w:t xml:space="preserve"> the requirements of an interdict to have been satisfied. The first respondent having paid for land and having been allocated </w:t>
      </w:r>
      <w:r w:rsidR="001F0AEF">
        <w:rPr>
          <w:rFonts w:ascii="Times New Roman" w:eastAsia="Times New Roman" w:hAnsi="Times New Roman" w:cs="Times New Roman"/>
          <w:color w:val="000000"/>
          <w:sz w:val="24"/>
          <w:szCs w:val="24"/>
          <w:lang w:val="en-ZW" w:eastAsia="en-ZW"/>
        </w:rPr>
        <w:t xml:space="preserve">the </w:t>
      </w:r>
      <w:r w:rsidRPr="00AB093E">
        <w:rPr>
          <w:rFonts w:ascii="Times New Roman" w:eastAsia="Times New Roman" w:hAnsi="Times New Roman" w:cs="Times New Roman"/>
          <w:color w:val="000000"/>
          <w:sz w:val="24"/>
          <w:szCs w:val="24"/>
          <w:lang w:val="en-ZW" w:eastAsia="en-ZW"/>
        </w:rPr>
        <w:t>land</w:t>
      </w:r>
      <w:r w:rsidR="001F0AEF">
        <w:rPr>
          <w:rFonts w:ascii="Times New Roman" w:eastAsia="Times New Roman" w:hAnsi="Times New Roman" w:cs="Times New Roman"/>
          <w:color w:val="000000"/>
          <w:sz w:val="24"/>
          <w:szCs w:val="24"/>
          <w:lang w:val="en-ZW" w:eastAsia="en-ZW"/>
        </w:rPr>
        <w:t xml:space="preserve"> effectively</w:t>
      </w:r>
      <w:r w:rsidRPr="00AB093E">
        <w:rPr>
          <w:rFonts w:ascii="Times New Roman" w:eastAsia="Times New Roman" w:hAnsi="Times New Roman" w:cs="Times New Roman"/>
          <w:color w:val="000000"/>
          <w:sz w:val="24"/>
          <w:szCs w:val="24"/>
          <w:lang w:val="en-ZW" w:eastAsia="en-ZW"/>
        </w:rPr>
        <w:t xml:space="preserve"> made him </w:t>
      </w:r>
      <w:r w:rsidR="001F0AEF">
        <w:rPr>
          <w:rFonts w:ascii="Times New Roman" w:eastAsia="Times New Roman" w:hAnsi="Times New Roman" w:cs="Times New Roman"/>
          <w:color w:val="000000"/>
          <w:sz w:val="24"/>
          <w:szCs w:val="24"/>
          <w:lang w:val="en-ZW" w:eastAsia="en-ZW"/>
        </w:rPr>
        <w:t xml:space="preserve">the </w:t>
      </w:r>
      <w:r w:rsidRPr="00AB093E">
        <w:rPr>
          <w:rFonts w:ascii="Times New Roman" w:eastAsia="Times New Roman" w:hAnsi="Times New Roman" w:cs="Times New Roman"/>
          <w:color w:val="000000"/>
          <w:sz w:val="24"/>
          <w:szCs w:val="24"/>
          <w:lang w:val="en-ZW" w:eastAsia="en-ZW"/>
        </w:rPr>
        <w:t>owner</w:t>
      </w:r>
      <w:r w:rsidR="001F0AEF">
        <w:rPr>
          <w:rFonts w:ascii="Times New Roman" w:eastAsia="Times New Roman" w:hAnsi="Times New Roman" w:cs="Times New Roman"/>
          <w:color w:val="000000"/>
          <w:sz w:val="24"/>
          <w:szCs w:val="24"/>
          <w:lang w:val="en-ZW" w:eastAsia="en-ZW"/>
        </w:rPr>
        <w:t xml:space="preserve"> of such land. Accordingly, the lower court found that he had</w:t>
      </w:r>
      <w:r w:rsidRPr="00AB093E">
        <w:rPr>
          <w:rFonts w:ascii="Times New Roman" w:eastAsia="Times New Roman" w:hAnsi="Times New Roman" w:cs="Times New Roman"/>
          <w:color w:val="000000"/>
          <w:sz w:val="24"/>
          <w:szCs w:val="24"/>
          <w:lang w:val="en-ZW" w:eastAsia="en-ZW"/>
        </w:rPr>
        <w:t xml:space="preserve"> established a clear right. The court also reasoned that the council was the only body that the first respondent could have approached as it administers the land in question. It also found that the Council had shown a failure to appreciate the rights of </w:t>
      </w:r>
      <w:r w:rsidR="00641B22">
        <w:rPr>
          <w:rFonts w:ascii="Times New Roman" w:eastAsia="Times New Roman" w:hAnsi="Times New Roman" w:cs="Times New Roman"/>
          <w:color w:val="000000"/>
          <w:sz w:val="24"/>
          <w:szCs w:val="24"/>
          <w:lang w:val="en-ZW" w:eastAsia="en-ZW"/>
        </w:rPr>
        <w:t xml:space="preserve">the </w:t>
      </w:r>
      <w:r w:rsidRPr="00AB093E">
        <w:rPr>
          <w:rFonts w:ascii="Times New Roman" w:eastAsia="Times New Roman" w:hAnsi="Times New Roman" w:cs="Times New Roman"/>
          <w:color w:val="000000"/>
          <w:sz w:val="24"/>
          <w:szCs w:val="24"/>
          <w:lang w:val="en-ZW" w:eastAsia="en-ZW"/>
        </w:rPr>
        <w:t>first respondent as applicant</w:t>
      </w:r>
      <w:r w:rsidR="00675843">
        <w:rPr>
          <w:rFonts w:ascii="Times New Roman" w:eastAsia="Times New Roman" w:hAnsi="Times New Roman" w:cs="Times New Roman"/>
          <w:color w:val="000000"/>
          <w:sz w:val="24"/>
          <w:szCs w:val="24"/>
          <w:lang w:val="en-ZW" w:eastAsia="en-ZW"/>
        </w:rPr>
        <w:t>, thus</w:t>
      </w:r>
      <w:r w:rsidRPr="00AB093E">
        <w:rPr>
          <w:rFonts w:ascii="Times New Roman" w:eastAsia="Times New Roman" w:hAnsi="Times New Roman" w:cs="Times New Roman"/>
          <w:color w:val="000000"/>
          <w:sz w:val="24"/>
          <w:szCs w:val="24"/>
          <w:lang w:val="en-ZW" w:eastAsia="en-ZW"/>
        </w:rPr>
        <w:t xml:space="preserve"> leaving him </w:t>
      </w:r>
      <w:r w:rsidR="00675843">
        <w:rPr>
          <w:rFonts w:ascii="Times New Roman" w:eastAsia="Times New Roman" w:hAnsi="Times New Roman" w:cs="Times New Roman"/>
          <w:color w:val="000000"/>
          <w:sz w:val="24"/>
          <w:szCs w:val="24"/>
          <w:lang w:val="en-ZW" w:eastAsia="en-ZW"/>
        </w:rPr>
        <w:t>with no remedy except</w:t>
      </w:r>
      <w:r w:rsidRPr="00AB093E">
        <w:rPr>
          <w:rFonts w:ascii="Times New Roman" w:eastAsia="Times New Roman" w:hAnsi="Times New Roman" w:cs="Times New Roman"/>
          <w:color w:val="000000"/>
          <w:sz w:val="24"/>
          <w:szCs w:val="24"/>
          <w:lang w:val="en-ZW" w:eastAsia="en-ZW"/>
        </w:rPr>
        <w:t xml:space="preserve"> to seek an interdict. It concluded that the appellant on the other hand could approach the Council for any losses it may have incurred. </w:t>
      </w:r>
    </w:p>
    <w:p w:rsidR="00AB093E" w:rsidRPr="00AB093E" w:rsidRDefault="00AB093E" w:rsidP="003B5705">
      <w:pPr>
        <w:spacing w:after="160" w:line="360" w:lineRule="auto"/>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b/>
          <w:bCs/>
          <w:color w:val="000000"/>
          <w:sz w:val="24"/>
          <w:szCs w:val="24"/>
          <w:u w:val="single"/>
          <w:lang w:val="en-ZW" w:eastAsia="en-ZW"/>
        </w:rPr>
        <w:t>The grounds of appeal</w:t>
      </w:r>
      <w:r w:rsidRPr="00AB093E">
        <w:rPr>
          <w:rFonts w:ascii="Times New Roman" w:eastAsia="Times New Roman" w:hAnsi="Times New Roman" w:cs="Times New Roman"/>
          <w:b/>
          <w:bCs/>
          <w:color w:val="000000"/>
          <w:sz w:val="24"/>
          <w:szCs w:val="24"/>
          <w:u w:val="single"/>
          <w:lang w:val="en-ZW" w:eastAsia="en-ZW"/>
        </w:rPr>
        <w:br/>
      </w:r>
      <w:r w:rsidR="0093144C">
        <w:rPr>
          <w:rFonts w:ascii="Times New Roman" w:eastAsia="Times New Roman" w:hAnsi="Times New Roman" w:cs="Times New Roman"/>
          <w:color w:val="000000"/>
          <w:sz w:val="24"/>
          <w:szCs w:val="24"/>
          <w:lang w:val="en-ZW" w:eastAsia="en-ZW"/>
        </w:rPr>
        <w:t>G</w:t>
      </w:r>
      <w:r w:rsidRPr="00AB093E">
        <w:rPr>
          <w:rFonts w:ascii="Times New Roman" w:eastAsia="Times New Roman" w:hAnsi="Times New Roman" w:cs="Times New Roman"/>
          <w:color w:val="000000"/>
          <w:sz w:val="24"/>
          <w:szCs w:val="24"/>
          <w:lang w:val="en-ZW" w:eastAsia="en-ZW"/>
        </w:rPr>
        <w:t>rounds of appeal in this appeal were that the court erred and misdirected itself in the following seven ways:</w:t>
      </w:r>
    </w:p>
    <w:p w:rsidR="00AB093E" w:rsidRPr="00AB093E" w:rsidRDefault="00AB093E" w:rsidP="003B5705">
      <w:pPr>
        <w:numPr>
          <w:ilvl w:val="0"/>
          <w:numId w:val="35"/>
        </w:numPr>
        <w:spacing w:line="360" w:lineRule="auto"/>
        <w:jc w:val="both"/>
        <w:textAlignment w:val="baseline"/>
        <w:rPr>
          <w:rFonts w:ascii="Times New Roman" w:eastAsia="Times New Roman" w:hAnsi="Times New Roman" w:cs="Times New Roman"/>
          <w:color w:val="000000"/>
          <w:sz w:val="24"/>
          <w:szCs w:val="24"/>
          <w:lang w:val="en-ZW" w:eastAsia="en-ZW"/>
        </w:rPr>
      </w:pPr>
      <w:r w:rsidRPr="00AB093E">
        <w:rPr>
          <w:rFonts w:ascii="Times New Roman" w:eastAsia="Times New Roman" w:hAnsi="Times New Roman" w:cs="Times New Roman"/>
          <w:color w:val="000000"/>
          <w:sz w:val="24"/>
          <w:szCs w:val="24"/>
          <w:lang w:val="en-ZW" w:eastAsia="en-ZW"/>
        </w:rPr>
        <w:t xml:space="preserve">By making a finding that there </w:t>
      </w:r>
      <w:proofErr w:type="gramStart"/>
      <w:r w:rsidRPr="00AB093E">
        <w:rPr>
          <w:rFonts w:ascii="Times New Roman" w:eastAsia="Times New Roman" w:hAnsi="Times New Roman" w:cs="Times New Roman"/>
          <w:color w:val="000000"/>
          <w:sz w:val="24"/>
          <w:szCs w:val="24"/>
          <w:lang w:val="en-ZW" w:eastAsia="en-ZW"/>
        </w:rPr>
        <w:t>were</w:t>
      </w:r>
      <w:proofErr w:type="gramEnd"/>
      <w:r w:rsidRPr="00AB093E">
        <w:rPr>
          <w:rFonts w:ascii="Times New Roman" w:eastAsia="Times New Roman" w:hAnsi="Times New Roman" w:cs="Times New Roman"/>
          <w:color w:val="000000"/>
          <w:sz w:val="24"/>
          <w:szCs w:val="24"/>
          <w:lang w:val="en-ZW" w:eastAsia="en-ZW"/>
        </w:rPr>
        <w:t xml:space="preserve"> no material dispute of facts when it was apparent from record that there were so many dispute of facts.</w:t>
      </w:r>
    </w:p>
    <w:p w:rsidR="00AB093E" w:rsidRPr="00AB093E" w:rsidRDefault="00AB093E" w:rsidP="003B5705">
      <w:pPr>
        <w:numPr>
          <w:ilvl w:val="0"/>
          <w:numId w:val="35"/>
        </w:numPr>
        <w:spacing w:line="360" w:lineRule="auto"/>
        <w:jc w:val="both"/>
        <w:textAlignment w:val="baseline"/>
        <w:rPr>
          <w:rFonts w:ascii="Times New Roman" w:eastAsia="Times New Roman" w:hAnsi="Times New Roman" w:cs="Times New Roman"/>
          <w:color w:val="000000"/>
          <w:sz w:val="24"/>
          <w:szCs w:val="24"/>
          <w:lang w:val="en-ZW" w:eastAsia="en-ZW"/>
        </w:rPr>
      </w:pPr>
      <w:r w:rsidRPr="00AB093E">
        <w:rPr>
          <w:rFonts w:ascii="Times New Roman" w:eastAsia="Times New Roman" w:hAnsi="Times New Roman" w:cs="Times New Roman"/>
          <w:color w:val="000000"/>
          <w:sz w:val="24"/>
          <w:szCs w:val="24"/>
          <w:lang w:val="en-ZW" w:eastAsia="en-ZW"/>
        </w:rPr>
        <w:t>In finding that the first respondent satisfied the requirement of an interdict contrary to evidence placed before it</w:t>
      </w:r>
      <w:r w:rsidR="00487785">
        <w:rPr>
          <w:rFonts w:ascii="Times New Roman" w:eastAsia="Times New Roman" w:hAnsi="Times New Roman" w:cs="Times New Roman"/>
          <w:color w:val="000000"/>
          <w:sz w:val="24"/>
          <w:szCs w:val="24"/>
          <w:lang w:val="en-ZW" w:eastAsia="en-ZW"/>
        </w:rPr>
        <w:t>.</w:t>
      </w:r>
    </w:p>
    <w:p w:rsidR="00AB093E" w:rsidRPr="00AB093E" w:rsidRDefault="00AB093E" w:rsidP="003B5705">
      <w:pPr>
        <w:numPr>
          <w:ilvl w:val="0"/>
          <w:numId w:val="35"/>
        </w:numPr>
        <w:spacing w:line="360" w:lineRule="auto"/>
        <w:jc w:val="both"/>
        <w:textAlignment w:val="baseline"/>
        <w:rPr>
          <w:rFonts w:ascii="Times New Roman" w:eastAsia="Times New Roman" w:hAnsi="Times New Roman" w:cs="Times New Roman"/>
          <w:color w:val="000000"/>
          <w:sz w:val="24"/>
          <w:szCs w:val="24"/>
          <w:lang w:val="en-ZW" w:eastAsia="en-ZW"/>
        </w:rPr>
      </w:pPr>
      <w:r w:rsidRPr="00AB093E">
        <w:rPr>
          <w:rFonts w:ascii="Times New Roman" w:eastAsia="Times New Roman" w:hAnsi="Times New Roman" w:cs="Times New Roman"/>
          <w:color w:val="000000"/>
          <w:sz w:val="24"/>
          <w:szCs w:val="24"/>
          <w:lang w:val="en-ZW" w:eastAsia="en-ZW"/>
        </w:rPr>
        <w:t>In finding that the first respondent had provided sufficient evidence to prove that he had a right to the property notwithstanding that this was contradicted by evidence placed on record.</w:t>
      </w:r>
    </w:p>
    <w:p w:rsidR="00AB093E" w:rsidRPr="00AB093E" w:rsidRDefault="00AB093E" w:rsidP="003B5705">
      <w:pPr>
        <w:numPr>
          <w:ilvl w:val="0"/>
          <w:numId w:val="35"/>
        </w:numPr>
        <w:spacing w:line="360" w:lineRule="auto"/>
        <w:jc w:val="both"/>
        <w:textAlignment w:val="baseline"/>
        <w:rPr>
          <w:rFonts w:ascii="Times New Roman" w:eastAsia="Times New Roman" w:hAnsi="Times New Roman" w:cs="Times New Roman"/>
          <w:color w:val="000000"/>
          <w:sz w:val="24"/>
          <w:szCs w:val="24"/>
          <w:lang w:val="en-ZW" w:eastAsia="en-ZW"/>
        </w:rPr>
      </w:pPr>
      <w:r w:rsidRPr="00AB093E">
        <w:rPr>
          <w:rFonts w:ascii="Times New Roman" w:eastAsia="Times New Roman" w:hAnsi="Times New Roman" w:cs="Times New Roman"/>
          <w:color w:val="000000"/>
          <w:sz w:val="24"/>
          <w:szCs w:val="24"/>
          <w:lang w:val="en-ZW" w:eastAsia="en-ZW"/>
        </w:rPr>
        <w:t>In upholding the first respondent’s claim on the basis of speculative evidence despite the overwhelming evidence which showed that the appellant was a holder of a lease agreement with the second respondent</w:t>
      </w:r>
      <w:r w:rsidR="00487785">
        <w:rPr>
          <w:rFonts w:ascii="Times New Roman" w:eastAsia="Times New Roman" w:hAnsi="Times New Roman" w:cs="Times New Roman"/>
          <w:color w:val="000000"/>
          <w:sz w:val="24"/>
          <w:szCs w:val="24"/>
          <w:lang w:val="en-ZW" w:eastAsia="en-ZW"/>
        </w:rPr>
        <w:t>.</w:t>
      </w:r>
    </w:p>
    <w:p w:rsidR="00AB093E" w:rsidRPr="00AB093E" w:rsidRDefault="00AB093E" w:rsidP="003B5705">
      <w:pPr>
        <w:numPr>
          <w:ilvl w:val="0"/>
          <w:numId w:val="35"/>
        </w:numPr>
        <w:spacing w:line="360" w:lineRule="auto"/>
        <w:jc w:val="both"/>
        <w:textAlignment w:val="baseline"/>
        <w:rPr>
          <w:rFonts w:ascii="Times New Roman" w:eastAsia="Times New Roman" w:hAnsi="Times New Roman" w:cs="Times New Roman"/>
          <w:color w:val="000000"/>
          <w:sz w:val="24"/>
          <w:szCs w:val="24"/>
          <w:lang w:val="en-ZW" w:eastAsia="en-ZW"/>
        </w:rPr>
      </w:pPr>
      <w:r w:rsidRPr="00AB093E">
        <w:rPr>
          <w:rFonts w:ascii="Times New Roman" w:eastAsia="Times New Roman" w:hAnsi="Times New Roman" w:cs="Times New Roman"/>
          <w:color w:val="000000"/>
          <w:sz w:val="24"/>
          <w:szCs w:val="24"/>
          <w:lang w:val="en-ZW" w:eastAsia="en-ZW"/>
        </w:rPr>
        <w:t>In making a finding that there was a double sale wherein the property in issue was state land which could not have been sold.</w:t>
      </w:r>
    </w:p>
    <w:p w:rsidR="00AB093E" w:rsidRPr="00AB093E" w:rsidRDefault="00AB093E" w:rsidP="003B5705">
      <w:pPr>
        <w:numPr>
          <w:ilvl w:val="0"/>
          <w:numId w:val="35"/>
        </w:numPr>
        <w:spacing w:line="360" w:lineRule="auto"/>
        <w:jc w:val="both"/>
        <w:textAlignment w:val="baseline"/>
        <w:rPr>
          <w:rFonts w:ascii="Times New Roman" w:eastAsia="Times New Roman" w:hAnsi="Times New Roman" w:cs="Times New Roman"/>
          <w:color w:val="000000"/>
          <w:sz w:val="24"/>
          <w:szCs w:val="24"/>
          <w:lang w:val="en-ZW" w:eastAsia="en-ZW"/>
        </w:rPr>
      </w:pPr>
      <w:r w:rsidRPr="00AB093E">
        <w:rPr>
          <w:rFonts w:ascii="Times New Roman" w:eastAsia="Times New Roman" w:hAnsi="Times New Roman" w:cs="Times New Roman"/>
          <w:color w:val="000000"/>
          <w:sz w:val="24"/>
          <w:szCs w:val="24"/>
          <w:lang w:val="en-ZW" w:eastAsia="en-ZW"/>
        </w:rPr>
        <w:t>In holding that the property had been sold to the first respondent when the property was state land which could not have been sold to the first respondent</w:t>
      </w:r>
      <w:r w:rsidR="002226D1">
        <w:rPr>
          <w:rFonts w:ascii="Times New Roman" w:eastAsia="Times New Roman" w:hAnsi="Times New Roman" w:cs="Times New Roman"/>
          <w:color w:val="000000"/>
          <w:sz w:val="24"/>
          <w:szCs w:val="24"/>
          <w:lang w:val="en-ZW" w:eastAsia="en-ZW"/>
        </w:rPr>
        <w:t>.</w:t>
      </w:r>
    </w:p>
    <w:p w:rsidR="00AB093E" w:rsidRPr="00AB093E" w:rsidRDefault="00AB093E" w:rsidP="003B5705">
      <w:pPr>
        <w:numPr>
          <w:ilvl w:val="0"/>
          <w:numId w:val="35"/>
        </w:numPr>
        <w:spacing w:after="160" w:line="360" w:lineRule="auto"/>
        <w:jc w:val="both"/>
        <w:textAlignment w:val="baseline"/>
        <w:rPr>
          <w:rFonts w:ascii="Times New Roman" w:eastAsia="Times New Roman" w:hAnsi="Times New Roman" w:cs="Times New Roman"/>
          <w:color w:val="000000"/>
          <w:sz w:val="24"/>
          <w:szCs w:val="24"/>
          <w:lang w:val="en-ZW" w:eastAsia="en-ZW"/>
        </w:rPr>
      </w:pPr>
      <w:r w:rsidRPr="00AB093E">
        <w:rPr>
          <w:rFonts w:ascii="Times New Roman" w:eastAsia="Times New Roman" w:hAnsi="Times New Roman" w:cs="Times New Roman"/>
          <w:color w:val="000000"/>
          <w:sz w:val="24"/>
          <w:szCs w:val="24"/>
          <w:lang w:val="en-ZW" w:eastAsia="en-ZW"/>
        </w:rPr>
        <w:lastRenderedPageBreak/>
        <w:t>In making a finding that the property belonged to the first respondent in the absence of proof that he had completed the process of obtaining a lease agreement with the second respondent</w:t>
      </w:r>
    </w:p>
    <w:p w:rsidR="00AB093E" w:rsidRPr="00AB093E" w:rsidRDefault="00AB093E" w:rsidP="003B5705">
      <w:pPr>
        <w:spacing w:after="160" w:line="360" w:lineRule="auto"/>
        <w:ind w:firstLine="360"/>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 xml:space="preserve">The prayer sought was firstly, that the appeal succeeds with costs, and, secondly, that the judgment of the court </w:t>
      </w:r>
      <w:r w:rsidRPr="002226D1">
        <w:rPr>
          <w:rFonts w:ascii="Times New Roman" w:eastAsia="Times New Roman" w:hAnsi="Times New Roman" w:cs="Times New Roman"/>
          <w:i/>
          <w:color w:val="000000"/>
          <w:sz w:val="24"/>
          <w:szCs w:val="24"/>
          <w:lang w:val="en-ZW" w:eastAsia="en-ZW"/>
        </w:rPr>
        <w:t>a quo</w:t>
      </w:r>
      <w:r w:rsidRPr="00AB093E">
        <w:rPr>
          <w:rFonts w:ascii="Times New Roman" w:eastAsia="Times New Roman" w:hAnsi="Times New Roman" w:cs="Times New Roman"/>
          <w:color w:val="000000"/>
          <w:sz w:val="24"/>
          <w:szCs w:val="24"/>
          <w:lang w:val="en-ZW" w:eastAsia="en-ZW"/>
        </w:rPr>
        <w:t xml:space="preserve"> be set aside and in its place substituted the following</w:t>
      </w:r>
    </w:p>
    <w:p w:rsidR="00AB093E" w:rsidRPr="00AB093E" w:rsidRDefault="00AB093E" w:rsidP="003B5705">
      <w:pPr>
        <w:spacing w:after="160" w:line="360" w:lineRule="auto"/>
        <w:ind w:left="720"/>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“Applicant’s claim be and is hereby dismissed with costs.”</w:t>
      </w:r>
    </w:p>
    <w:p w:rsidR="00AB093E" w:rsidRPr="00AB093E" w:rsidRDefault="00AB093E" w:rsidP="003B5705">
      <w:pPr>
        <w:spacing w:after="160" w:line="360" w:lineRule="auto"/>
        <w:ind w:firstLine="720"/>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At the hearing</w:t>
      </w:r>
      <w:r w:rsidR="002226D1">
        <w:rPr>
          <w:rFonts w:ascii="Times New Roman" w:eastAsia="Times New Roman" w:hAnsi="Times New Roman" w:cs="Times New Roman"/>
          <w:color w:val="000000"/>
          <w:sz w:val="24"/>
          <w:szCs w:val="24"/>
          <w:lang w:val="en-ZW" w:eastAsia="en-ZW"/>
        </w:rPr>
        <w:t>,</w:t>
      </w:r>
      <w:r w:rsidRPr="00AB093E">
        <w:rPr>
          <w:rFonts w:ascii="Times New Roman" w:eastAsia="Times New Roman" w:hAnsi="Times New Roman" w:cs="Times New Roman"/>
          <w:color w:val="000000"/>
          <w:sz w:val="24"/>
          <w:szCs w:val="24"/>
          <w:lang w:val="en-ZW" w:eastAsia="en-ZW"/>
        </w:rPr>
        <w:t xml:space="preserve"> the first respondent raised two sets of points </w:t>
      </w:r>
      <w:r w:rsidRPr="00AB093E">
        <w:rPr>
          <w:rFonts w:ascii="Times New Roman" w:eastAsia="Times New Roman" w:hAnsi="Times New Roman" w:cs="Times New Roman"/>
          <w:i/>
          <w:iCs/>
          <w:color w:val="000000"/>
          <w:sz w:val="24"/>
          <w:szCs w:val="24"/>
          <w:lang w:val="en-ZW" w:eastAsia="en-ZW"/>
        </w:rPr>
        <w:t>in limine</w:t>
      </w:r>
      <w:r w:rsidR="002226D1">
        <w:rPr>
          <w:rFonts w:ascii="Times New Roman" w:eastAsia="Times New Roman" w:hAnsi="Times New Roman" w:cs="Times New Roman"/>
          <w:color w:val="000000"/>
          <w:sz w:val="24"/>
          <w:szCs w:val="24"/>
          <w:lang w:val="en-ZW" w:eastAsia="en-ZW"/>
        </w:rPr>
        <w:t xml:space="preserve">, </w:t>
      </w:r>
      <w:r w:rsidRPr="00AB093E">
        <w:rPr>
          <w:rFonts w:ascii="Times New Roman" w:eastAsia="Times New Roman" w:hAnsi="Times New Roman" w:cs="Times New Roman"/>
          <w:color w:val="000000"/>
          <w:sz w:val="24"/>
          <w:szCs w:val="24"/>
          <w:lang w:val="en-ZW" w:eastAsia="en-ZW"/>
        </w:rPr>
        <w:t>firstly</w:t>
      </w:r>
      <w:r w:rsidR="002226D1">
        <w:rPr>
          <w:rFonts w:ascii="Times New Roman" w:eastAsia="Times New Roman" w:hAnsi="Times New Roman" w:cs="Times New Roman"/>
          <w:color w:val="000000"/>
          <w:sz w:val="24"/>
          <w:szCs w:val="24"/>
          <w:lang w:val="en-ZW" w:eastAsia="en-ZW"/>
        </w:rPr>
        <w:t>,</w:t>
      </w:r>
      <w:r w:rsidRPr="00AB093E">
        <w:rPr>
          <w:rFonts w:ascii="Times New Roman" w:eastAsia="Times New Roman" w:hAnsi="Times New Roman" w:cs="Times New Roman"/>
          <w:color w:val="000000"/>
          <w:sz w:val="24"/>
          <w:szCs w:val="24"/>
          <w:lang w:val="en-ZW" w:eastAsia="en-ZW"/>
        </w:rPr>
        <w:t xml:space="preserve"> regarding the impropriety of the standing of the Council as the second respondent when it had in fact filed papers in support of </w:t>
      </w:r>
      <w:r w:rsidR="002226D1">
        <w:rPr>
          <w:rFonts w:ascii="Times New Roman" w:eastAsia="Times New Roman" w:hAnsi="Times New Roman" w:cs="Times New Roman"/>
          <w:color w:val="000000"/>
          <w:sz w:val="24"/>
          <w:szCs w:val="24"/>
          <w:lang w:val="en-ZW" w:eastAsia="en-ZW"/>
        </w:rPr>
        <w:t xml:space="preserve">the </w:t>
      </w:r>
      <w:r w:rsidRPr="00AB093E">
        <w:rPr>
          <w:rFonts w:ascii="Times New Roman" w:eastAsia="Times New Roman" w:hAnsi="Times New Roman" w:cs="Times New Roman"/>
          <w:color w:val="000000"/>
          <w:sz w:val="24"/>
          <w:szCs w:val="24"/>
          <w:lang w:val="en-ZW" w:eastAsia="en-ZW"/>
        </w:rPr>
        <w:t xml:space="preserve">appellant. The second set of points of in </w:t>
      </w:r>
      <w:r w:rsidRPr="006263B8">
        <w:rPr>
          <w:rFonts w:ascii="Times New Roman" w:eastAsia="Times New Roman" w:hAnsi="Times New Roman" w:cs="Times New Roman"/>
          <w:i/>
          <w:color w:val="000000"/>
          <w:sz w:val="24"/>
          <w:szCs w:val="24"/>
          <w:lang w:val="en-ZW" w:eastAsia="en-ZW"/>
        </w:rPr>
        <w:t>limine</w:t>
      </w:r>
      <w:r w:rsidRPr="00AB093E">
        <w:rPr>
          <w:rFonts w:ascii="Times New Roman" w:eastAsia="Times New Roman" w:hAnsi="Times New Roman" w:cs="Times New Roman"/>
          <w:color w:val="000000"/>
          <w:sz w:val="24"/>
          <w:szCs w:val="24"/>
          <w:lang w:val="en-ZW" w:eastAsia="en-ZW"/>
        </w:rPr>
        <w:t xml:space="preserve"> related to t</w:t>
      </w:r>
      <w:r w:rsidR="00564D8D">
        <w:rPr>
          <w:rFonts w:ascii="Times New Roman" w:eastAsia="Times New Roman" w:hAnsi="Times New Roman" w:cs="Times New Roman"/>
          <w:color w:val="000000"/>
          <w:sz w:val="24"/>
          <w:szCs w:val="24"/>
          <w:lang w:val="en-ZW" w:eastAsia="en-ZW"/>
        </w:rPr>
        <w:t>he appellant’s grounds of appeal,</w:t>
      </w:r>
      <w:r w:rsidR="00877641">
        <w:rPr>
          <w:rFonts w:ascii="Times New Roman" w:eastAsia="Times New Roman" w:hAnsi="Times New Roman" w:cs="Times New Roman"/>
          <w:color w:val="000000"/>
          <w:sz w:val="24"/>
          <w:szCs w:val="24"/>
          <w:lang w:val="en-ZW" w:eastAsia="en-ZW"/>
        </w:rPr>
        <w:t xml:space="preserve"> which were said to be un</w:t>
      </w:r>
      <w:r w:rsidRPr="00AB093E">
        <w:rPr>
          <w:rFonts w:ascii="Times New Roman" w:eastAsia="Times New Roman" w:hAnsi="Times New Roman" w:cs="Times New Roman"/>
          <w:color w:val="000000"/>
          <w:sz w:val="24"/>
          <w:szCs w:val="24"/>
          <w:lang w:val="en-ZW" w:eastAsia="en-ZW"/>
        </w:rPr>
        <w:t xml:space="preserve">clear and </w:t>
      </w:r>
      <w:r w:rsidR="00210375">
        <w:rPr>
          <w:rFonts w:ascii="Times New Roman" w:eastAsia="Times New Roman" w:hAnsi="Times New Roman" w:cs="Times New Roman"/>
          <w:color w:val="000000"/>
          <w:sz w:val="24"/>
          <w:szCs w:val="24"/>
          <w:lang w:val="en-ZW" w:eastAsia="en-ZW"/>
        </w:rPr>
        <w:t>in</w:t>
      </w:r>
      <w:r w:rsidRPr="00AB093E">
        <w:rPr>
          <w:rFonts w:ascii="Times New Roman" w:eastAsia="Times New Roman" w:hAnsi="Times New Roman" w:cs="Times New Roman"/>
          <w:color w:val="000000"/>
          <w:sz w:val="24"/>
          <w:szCs w:val="24"/>
          <w:lang w:val="en-ZW" w:eastAsia="en-ZW"/>
        </w:rPr>
        <w:t>concise. Whilst appellant abandoned grounds 3, 5 and 7 at the hearing, the first respondent argued that the remaining grounds were equally faulty and that the appeal ought to be dismissed. </w:t>
      </w:r>
    </w:p>
    <w:p w:rsidR="00AB093E" w:rsidRPr="00AB093E" w:rsidRDefault="00AB093E" w:rsidP="003B5705">
      <w:pPr>
        <w:spacing w:after="160" w:line="360" w:lineRule="auto"/>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 xml:space="preserve">The court concluded </w:t>
      </w:r>
      <w:r w:rsidR="00EC4B5A">
        <w:rPr>
          <w:rFonts w:ascii="Times New Roman" w:eastAsia="Times New Roman" w:hAnsi="Times New Roman" w:cs="Times New Roman"/>
          <w:color w:val="000000"/>
          <w:sz w:val="24"/>
          <w:szCs w:val="24"/>
          <w:lang w:val="en-ZW" w:eastAsia="en-ZW"/>
        </w:rPr>
        <w:t xml:space="preserve">that </w:t>
      </w:r>
      <w:r w:rsidRPr="00AB093E">
        <w:rPr>
          <w:rFonts w:ascii="Times New Roman" w:eastAsia="Times New Roman" w:hAnsi="Times New Roman" w:cs="Times New Roman"/>
          <w:color w:val="000000"/>
          <w:sz w:val="24"/>
          <w:szCs w:val="24"/>
          <w:lang w:val="en-ZW" w:eastAsia="en-ZW"/>
        </w:rPr>
        <w:t xml:space="preserve">the point </w:t>
      </w:r>
      <w:r w:rsidRPr="00AB093E">
        <w:rPr>
          <w:rFonts w:ascii="Times New Roman" w:eastAsia="Times New Roman" w:hAnsi="Times New Roman" w:cs="Times New Roman"/>
          <w:i/>
          <w:iCs/>
          <w:color w:val="000000"/>
          <w:sz w:val="24"/>
          <w:szCs w:val="24"/>
          <w:lang w:val="en-ZW" w:eastAsia="en-ZW"/>
        </w:rPr>
        <w:t>in limine</w:t>
      </w:r>
      <w:r w:rsidRPr="00AB093E">
        <w:rPr>
          <w:rFonts w:ascii="Times New Roman" w:eastAsia="Times New Roman" w:hAnsi="Times New Roman" w:cs="Times New Roman"/>
          <w:color w:val="000000"/>
          <w:sz w:val="24"/>
          <w:szCs w:val="24"/>
          <w:lang w:val="en-ZW" w:eastAsia="en-ZW"/>
        </w:rPr>
        <w:t xml:space="preserve"> regarding the Council’s standing as second respondent</w:t>
      </w:r>
      <w:r w:rsidR="00EC4B5A">
        <w:rPr>
          <w:rFonts w:ascii="Times New Roman" w:eastAsia="Times New Roman" w:hAnsi="Times New Roman" w:cs="Times New Roman"/>
          <w:color w:val="000000"/>
          <w:sz w:val="24"/>
          <w:szCs w:val="24"/>
          <w:lang w:val="en-ZW" w:eastAsia="en-ZW"/>
        </w:rPr>
        <w:t xml:space="preserve"> could be upheld</w:t>
      </w:r>
      <w:r w:rsidRPr="00AB093E">
        <w:rPr>
          <w:rFonts w:ascii="Times New Roman" w:eastAsia="Times New Roman" w:hAnsi="Times New Roman" w:cs="Times New Roman"/>
          <w:color w:val="000000"/>
          <w:sz w:val="24"/>
          <w:szCs w:val="24"/>
          <w:lang w:val="en-ZW" w:eastAsia="en-ZW"/>
        </w:rPr>
        <w:t xml:space="preserve">. However, the court reserved judgment on the points </w:t>
      </w:r>
      <w:r w:rsidRPr="00AB093E">
        <w:rPr>
          <w:rFonts w:ascii="Times New Roman" w:eastAsia="Times New Roman" w:hAnsi="Times New Roman" w:cs="Times New Roman"/>
          <w:i/>
          <w:iCs/>
          <w:color w:val="000000"/>
          <w:sz w:val="24"/>
          <w:szCs w:val="24"/>
          <w:lang w:val="en-ZW" w:eastAsia="en-ZW"/>
        </w:rPr>
        <w:t>in limine</w:t>
      </w:r>
      <w:r w:rsidRPr="00AB093E">
        <w:rPr>
          <w:rFonts w:ascii="Times New Roman" w:eastAsia="Times New Roman" w:hAnsi="Times New Roman" w:cs="Times New Roman"/>
          <w:color w:val="000000"/>
          <w:sz w:val="24"/>
          <w:szCs w:val="24"/>
          <w:lang w:val="en-ZW" w:eastAsia="en-ZW"/>
        </w:rPr>
        <w:t xml:space="preserve"> pertaining to the appellant’s grounds of appeal. This was on the understanding that the merits of the appeal, though addressed in court, would only be dealt with in the judgment if the points </w:t>
      </w:r>
      <w:r w:rsidRPr="00AB093E">
        <w:rPr>
          <w:rFonts w:ascii="Times New Roman" w:eastAsia="Times New Roman" w:hAnsi="Times New Roman" w:cs="Times New Roman"/>
          <w:i/>
          <w:iCs/>
          <w:color w:val="000000"/>
          <w:sz w:val="24"/>
          <w:szCs w:val="24"/>
          <w:lang w:val="en-ZW" w:eastAsia="en-ZW"/>
        </w:rPr>
        <w:t>in limine</w:t>
      </w:r>
      <w:r w:rsidRPr="00AB093E">
        <w:rPr>
          <w:rFonts w:ascii="Times New Roman" w:eastAsia="Times New Roman" w:hAnsi="Times New Roman" w:cs="Times New Roman"/>
          <w:color w:val="000000"/>
          <w:sz w:val="24"/>
          <w:szCs w:val="24"/>
          <w:lang w:val="en-ZW" w:eastAsia="en-ZW"/>
        </w:rPr>
        <w:t xml:space="preserve"> regarding any of the grounds of appeal passed the hurdle. </w:t>
      </w:r>
    </w:p>
    <w:p w:rsidR="00AB093E" w:rsidRPr="00AB093E" w:rsidRDefault="00AB093E" w:rsidP="003B5705">
      <w:pPr>
        <w:spacing w:after="160" w:line="360" w:lineRule="auto"/>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b/>
          <w:bCs/>
          <w:color w:val="000000"/>
          <w:sz w:val="24"/>
          <w:szCs w:val="24"/>
          <w:u w:val="single"/>
          <w:lang w:val="en-ZW" w:eastAsia="en-ZW"/>
        </w:rPr>
        <w:t xml:space="preserve">Point </w:t>
      </w:r>
      <w:r w:rsidRPr="00AB093E">
        <w:rPr>
          <w:rFonts w:ascii="Times New Roman" w:eastAsia="Times New Roman" w:hAnsi="Times New Roman" w:cs="Times New Roman"/>
          <w:b/>
          <w:bCs/>
          <w:i/>
          <w:iCs/>
          <w:color w:val="000000"/>
          <w:sz w:val="24"/>
          <w:szCs w:val="24"/>
          <w:u w:val="single"/>
          <w:lang w:val="en-ZW" w:eastAsia="en-ZW"/>
        </w:rPr>
        <w:t>in limine</w:t>
      </w:r>
      <w:r w:rsidRPr="00AB093E">
        <w:rPr>
          <w:rFonts w:ascii="Times New Roman" w:eastAsia="Times New Roman" w:hAnsi="Times New Roman" w:cs="Times New Roman"/>
          <w:b/>
          <w:bCs/>
          <w:color w:val="000000"/>
          <w:sz w:val="24"/>
          <w:szCs w:val="24"/>
          <w:u w:val="single"/>
          <w:lang w:val="en-ZW" w:eastAsia="en-ZW"/>
        </w:rPr>
        <w:t xml:space="preserve"> on the Council’s standing as second respondent</w:t>
      </w:r>
    </w:p>
    <w:p w:rsidR="00AB093E" w:rsidRPr="00AB093E" w:rsidRDefault="00AB093E" w:rsidP="003B5705">
      <w:pPr>
        <w:spacing w:line="360" w:lineRule="auto"/>
        <w:ind w:firstLine="720"/>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Mr Zviuya for the first respondent highlighted that the Council was the second respondent in the court below and that it was not aggrieved by the judgment since it had not filed any appeal. He argued that had it been aggrieved, an appeal would have been filed. It was therefore his</w:t>
      </w:r>
      <w:r w:rsidR="00A307D2">
        <w:rPr>
          <w:rFonts w:ascii="Times New Roman" w:eastAsia="Times New Roman" w:hAnsi="Times New Roman" w:cs="Times New Roman"/>
          <w:color w:val="000000"/>
          <w:sz w:val="24"/>
          <w:szCs w:val="24"/>
          <w:lang w:val="en-ZW" w:eastAsia="en-ZW"/>
        </w:rPr>
        <w:t xml:space="preserve"> argument that it was </w:t>
      </w:r>
      <w:r w:rsidRPr="00AB093E">
        <w:rPr>
          <w:rFonts w:ascii="Times New Roman" w:eastAsia="Times New Roman" w:hAnsi="Times New Roman" w:cs="Times New Roman"/>
          <w:color w:val="000000"/>
          <w:sz w:val="24"/>
          <w:szCs w:val="24"/>
          <w:lang w:val="en-ZW" w:eastAsia="en-ZW"/>
        </w:rPr>
        <w:t>improper for the Council to file heads of argument supporting the appellant’s case and that it could not seek a remedy through the back door. </w:t>
      </w:r>
    </w:p>
    <w:p w:rsidR="00AB093E" w:rsidRPr="00AB093E" w:rsidRDefault="00AB093E" w:rsidP="003B5705">
      <w:pPr>
        <w:spacing w:line="360" w:lineRule="auto"/>
        <w:ind w:firstLine="720"/>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 xml:space="preserve">He relied on the case of </w:t>
      </w:r>
      <w:r w:rsidRPr="00AB093E">
        <w:rPr>
          <w:rFonts w:ascii="Times New Roman" w:eastAsia="Times New Roman" w:hAnsi="Times New Roman" w:cs="Times New Roman"/>
          <w:i/>
          <w:iCs/>
          <w:color w:val="000000"/>
          <w:sz w:val="23"/>
          <w:szCs w:val="23"/>
          <w:lang w:val="en-ZW" w:eastAsia="en-ZW"/>
        </w:rPr>
        <w:t xml:space="preserve">Nelson Chamisa v Emmerson Dambudzo Mnangagwa &amp; 24 Others </w:t>
      </w:r>
      <w:r w:rsidRPr="00AB093E">
        <w:rPr>
          <w:rFonts w:ascii="Times New Roman" w:eastAsia="Times New Roman" w:hAnsi="Times New Roman" w:cs="Times New Roman"/>
          <w:color w:val="000000"/>
          <w:sz w:val="23"/>
          <w:szCs w:val="23"/>
          <w:lang w:val="en-ZW" w:eastAsia="en-ZW"/>
        </w:rPr>
        <w:t>CCZ 21/19</w:t>
      </w:r>
      <w:r w:rsidR="00A079CF">
        <w:rPr>
          <w:rFonts w:ascii="Times New Roman" w:eastAsia="Times New Roman" w:hAnsi="Times New Roman" w:cs="Times New Roman"/>
          <w:color w:val="000000"/>
          <w:sz w:val="23"/>
          <w:szCs w:val="23"/>
          <w:lang w:val="en-ZW" w:eastAsia="en-ZW"/>
        </w:rPr>
        <w:t>,</w:t>
      </w:r>
      <w:r w:rsidRPr="00AB093E">
        <w:rPr>
          <w:rFonts w:ascii="Times New Roman" w:eastAsia="Times New Roman" w:hAnsi="Times New Roman" w:cs="Times New Roman"/>
          <w:color w:val="000000"/>
          <w:sz w:val="23"/>
          <w:szCs w:val="23"/>
          <w:lang w:val="en-ZW" w:eastAsia="en-ZW"/>
        </w:rPr>
        <w:t xml:space="preserve"> where papers filed by certain respondents were deemed to be not properly before the court and expunged from the record. The rationale for so doing in that case was that the specified respondents, instead of challenging the election in their own right within the specified time frame, had sought to do </w:t>
      </w:r>
      <w:r w:rsidRPr="00AB093E">
        <w:rPr>
          <w:rFonts w:ascii="Times New Roman" w:eastAsia="Times New Roman" w:hAnsi="Times New Roman" w:cs="Times New Roman"/>
          <w:color w:val="000000"/>
          <w:sz w:val="23"/>
          <w:szCs w:val="23"/>
          <w:lang w:val="en-ZW" w:eastAsia="en-ZW"/>
        </w:rPr>
        <w:lastRenderedPageBreak/>
        <w:t>so under the guise of the procedure prescribed for the opposition to the petition or application. This was deemed improper. </w:t>
      </w:r>
    </w:p>
    <w:p w:rsidR="00AB093E" w:rsidRPr="00AB093E" w:rsidRDefault="00AB093E" w:rsidP="003B5705">
      <w:pPr>
        <w:spacing w:line="360" w:lineRule="auto"/>
        <w:ind w:firstLine="720"/>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3"/>
          <w:szCs w:val="23"/>
          <w:lang w:val="en-ZW" w:eastAsia="en-ZW"/>
        </w:rPr>
        <w:t>His argument was that similarly</w:t>
      </w:r>
      <w:r w:rsidR="00A079CF">
        <w:rPr>
          <w:rFonts w:ascii="Times New Roman" w:eastAsia="Times New Roman" w:hAnsi="Times New Roman" w:cs="Times New Roman"/>
          <w:color w:val="000000"/>
          <w:sz w:val="23"/>
          <w:szCs w:val="23"/>
          <w:lang w:val="en-ZW" w:eastAsia="en-ZW"/>
        </w:rPr>
        <w:t>,</w:t>
      </w:r>
      <w:r w:rsidRPr="00AB093E">
        <w:rPr>
          <w:rFonts w:ascii="Times New Roman" w:eastAsia="Times New Roman" w:hAnsi="Times New Roman" w:cs="Times New Roman"/>
          <w:color w:val="000000"/>
          <w:sz w:val="23"/>
          <w:szCs w:val="23"/>
          <w:lang w:val="en-ZW" w:eastAsia="en-ZW"/>
        </w:rPr>
        <w:t xml:space="preserve"> </w:t>
      </w:r>
      <w:r w:rsidR="00A079CF">
        <w:rPr>
          <w:rFonts w:ascii="Times New Roman" w:eastAsia="Times New Roman" w:hAnsi="Times New Roman" w:cs="Times New Roman"/>
          <w:i/>
          <w:iCs/>
          <w:color w:val="000000"/>
          <w:sz w:val="23"/>
          <w:szCs w:val="23"/>
          <w:lang w:val="en-ZW" w:eastAsia="en-ZW"/>
        </w:rPr>
        <w:t>in casu,</w:t>
      </w:r>
      <w:r w:rsidRPr="00AB093E">
        <w:rPr>
          <w:rFonts w:ascii="Times New Roman" w:eastAsia="Times New Roman" w:hAnsi="Times New Roman" w:cs="Times New Roman"/>
          <w:color w:val="000000"/>
          <w:sz w:val="23"/>
          <w:szCs w:val="23"/>
          <w:lang w:val="en-ZW" w:eastAsia="en-ZW"/>
        </w:rPr>
        <w:t xml:space="preserve"> the Council as an aggrieved party ought to have appealed against the decision of the magistrate if it was dissatisfied with that decision. They could have applied to be joined as an appellant but did not. He therefore maintained that it was clearly improper for the Council to file heads of argument in support of the appeal when it was in fact a respondent whose heads would have been in opp</w:t>
      </w:r>
      <w:r w:rsidR="00D15270">
        <w:rPr>
          <w:rFonts w:ascii="Times New Roman" w:eastAsia="Times New Roman" w:hAnsi="Times New Roman" w:cs="Times New Roman"/>
          <w:color w:val="000000"/>
          <w:sz w:val="23"/>
          <w:szCs w:val="23"/>
          <w:lang w:val="en-ZW" w:eastAsia="en-ZW"/>
        </w:rPr>
        <w:t xml:space="preserve">osition to the appeal instead of being heads for appellant smuggled into the proceedings as respondent’s heads of argument. </w:t>
      </w:r>
    </w:p>
    <w:p w:rsidR="00AB093E" w:rsidRPr="00AB093E" w:rsidRDefault="00AB093E" w:rsidP="00B46065">
      <w:pPr>
        <w:spacing w:after="160" w:line="360" w:lineRule="auto"/>
        <w:ind w:firstLine="720"/>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Mr Warara</w:t>
      </w:r>
      <w:r w:rsidR="00826CB5">
        <w:rPr>
          <w:rFonts w:ascii="Times New Roman" w:eastAsia="Times New Roman" w:hAnsi="Times New Roman" w:cs="Times New Roman"/>
          <w:color w:val="000000"/>
          <w:sz w:val="24"/>
          <w:szCs w:val="24"/>
          <w:lang w:val="en-ZW" w:eastAsia="en-ZW"/>
        </w:rPr>
        <w:t>,</w:t>
      </w:r>
      <w:r w:rsidRPr="00AB093E">
        <w:rPr>
          <w:rFonts w:ascii="Times New Roman" w:eastAsia="Times New Roman" w:hAnsi="Times New Roman" w:cs="Times New Roman"/>
          <w:color w:val="000000"/>
          <w:sz w:val="24"/>
          <w:szCs w:val="24"/>
          <w:lang w:val="en-ZW" w:eastAsia="en-ZW"/>
        </w:rPr>
        <w:t xml:space="preserve"> who appeared as the Council’s lawyer, sought to argue that the Council had a right to speak because it was part of the matter when it originated and is the implementer of any remedy that will be granted. The reason he proffered for failure to appeal was that instructions had been given much later</w:t>
      </w:r>
      <w:r w:rsidR="00D15C54">
        <w:rPr>
          <w:rFonts w:ascii="Times New Roman" w:eastAsia="Times New Roman" w:hAnsi="Times New Roman" w:cs="Times New Roman"/>
          <w:color w:val="000000"/>
          <w:sz w:val="24"/>
          <w:szCs w:val="24"/>
          <w:lang w:val="en-ZW" w:eastAsia="en-ZW"/>
        </w:rPr>
        <w:t>.</w:t>
      </w:r>
      <w:r w:rsidR="00B46065">
        <w:rPr>
          <w:rFonts w:ascii="Times New Roman" w:eastAsia="Times New Roman" w:hAnsi="Times New Roman" w:cs="Times New Roman"/>
          <w:sz w:val="24"/>
          <w:szCs w:val="24"/>
          <w:lang w:val="en-ZW" w:eastAsia="en-ZW"/>
        </w:rPr>
        <w:t xml:space="preserve"> </w:t>
      </w:r>
      <w:r w:rsidR="003A5FA1">
        <w:rPr>
          <w:rFonts w:ascii="Times New Roman" w:eastAsia="Times New Roman" w:hAnsi="Times New Roman" w:cs="Times New Roman"/>
          <w:color w:val="000000"/>
          <w:sz w:val="24"/>
          <w:szCs w:val="24"/>
          <w:lang w:val="en-ZW" w:eastAsia="en-ZW"/>
        </w:rPr>
        <w:t>This</w:t>
      </w:r>
      <w:r w:rsidR="00B46065">
        <w:rPr>
          <w:rFonts w:ascii="Times New Roman" w:eastAsia="Times New Roman" w:hAnsi="Times New Roman" w:cs="Times New Roman"/>
          <w:color w:val="000000"/>
          <w:sz w:val="24"/>
          <w:szCs w:val="24"/>
          <w:lang w:val="en-ZW" w:eastAsia="en-ZW"/>
        </w:rPr>
        <w:t xml:space="preserve"> court was not persuaded by Counsel’s explanation and</w:t>
      </w:r>
      <w:r w:rsidRPr="00AB093E">
        <w:rPr>
          <w:rFonts w:ascii="Times New Roman" w:eastAsia="Times New Roman" w:hAnsi="Times New Roman" w:cs="Times New Roman"/>
          <w:color w:val="000000"/>
          <w:sz w:val="24"/>
          <w:szCs w:val="24"/>
          <w:lang w:val="en-ZW" w:eastAsia="en-ZW"/>
        </w:rPr>
        <w:t xml:space="preserve"> concluded that the argument by Mr Zviuya had merit</w:t>
      </w:r>
      <w:r w:rsidR="00B46065">
        <w:rPr>
          <w:rFonts w:ascii="Times New Roman" w:eastAsia="Times New Roman" w:hAnsi="Times New Roman" w:cs="Times New Roman"/>
          <w:color w:val="000000"/>
          <w:sz w:val="24"/>
          <w:szCs w:val="24"/>
          <w:lang w:val="en-ZW" w:eastAsia="en-ZW"/>
        </w:rPr>
        <w:t>,</w:t>
      </w:r>
      <w:r w:rsidRPr="00AB093E">
        <w:rPr>
          <w:rFonts w:ascii="Times New Roman" w:eastAsia="Times New Roman" w:hAnsi="Times New Roman" w:cs="Times New Roman"/>
          <w:color w:val="000000"/>
          <w:sz w:val="24"/>
          <w:szCs w:val="24"/>
          <w:lang w:val="en-ZW" w:eastAsia="en-ZW"/>
        </w:rPr>
        <w:t xml:space="preserve"> because there was indeed nothing that precluded the Council from being joined as appellant which it had not done. In the face of the clear acknowledgment</w:t>
      </w:r>
      <w:r w:rsidR="00F12DC2">
        <w:rPr>
          <w:rFonts w:ascii="Times New Roman" w:eastAsia="Times New Roman" w:hAnsi="Times New Roman" w:cs="Times New Roman"/>
          <w:color w:val="000000"/>
          <w:sz w:val="24"/>
          <w:szCs w:val="24"/>
          <w:lang w:val="en-ZW" w:eastAsia="en-ZW"/>
        </w:rPr>
        <w:t xml:space="preserve"> that right from the start </w:t>
      </w:r>
      <w:r w:rsidR="00D36A23">
        <w:rPr>
          <w:rFonts w:ascii="Times New Roman" w:eastAsia="Times New Roman" w:hAnsi="Times New Roman" w:cs="Times New Roman"/>
          <w:color w:val="000000"/>
          <w:sz w:val="24"/>
          <w:szCs w:val="24"/>
          <w:lang w:val="en-ZW" w:eastAsia="en-ZW"/>
        </w:rPr>
        <w:t>C</w:t>
      </w:r>
      <w:r w:rsidRPr="00AB093E">
        <w:rPr>
          <w:rFonts w:ascii="Times New Roman" w:eastAsia="Times New Roman" w:hAnsi="Times New Roman" w:cs="Times New Roman"/>
          <w:color w:val="000000"/>
          <w:sz w:val="24"/>
          <w:szCs w:val="24"/>
          <w:lang w:val="en-ZW" w:eastAsia="en-ZW"/>
        </w:rPr>
        <w:t>ouncil could have applied to be joined a</w:t>
      </w:r>
      <w:r w:rsidR="009C58A5">
        <w:rPr>
          <w:rFonts w:ascii="Times New Roman" w:eastAsia="Times New Roman" w:hAnsi="Times New Roman" w:cs="Times New Roman"/>
          <w:color w:val="000000"/>
          <w:sz w:val="24"/>
          <w:szCs w:val="24"/>
          <w:lang w:val="en-ZW" w:eastAsia="en-ZW"/>
        </w:rPr>
        <w:t>s an appellant and chose not t</w:t>
      </w:r>
      <w:r w:rsidR="00F12DC2">
        <w:rPr>
          <w:rFonts w:ascii="Times New Roman" w:eastAsia="Times New Roman" w:hAnsi="Times New Roman" w:cs="Times New Roman"/>
          <w:color w:val="000000"/>
          <w:sz w:val="24"/>
          <w:szCs w:val="24"/>
          <w:lang w:val="en-ZW" w:eastAsia="en-ZW"/>
        </w:rPr>
        <w:t xml:space="preserve">o, </w:t>
      </w:r>
      <w:r w:rsidR="009C58A5">
        <w:rPr>
          <w:rFonts w:ascii="Times New Roman" w:eastAsia="Times New Roman" w:hAnsi="Times New Roman" w:cs="Times New Roman"/>
          <w:color w:val="000000"/>
          <w:sz w:val="24"/>
          <w:szCs w:val="24"/>
          <w:lang w:val="en-ZW" w:eastAsia="en-ZW"/>
        </w:rPr>
        <w:t xml:space="preserve">the </w:t>
      </w:r>
      <w:r w:rsidRPr="00AB093E">
        <w:rPr>
          <w:rFonts w:ascii="Times New Roman" w:eastAsia="Times New Roman" w:hAnsi="Times New Roman" w:cs="Times New Roman"/>
          <w:color w:val="000000"/>
          <w:sz w:val="24"/>
          <w:szCs w:val="24"/>
          <w:lang w:val="en-ZW" w:eastAsia="en-ZW"/>
        </w:rPr>
        <w:t>court agreed with the first respondent that the Council’s heads of argument submitted as second respondent albeit in support of the appeal, ought t</w:t>
      </w:r>
      <w:r w:rsidR="00010016">
        <w:rPr>
          <w:rFonts w:ascii="Times New Roman" w:eastAsia="Times New Roman" w:hAnsi="Times New Roman" w:cs="Times New Roman"/>
          <w:color w:val="000000"/>
          <w:sz w:val="24"/>
          <w:szCs w:val="24"/>
          <w:lang w:val="en-ZW" w:eastAsia="en-ZW"/>
        </w:rPr>
        <w:t>o be expunged from the record. It was evident that t</w:t>
      </w:r>
      <w:r w:rsidRPr="00AB093E">
        <w:rPr>
          <w:rFonts w:ascii="Times New Roman" w:eastAsia="Times New Roman" w:hAnsi="Times New Roman" w:cs="Times New Roman"/>
          <w:color w:val="000000"/>
          <w:sz w:val="24"/>
          <w:szCs w:val="24"/>
          <w:lang w:val="en-ZW" w:eastAsia="en-ZW"/>
        </w:rPr>
        <w:t>heir thrust and relief was not that of a respondent but an appellant. Accordingly</w:t>
      </w:r>
      <w:r w:rsidR="00DD0324">
        <w:rPr>
          <w:rFonts w:ascii="Times New Roman" w:eastAsia="Times New Roman" w:hAnsi="Times New Roman" w:cs="Times New Roman"/>
          <w:color w:val="000000"/>
          <w:sz w:val="24"/>
          <w:szCs w:val="24"/>
          <w:lang w:val="en-ZW" w:eastAsia="en-ZW"/>
        </w:rPr>
        <w:t>,</w:t>
      </w:r>
      <w:r w:rsidRPr="00AB093E">
        <w:rPr>
          <w:rFonts w:ascii="Times New Roman" w:eastAsia="Times New Roman" w:hAnsi="Times New Roman" w:cs="Times New Roman"/>
          <w:color w:val="000000"/>
          <w:sz w:val="24"/>
          <w:szCs w:val="24"/>
          <w:lang w:val="en-ZW" w:eastAsia="en-ZW"/>
        </w:rPr>
        <w:t xml:space="preserve"> the papers having been expunged the appeal proceeded to be heard as between appellant and first respondent only. </w:t>
      </w:r>
    </w:p>
    <w:p w:rsidR="00AB093E" w:rsidRPr="00AB093E" w:rsidRDefault="00AB093E" w:rsidP="003B5705">
      <w:pPr>
        <w:spacing w:line="360" w:lineRule="auto"/>
        <w:rPr>
          <w:rFonts w:ascii="Times New Roman" w:eastAsia="Times New Roman" w:hAnsi="Times New Roman" w:cs="Times New Roman"/>
          <w:sz w:val="24"/>
          <w:szCs w:val="24"/>
          <w:lang w:val="en-ZW" w:eastAsia="en-ZW"/>
        </w:rPr>
      </w:pPr>
    </w:p>
    <w:p w:rsidR="00AB093E" w:rsidRPr="00AB093E" w:rsidRDefault="00AB093E" w:rsidP="003B5705">
      <w:pPr>
        <w:spacing w:after="160" w:line="360" w:lineRule="auto"/>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b/>
          <w:bCs/>
          <w:color w:val="000000"/>
          <w:sz w:val="24"/>
          <w:szCs w:val="24"/>
          <w:u w:val="single"/>
          <w:lang w:val="en-ZW" w:eastAsia="en-ZW"/>
        </w:rPr>
        <w:t xml:space="preserve">Points </w:t>
      </w:r>
      <w:r w:rsidRPr="00AB093E">
        <w:rPr>
          <w:rFonts w:ascii="Times New Roman" w:eastAsia="Times New Roman" w:hAnsi="Times New Roman" w:cs="Times New Roman"/>
          <w:b/>
          <w:bCs/>
          <w:i/>
          <w:iCs/>
          <w:color w:val="000000"/>
          <w:sz w:val="24"/>
          <w:szCs w:val="24"/>
          <w:u w:val="single"/>
          <w:lang w:val="en-ZW" w:eastAsia="en-ZW"/>
        </w:rPr>
        <w:t>in limine</w:t>
      </w:r>
      <w:r w:rsidRPr="00AB093E">
        <w:rPr>
          <w:rFonts w:ascii="Times New Roman" w:eastAsia="Times New Roman" w:hAnsi="Times New Roman" w:cs="Times New Roman"/>
          <w:b/>
          <w:bCs/>
          <w:color w:val="000000"/>
          <w:sz w:val="24"/>
          <w:szCs w:val="24"/>
          <w:u w:val="single"/>
          <w:lang w:val="en-ZW" w:eastAsia="en-ZW"/>
        </w:rPr>
        <w:t xml:space="preserve"> on the appellant’s grounds of appeal.</w:t>
      </w:r>
    </w:p>
    <w:p w:rsidR="00AB093E" w:rsidRPr="00AB093E" w:rsidRDefault="00AB093E" w:rsidP="003B5705">
      <w:pPr>
        <w:spacing w:after="160" w:line="360" w:lineRule="auto"/>
        <w:ind w:firstLine="720"/>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The appellant having already withdra</w:t>
      </w:r>
      <w:r w:rsidR="00BF56E3">
        <w:rPr>
          <w:rFonts w:ascii="Times New Roman" w:eastAsia="Times New Roman" w:hAnsi="Times New Roman" w:cs="Times New Roman"/>
          <w:color w:val="000000"/>
          <w:sz w:val="24"/>
          <w:szCs w:val="24"/>
          <w:lang w:val="en-ZW" w:eastAsia="en-ZW"/>
        </w:rPr>
        <w:t>wn three grounds of appeal, namely, grounds</w:t>
      </w:r>
      <w:r w:rsidRPr="00AB093E">
        <w:rPr>
          <w:rFonts w:ascii="Times New Roman" w:eastAsia="Times New Roman" w:hAnsi="Times New Roman" w:cs="Times New Roman"/>
          <w:color w:val="000000"/>
          <w:sz w:val="24"/>
          <w:szCs w:val="24"/>
          <w:lang w:val="en-ZW" w:eastAsia="en-ZW"/>
        </w:rPr>
        <w:t xml:space="preserve"> 3, 5 and 7, the main thrust of the objection to the remaining grounds of appeal as a who</w:t>
      </w:r>
      <w:r w:rsidR="00854881">
        <w:rPr>
          <w:rFonts w:ascii="Times New Roman" w:eastAsia="Times New Roman" w:hAnsi="Times New Roman" w:cs="Times New Roman"/>
          <w:color w:val="000000"/>
          <w:sz w:val="24"/>
          <w:szCs w:val="24"/>
          <w:lang w:val="en-ZW" w:eastAsia="en-ZW"/>
        </w:rPr>
        <w:t>le by Mr Zviuya</w:t>
      </w:r>
      <w:r w:rsidR="00B0092E">
        <w:rPr>
          <w:rFonts w:ascii="Times New Roman" w:eastAsia="Times New Roman" w:hAnsi="Times New Roman" w:cs="Times New Roman"/>
          <w:color w:val="000000"/>
          <w:sz w:val="24"/>
          <w:szCs w:val="24"/>
          <w:lang w:val="en-ZW" w:eastAsia="en-ZW"/>
        </w:rPr>
        <w:t xml:space="preserve"> was that they were</w:t>
      </w:r>
      <w:r w:rsidRPr="00AB093E">
        <w:rPr>
          <w:rFonts w:ascii="Times New Roman" w:eastAsia="Times New Roman" w:hAnsi="Times New Roman" w:cs="Times New Roman"/>
          <w:color w:val="000000"/>
          <w:sz w:val="24"/>
          <w:szCs w:val="24"/>
          <w:lang w:val="en-ZW" w:eastAsia="en-ZW"/>
        </w:rPr>
        <w:t xml:space="preserve"> not clear and concise. The first ground of appeal, which was that there </w:t>
      </w:r>
      <w:proofErr w:type="gramStart"/>
      <w:r w:rsidRPr="00AB093E">
        <w:rPr>
          <w:rFonts w:ascii="Times New Roman" w:eastAsia="Times New Roman" w:hAnsi="Times New Roman" w:cs="Times New Roman"/>
          <w:color w:val="000000"/>
          <w:sz w:val="24"/>
          <w:szCs w:val="24"/>
          <w:lang w:val="en-ZW" w:eastAsia="en-ZW"/>
        </w:rPr>
        <w:t>were</w:t>
      </w:r>
      <w:proofErr w:type="gramEnd"/>
      <w:r w:rsidRPr="00AB093E">
        <w:rPr>
          <w:rFonts w:ascii="Times New Roman" w:eastAsia="Times New Roman" w:hAnsi="Times New Roman" w:cs="Times New Roman"/>
          <w:color w:val="000000"/>
          <w:sz w:val="24"/>
          <w:szCs w:val="24"/>
          <w:lang w:val="en-ZW" w:eastAsia="en-ZW"/>
        </w:rPr>
        <w:t xml:space="preserve"> material dispute of facts, did not articulate exactly where the dispute of fact lay. As such that failure to articulate where the dispute lay was said to be tantamount to having no ground of appeal. </w:t>
      </w:r>
    </w:p>
    <w:p w:rsidR="006D4A0F" w:rsidRDefault="00AB093E" w:rsidP="006D4A0F">
      <w:pPr>
        <w:spacing w:line="360" w:lineRule="auto"/>
        <w:ind w:firstLine="720"/>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lastRenderedPageBreak/>
        <w:t xml:space="preserve">In </w:t>
      </w:r>
      <w:r w:rsidRPr="00AB093E">
        <w:rPr>
          <w:rFonts w:ascii="Times New Roman" w:eastAsia="Times New Roman" w:hAnsi="Times New Roman" w:cs="Times New Roman"/>
          <w:i/>
          <w:iCs/>
          <w:color w:val="000000"/>
          <w:sz w:val="24"/>
          <w:szCs w:val="24"/>
          <w:lang w:val="en-ZW" w:eastAsia="en-ZW"/>
        </w:rPr>
        <w:t xml:space="preserve">Dr Nobert Kunonga v The Church of the Province of Central Africa </w:t>
      </w:r>
      <w:r w:rsidRPr="00310D12">
        <w:rPr>
          <w:rFonts w:ascii="Times New Roman" w:eastAsia="Times New Roman" w:hAnsi="Times New Roman" w:cs="Times New Roman"/>
          <w:iCs/>
          <w:color w:val="000000"/>
          <w:sz w:val="24"/>
          <w:szCs w:val="24"/>
          <w:lang w:val="en-ZW" w:eastAsia="en-ZW"/>
        </w:rPr>
        <w:t>SC</w:t>
      </w:r>
      <w:r w:rsidRPr="00310D12">
        <w:rPr>
          <w:rFonts w:ascii="Times New Roman" w:eastAsia="Times New Roman" w:hAnsi="Times New Roman" w:cs="Times New Roman"/>
          <w:color w:val="000000"/>
          <w:sz w:val="24"/>
          <w:szCs w:val="24"/>
          <w:lang w:val="en-ZW" w:eastAsia="en-ZW"/>
        </w:rPr>
        <w:t>25/17</w:t>
      </w:r>
      <w:r w:rsidR="00310D12">
        <w:rPr>
          <w:rFonts w:ascii="Times New Roman" w:eastAsia="Times New Roman" w:hAnsi="Times New Roman" w:cs="Times New Roman"/>
          <w:color w:val="000000"/>
          <w:sz w:val="24"/>
          <w:szCs w:val="24"/>
          <w:lang w:val="en-ZW" w:eastAsia="en-ZW"/>
        </w:rPr>
        <w:t>,</w:t>
      </w:r>
      <w:r w:rsidRPr="00310D12">
        <w:rPr>
          <w:rFonts w:ascii="Times New Roman" w:eastAsia="Times New Roman" w:hAnsi="Times New Roman" w:cs="Times New Roman"/>
          <w:color w:val="000000"/>
          <w:sz w:val="24"/>
          <w:szCs w:val="24"/>
          <w:lang w:val="en-ZW" w:eastAsia="en-ZW"/>
        </w:rPr>
        <w:t xml:space="preserve"> </w:t>
      </w:r>
      <w:r w:rsidRPr="00AB093E">
        <w:rPr>
          <w:rFonts w:ascii="Times New Roman" w:eastAsia="Times New Roman" w:hAnsi="Times New Roman" w:cs="Times New Roman"/>
          <w:color w:val="000000"/>
          <w:sz w:val="24"/>
          <w:szCs w:val="24"/>
          <w:lang w:val="en-ZW" w:eastAsia="en-ZW"/>
        </w:rPr>
        <w:t xml:space="preserve">the court dealt extensively with court cases addressing the need for grounds of appeal in a notice of appeal to be clear and concise. The essence of what was emphasised in the analysis of cases in the </w:t>
      </w:r>
      <w:r w:rsidRPr="00310D12">
        <w:rPr>
          <w:rFonts w:ascii="Times New Roman" w:eastAsia="Times New Roman" w:hAnsi="Times New Roman" w:cs="Times New Roman"/>
          <w:i/>
          <w:color w:val="000000"/>
          <w:sz w:val="24"/>
          <w:szCs w:val="24"/>
          <w:lang w:val="en-ZW" w:eastAsia="en-ZW"/>
        </w:rPr>
        <w:t xml:space="preserve">Kunonga </w:t>
      </w:r>
      <w:r w:rsidRPr="00AB093E">
        <w:rPr>
          <w:rFonts w:ascii="Times New Roman" w:eastAsia="Times New Roman" w:hAnsi="Times New Roman" w:cs="Times New Roman"/>
          <w:color w:val="000000"/>
          <w:sz w:val="24"/>
          <w:szCs w:val="24"/>
          <w:lang w:val="en-ZW" w:eastAsia="en-ZW"/>
        </w:rPr>
        <w:t>case boils down to the principle that “there must be stated in the Notice of Appeal a precise statement of the points on which the appellant relies.”</w:t>
      </w:r>
    </w:p>
    <w:p w:rsidR="00AB093E" w:rsidRPr="00AB093E" w:rsidRDefault="00AB093E" w:rsidP="006D4A0F">
      <w:pPr>
        <w:spacing w:line="360" w:lineRule="auto"/>
        <w:ind w:firstLine="720"/>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 xml:space="preserve">In </w:t>
      </w:r>
      <w:proofErr w:type="gramStart"/>
      <w:r w:rsidRPr="00AB093E">
        <w:rPr>
          <w:rFonts w:ascii="Times New Roman" w:eastAsia="Times New Roman" w:hAnsi="Times New Roman" w:cs="Times New Roman"/>
          <w:color w:val="000000"/>
          <w:sz w:val="24"/>
          <w:szCs w:val="24"/>
          <w:lang w:val="en-ZW" w:eastAsia="en-ZW"/>
        </w:rPr>
        <w:t>particular</w:t>
      </w:r>
      <w:proofErr w:type="gramEnd"/>
      <w:r w:rsidRPr="00AB093E">
        <w:rPr>
          <w:rFonts w:ascii="Times New Roman" w:eastAsia="Times New Roman" w:hAnsi="Times New Roman" w:cs="Times New Roman"/>
          <w:color w:val="000000"/>
          <w:sz w:val="24"/>
          <w:szCs w:val="24"/>
          <w:lang w:val="en-ZW" w:eastAsia="en-ZW"/>
        </w:rPr>
        <w:t xml:space="preserve"> the court cited the case of </w:t>
      </w:r>
      <w:r w:rsidRPr="00AB093E">
        <w:rPr>
          <w:rFonts w:ascii="Times New Roman" w:eastAsia="Times New Roman" w:hAnsi="Times New Roman" w:cs="Times New Roman"/>
          <w:i/>
          <w:iCs/>
          <w:color w:val="000000"/>
          <w:sz w:val="24"/>
          <w:szCs w:val="24"/>
          <w:lang w:val="en-ZW" w:eastAsia="en-ZW"/>
        </w:rPr>
        <w:t>Hendricks v Wilcox</w:t>
      </w:r>
      <w:r w:rsidRPr="00AB093E">
        <w:rPr>
          <w:rFonts w:ascii="Times New Roman" w:eastAsia="Times New Roman" w:hAnsi="Times New Roman" w:cs="Times New Roman"/>
          <w:color w:val="000000"/>
          <w:sz w:val="24"/>
          <w:szCs w:val="24"/>
          <w:lang w:val="en-ZW" w:eastAsia="en-ZW"/>
        </w:rPr>
        <w:t xml:space="preserve"> 1962 (1) CPD 304, in which it was stated as follows regarding the need for grounds of appeal to be clear and concise: </w:t>
      </w:r>
    </w:p>
    <w:p w:rsidR="00AB093E" w:rsidRPr="009B5291" w:rsidRDefault="00AB093E" w:rsidP="003B5705">
      <w:pPr>
        <w:spacing w:line="360" w:lineRule="auto"/>
        <w:rPr>
          <w:rFonts w:ascii="Times New Roman" w:eastAsia="Times New Roman" w:hAnsi="Times New Roman" w:cs="Times New Roman"/>
          <w:sz w:val="16"/>
          <w:szCs w:val="16"/>
          <w:lang w:val="en-ZW" w:eastAsia="en-ZW"/>
        </w:rPr>
      </w:pPr>
    </w:p>
    <w:p w:rsidR="00AB093E" w:rsidRPr="009B5291" w:rsidRDefault="00AB093E" w:rsidP="009B5291">
      <w:pPr>
        <w:spacing w:after="160"/>
        <w:ind w:left="720"/>
        <w:jc w:val="both"/>
        <w:rPr>
          <w:rFonts w:ascii="Times New Roman" w:eastAsia="Times New Roman" w:hAnsi="Times New Roman" w:cs="Times New Roman"/>
          <w:lang w:val="en-ZW" w:eastAsia="en-ZW"/>
        </w:rPr>
      </w:pPr>
      <w:r w:rsidRPr="009B5291">
        <w:rPr>
          <w:rFonts w:ascii="Times New Roman" w:eastAsia="Times New Roman" w:hAnsi="Times New Roman" w:cs="Times New Roman"/>
          <w:color w:val="000000"/>
          <w:lang w:val="en-ZW" w:eastAsia="en-ZW"/>
        </w:rPr>
        <w:t>“… it is clear that a notice of appeal which sets out as a ground of appeal merely that the judgment is against the weight of the evidence</w:t>
      </w:r>
      <w:r w:rsidR="0074623D">
        <w:rPr>
          <w:rFonts w:ascii="Times New Roman" w:eastAsia="Times New Roman" w:hAnsi="Times New Roman" w:cs="Times New Roman"/>
          <w:color w:val="000000"/>
          <w:lang w:val="en-ZW" w:eastAsia="en-ZW"/>
        </w:rPr>
        <w:t xml:space="preserve"> is, generally speaking, bad … </w:t>
      </w:r>
      <w:r w:rsidRPr="009B5291">
        <w:rPr>
          <w:rFonts w:ascii="Times New Roman" w:eastAsia="Times New Roman" w:hAnsi="Times New Roman" w:cs="Times New Roman"/>
          <w:color w:val="000000"/>
          <w:lang w:val="en-ZW" w:eastAsia="en-ZW"/>
        </w:rPr>
        <w:t>The magistrate made a number of findings of fact on the evidence and then made a further finding that neither party had been negligent. It is impossible to deduce from the notice of appeal which of these findings is being challenged.</w:t>
      </w:r>
    </w:p>
    <w:p w:rsidR="00AB093E" w:rsidRDefault="00AB093E" w:rsidP="009B5291">
      <w:pPr>
        <w:spacing w:after="160"/>
        <w:ind w:left="720"/>
        <w:jc w:val="both"/>
        <w:rPr>
          <w:rFonts w:ascii="Times New Roman" w:eastAsia="Times New Roman" w:hAnsi="Times New Roman" w:cs="Times New Roman"/>
          <w:color w:val="000000"/>
          <w:lang w:val="en-ZW" w:eastAsia="en-ZW"/>
        </w:rPr>
      </w:pPr>
      <w:r w:rsidRPr="009B5291">
        <w:rPr>
          <w:rFonts w:ascii="Times New Roman" w:eastAsia="Times New Roman" w:hAnsi="Times New Roman" w:cs="Times New Roman"/>
          <w:color w:val="000000"/>
          <w:lang w:val="en-ZW" w:eastAsia="en-ZW"/>
        </w:rPr>
        <w:t>… I have come to the conclusion that the notice of appeal is bad. There is abundant authority to the effect that such a notice cannot be amended …”</w:t>
      </w:r>
    </w:p>
    <w:p w:rsidR="000E219B" w:rsidRPr="000E219B" w:rsidRDefault="000E219B" w:rsidP="009B5291">
      <w:pPr>
        <w:spacing w:after="160"/>
        <w:ind w:left="720"/>
        <w:jc w:val="both"/>
        <w:rPr>
          <w:rFonts w:ascii="Times New Roman" w:eastAsia="Times New Roman" w:hAnsi="Times New Roman" w:cs="Times New Roman"/>
          <w:sz w:val="8"/>
          <w:szCs w:val="8"/>
          <w:lang w:val="en-ZW" w:eastAsia="en-ZW"/>
        </w:rPr>
      </w:pPr>
    </w:p>
    <w:p w:rsidR="00AB093E" w:rsidRPr="00AB093E" w:rsidRDefault="00AB093E" w:rsidP="003B5705">
      <w:pPr>
        <w:spacing w:line="360" w:lineRule="auto"/>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This court agrees that appellant first ground of appeal ground of appeal as couched is meaningless and that it is not for the court to fish out an unarticulated dispute of fact. </w:t>
      </w:r>
    </w:p>
    <w:p w:rsidR="00AB093E" w:rsidRPr="00AB093E" w:rsidRDefault="00AB093E" w:rsidP="003B5705">
      <w:pPr>
        <w:spacing w:line="360" w:lineRule="auto"/>
        <w:rPr>
          <w:rFonts w:ascii="Times New Roman" w:eastAsia="Times New Roman" w:hAnsi="Times New Roman" w:cs="Times New Roman"/>
          <w:sz w:val="24"/>
          <w:szCs w:val="24"/>
          <w:lang w:val="en-ZW" w:eastAsia="en-ZW"/>
        </w:rPr>
      </w:pPr>
    </w:p>
    <w:p w:rsidR="00A831DC" w:rsidRDefault="00AB093E" w:rsidP="005D1FFB">
      <w:pPr>
        <w:spacing w:line="360" w:lineRule="auto"/>
        <w:jc w:val="both"/>
        <w:rPr>
          <w:rFonts w:ascii="Times New Roman" w:eastAsia="Times New Roman" w:hAnsi="Times New Roman" w:cs="Times New Roman"/>
          <w:color w:val="000000"/>
          <w:sz w:val="24"/>
          <w:szCs w:val="24"/>
          <w:lang w:val="en-ZW" w:eastAsia="en-ZW"/>
        </w:rPr>
      </w:pPr>
      <w:r w:rsidRPr="00AB093E">
        <w:rPr>
          <w:rFonts w:ascii="Times New Roman" w:eastAsia="Times New Roman" w:hAnsi="Times New Roman" w:cs="Times New Roman"/>
          <w:color w:val="000000"/>
          <w:sz w:val="24"/>
          <w:szCs w:val="24"/>
          <w:lang w:val="en-ZW" w:eastAsia="en-ZW"/>
        </w:rPr>
        <w:t>Regarding the second ground of appeal</w:t>
      </w:r>
      <w:r w:rsidR="00E70952">
        <w:rPr>
          <w:rFonts w:ascii="Times New Roman" w:eastAsia="Times New Roman" w:hAnsi="Times New Roman" w:cs="Times New Roman"/>
          <w:color w:val="000000"/>
          <w:sz w:val="24"/>
          <w:szCs w:val="24"/>
          <w:lang w:val="en-ZW" w:eastAsia="en-ZW"/>
        </w:rPr>
        <w:t xml:space="preserve">, </w:t>
      </w:r>
      <w:r w:rsidR="00E70952" w:rsidRPr="00E70952">
        <w:rPr>
          <w:rFonts w:ascii="Times New Roman" w:eastAsia="Times New Roman" w:hAnsi="Times New Roman" w:cs="Times New Roman"/>
          <w:i/>
          <w:color w:val="000000"/>
          <w:sz w:val="24"/>
          <w:szCs w:val="24"/>
          <w:lang w:val="en-ZW" w:eastAsia="en-ZW"/>
        </w:rPr>
        <w:t>viz</w:t>
      </w:r>
      <w:r w:rsidR="00E70952">
        <w:rPr>
          <w:rFonts w:ascii="Times New Roman" w:eastAsia="Times New Roman" w:hAnsi="Times New Roman" w:cs="Times New Roman"/>
          <w:color w:val="000000"/>
          <w:sz w:val="24"/>
          <w:szCs w:val="24"/>
          <w:lang w:val="en-ZW" w:eastAsia="en-ZW"/>
        </w:rPr>
        <w:t xml:space="preserve">, </w:t>
      </w:r>
      <w:r w:rsidRPr="00AB093E">
        <w:rPr>
          <w:rFonts w:ascii="Times New Roman" w:eastAsia="Times New Roman" w:hAnsi="Times New Roman" w:cs="Times New Roman"/>
          <w:color w:val="000000"/>
          <w:sz w:val="24"/>
          <w:szCs w:val="24"/>
          <w:lang w:val="en-ZW" w:eastAsia="en-ZW"/>
        </w:rPr>
        <w:t>that the court erred in finding that the first respondent satisfied the requirement</w:t>
      </w:r>
      <w:r w:rsidR="00E70952">
        <w:rPr>
          <w:rFonts w:ascii="Times New Roman" w:eastAsia="Times New Roman" w:hAnsi="Times New Roman" w:cs="Times New Roman"/>
          <w:color w:val="000000"/>
          <w:sz w:val="24"/>
          <w:szCs w:val="24"/>
          <w:lang w:val="en-ZW" w:eastAsia="en-ZW"/>
        </w:rPr>
        <w:t>s</w:t>
      </w:r>
      <w:r w:rsidRPr="00AB093E">
        <w:rPr>
          <w:rFonts w:ascii="Times New Roman" w:eastAsia="Times New Roman" w:hAnsi="Times New Roman" w:cs="Times New Roman"/>
          <w:color w:val="000000"/>
          <w:sz w:val="24"/>
          <w:szCs w:val="24"/>
          <w:lang w:val="en-ZW" w:eastAsia="en-ZW"/>
        </w:rPr>
        <w:t xml:space="preserve"> of an interdict contrary to ev</w:t>
      </w:r>
      <w:r w:rsidR="00717675">
        <w:rPr>
          <w:rFonts w:ascii="Times New Roman" w:eastAsia="Times New Roman" w:hAnsi="Times New Roman" w:cs="Times New Roman"/>
          <w:color w:val="000000"/>
          <w:sz w:val="24"/>
          <w:szCs w:val="24"/>
          <w:lang w:val="en-ZW" w:eastAsia="en-ZW"/>
        </w:rPr>
        <w:t xml:space="preserve">idence placed before it, </w:t>
      </w:r>
      <w:r w:rsidRPr="00AB093E">
        <w:rPr>
          <w:rFonts w:ascii="Times New Roman" w:eastAsia="Times New Roman" w:hAnsi="Times New Roman" w:cs="Times New Roman"/>
          <w:color w:val="000000"/>
          <w:sz w:val="24"/>
          <w:szCs w:val="24"/>
          <w:lang w:val="en-ZW" w:eastAsia="en-ZW"/>
        </w:rPr>
        <w:t xml:space="preserve">Mr Zviuya’s argument </w:t>
      </w:r>
      <w:r w:rsidR="00717675">
        <w:rPr>
          <w:rFonts w:ascii="Times New Roman" w:eastAsia="Times New Roman" w:hAnsi="Times New Roman" w:cs="Times New Roman"/>
          <w:color w:val="000000"/>
          <w:sz w:val="24"/>
          <w:szCs w:val="24"/>
          <w:lang w:val="en-ZW" w:eastAsia="en-ZW"/>
        </w:rPr>
        <w:t xml:space="preserve">was </w:t>
      </w:r>
      <w:r w:rsidRPr="00AB093E">
        <w:rPr>
          <w:rFonts w:ascii="Times New Roman" w:eastAsia="Times New Roman" w:hAnsi="Times New Roman" w:cs="Times New Roman"/>
          <w:color w:val="000000"/>
          <w:sz w:val="24"/>
          <w:szCs w:val="24"/>
          <w:lang w:val="en-ZW" w:eastAsia="en-ZW"/>
        </w:rPr>
        <w:t>that it is not the duty of the court to find out which requirement of an interdict has not been satisfie</w:t>
      </w:r>
      <w:r w:rsidR="00AA4A70">
        <w:rPr>
          <w:rFonts w:ascii="Times New Roman" w:eastAsia="Times New Roman" w:hAnsi="Times New Roman" w:cs="Times New Roman"/>
          <w:color w:val="000000"/>
          <w:sz w:val="24"/>
          <w:szCs w:val="24"/>
          <w:lang w:val="en-ZW" w:eastAsia="en-ZW"/>
        </w:rPr>
        <w:t>d. In other words, it was contended</w:t>
      </w:r>
      <w:r w:rsidRPr="00AB093E">
        <w:rPr>
          <w:rFonts w:ascii="Times New Roman" w:eastAsia="Times New Roman" w:hAnsi="Times New Roman" w:cs="Times New Roman"/>
          <w:color w:val="000000"/>
          <w:sz w:val="24"/>
          <w:szCs w:val="24"/>
          <w:lang w:val="en-ZW" w:eastAsia="en-ZW"/>
        </w:rPr>
        <w:t xml:space="preserve"> that the couching of this ground was vague and that it was for the appellant to articulate which ground had not been satisfied.</w:t>
      </w:r>
      <w:r w:rsidR="00E02DC6">
        <w:rPr>
          <w:rFonts w:ascii="Times New Roman" w:eastAsia="Times New Roman" w:hAnsi="Times New Roman" w:cs="Times New Roman"/>
          <w:color w:val="000000"/>
          <w:sz w:val="24"/>
          <w:szCs w:val="24"/>
          <w:lang w:val="en-ZW" w:eastAsia="en-ZW"/>
        </w:rPr>
        <w:t xml:space="preserve"> The position was succinctly</w:t>
      </w:r>
      <w:r w:rsidR="00D260EE">
        <w:rPr>
          <w:rFonts w:ascii="Times New Roman" w:eastAsia="Times New Roman" w:hAnsi="Times New Roman" w:cs="Times New Roman"/>
          <w:color w:val="000000"/>
          <w:sz w:val="24"/>
          <w:szCs w:val="24"/>
          <w:lang w:val="en-ZW" w:eastAsia="en-ZW"/>
        </w:rPr>
        <w:t xml:space="preserve"> stated</w:t>
      </w:r>
      <w:r w:rsidR="00E02DC6">
        <w:rPr>
          <w:rFonts w:ascii="Times New Roman" w:eastAsia="Times New Roman" w:hAnsi="Times New Roman" w:cs="Times New Roman"/>
          <w:color w:val="000000"/>
          <w:sz w:val="24"/>
          <w:szCs w:val="24"/>
          <w:lang w:val="en-ZW" w:eastAsia="en-ZW"/>
        </w:rPr>
        <w:t xml:space="preserve"> in </w:t>
      </w:r>
      <w:r w:rsidR="00E02DC6" w:rsidRPr="00E02DC6">
        <w:rPr>
          <w:rFonts w:ascii="Times New Roman" w:eastAsia="Times New Roman" w:hAnsi="Times New Roman" w:cs="Times New Roman"/>
          <w:i/>
          <w:color w:val="000000"/>
          <w:sz w:val="24"/>
          <w:szCs w:val="24"/>
          <w:lang w:val="en-ZW" w:eastAsia="en-ZW"/>
        </w:rPr>
        <w:t>John Chikura NO and Anor v Al Shams’s Global BVI Ltd</w:t>
      </w:r>
      <w:r w:rsidR="00E02DC6">
        <w:rPr>
          <w:rFonts w:ascii="Times New Roman" w:eastAsia="Times New Roman" w:hAnsi="Times New Roman" w:cs="Times New Roman"/>
          <w:color w:val="000000"/>
          <w:sz w:val="24"/>
          <w:szCs w:val="24"/>
          <w:lang w:val="en-ZW" w:eastAsia="en-ZW"/>
        </w:rPr>
        <w:t xml:space="preserve"> SC 17-17,</w:t>
      </w:r>
      <w:r w:rsidR="0075356B">
        <w:rPr>
          <w:rFonts w:ascii="Times New Roman" w:eastAsia="Times New Roman" w:hAnsi="Times New Roman" w:cs="Times New Roman"/>
          <w:color w:val="000000"/>
          <w:sz w:val="24"/>
          <w:szCs w:val="24"/>
          <w:lang w:val="en-ZW" w:eastAsia="en-ZW"/>
        </w:rPr>
        <w:t xml:space="preserve"> as follows:</w:t>
      </w:r>
    </w:p>
    <w:p w:rsidR="00A831DC" w:rsidRPr="00A831DC" w:rsidRDefault="00A831DC" w:rsidP="003B5705">
      <w:pPr>
        <w:spacing w:line="360" w:lineRule="auto"/>
        <w:jc w:val="both"/>
        <w:rPr>
          <w:rFonts w:ascii="Times New Roman" w:eastAsia="Times New Roman" w:hAnsi="Times New Roman" w:cs="Times New Roman"/>
          <w:color w:val="000000"/>
          <w:sz w:val="8"/>
          <w:szCs w:val="8"/>
          <w:lang w:val="en-ZW" w:eastAsia="en-ZW"/>
        </w:rPr>
      </w:pPr>
    </w:p>
    <w:p w:rsidR="00A831DC" w:rsidRPr="00A831DC" w:rsidRDefault="00A831DC" w:rsidP="00A831DC">
      <w:pPr>
        <w:ind w:left="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ZW" w:eastAsia="en-ZW"/>
        </w:rPr>
        <w:t>“</w:t>
      </w:r>
      <w:r w:rsidRPr="00A831DC">
        <w:rPr>
          <w:rFonts w:ascii="Times New Roman" w:hAnsi="Times New Roman" w:cs="Times New Roman"/>
        </w:rPr>
        <w:t>It is not for the Court to sift through numerous grounds of appeal in search of a possible valid ground; or to page through several pages of ‘grounds of appeal’ in order to determine the real issues for determination by the Court.</w:t>
      </w:r>
      <w:r w:rsidR="00F56067">
        <w:rPr>
          <w:rFonts w:ascii="Times New Roman" w:hAnsi="Times New Roman" w:cs="Times New Roman"/>
        </w:rPr>
        <w:t xml:space="preserve"> </w:t>
      </w:r>
      <w:r w:rsidRPr="00A831DC">
        <w:rPr>
          <w:rFonts w:ascii="Times New Roman" w:hAnsi="Times New Roman" w:cs="Times New Roman"/>
        </w:rPr>
        <w:t>The real issues for determination should be immediately ascertainable on perusal of the gr</w:t>
      </w:r>
      <w:r w:rsidR="00F56067">
        <w:rPr>
          <w:rFonts w:ascii="Times New Roman" w:hAnsi="Times New Roman" w:cs="Times New Roman"/>
        </w:rPr>
        <w:t xml:space="preserve">ounds of appeal. </w:t>
      </w:r>
      <w:r w:rsidRPr="00A831DC">
        <w:rPr>
          <w:rFonts w:ascii="Times New Roman" w:hAnsi="Times New Roman" w:cs="Times New Roman"/>
        </w:rPr>
        <w:t>That is not so in the instant</w:t>
      </w:r>
      <w:r w:rsidR="00F56067">
        <w:rPr>
          <w:rFonts w:ascii="Times New Roman" w:hAnsi="Times New Roman" w:cs="Times New Roman"/>
        </w:rPr>
        <w:t xml:space="preserve"> matter. </w:t>
      </w:r>
      <w:r w:rsidRPr="00A831DC">
        <w:rPr>
          <w:rFonts w:ascii="Times New Roman" w:hAnsi="Times New Roman" w:cs="Times New Roman"/>
        </w:rPr>
        <w:t>The grounds of appeal are multiple, attack every line of reasoning of the learned judge and do not clearly and concisely define the issues which are to be determined by this C</w:t>
      </w:r>
      <w:r w:rsidR="00E66E3B">
        <w:rPr>
          <w:rFonts w:ascii="Times New Roman" w:hAnsi="Times New Roman" w:cs="Times New Roman"/>
        </w:rPr>
        <w:t>ourt”.</w:t>
      </w:r>
    </w:p>
    <w:p w:rsidR="00AB093E" w:rsidRDefault="00AB093E" w:rsidP="003B5705">
      <w:pPr>
        <w:spacing w:line="360" w:lineRule="auto"/>
        <w:jc w:val="both"/>
        <w:rPr>
          <w:rFonts w:ascii="Times New Roman" w:eastAsia="Times New Roman" w:hAnsi="Times New Roman" w:cs="Times New Roman"/>
          <w:color w:val="000000"/>
          <w:sz w:val="24"/>
          <w:szCs w:val="24"/>
          <w:lang w:val="en-ZW" w:eastAsia="en-ZW"/>
        </w:rPr>
      </w:pPr>
      <w:r w:rsidRPr="00AB093E">
        <w:rPr>
          <w:rFonts w:ascii="Times New Roman" w:eastAsia="Times New Roman" w:hAnsi="Times New Roman" w:cs="Times New Roman"/>
          <w:color w:val="000000"/>
          <w:sz w:val="24"/>
          <w:szCs w:val="24"/>
          <w:lang w:val="en-ZW" w:eastAsia="en-ZW"/>
        </w:rPr>
        <w:t> </w:t>
      </w:r>
    </w:p>
    <w:p w:rsidR="00C93446" w:rsidRDefault="00C93446" w:rsidP="003B5705">
      <w:pPr>
        <w:spacing w:line="360" w:lineRule="auto"/>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We find the reasoning of the Supreme Court compelling and respectfully agree with it.</w:t>
      </w:r>
      <w:r w:rsidR="00817251">
        <w:rPr>
          <w:rFonts w:ascii="Times New Roman" w:eastAsia="Times New Roman" w:hAnsi="Times New Roman" w:cs="Times New Roman"/>
          <w:color w:val="000000"/>
          <w:sz w:val="24"/>
          <w:szCs w:val="24"/>
          <w:lang w:val="en-ZW" w:eastAsia="en-ZW"/>
        </w:rPr>
        <w:t xml:space="preserve"> In this respect, we are persuaded by Mr Zviuya’s argument.</w:t>
      </w:r>
    </w:p>
    <w:p w:rsidR="00E02DC6" w:rsidRPr="00AB093E" w:rsidRDefault="00E02DC6" w:rsidP="003B5705">
      <w:pPr>
        <w:spacing w:line="360" w:lineRule="auto"/>
        <w:jc w:val="both"/>
        <w:rPr>
          <w:rFonts w:ascii="Times New Roman" w:eastAsia="Times New Roman" w:hAnsi="Times New Roman" w:cs="Times New Roman"/>
          <w:sz w:val="24"/>
          <w:szCs w:val="24"/>
          <w:lang w:val="en-ZW" w:eastAsia="en-ZW"/>
        </w:rPr>
      </w:pPr>
    </w:p>
    <w:p w:rsidR="00AB093E" w:rsidRPr="00AB093E" w:rsidRDefault="00AB093E" w:rsidP="003B5705">
      <w:pPr>
        <w:spacing w:line="360" w:lineRule="auto"/>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Mr Tabana, on behalf of the appellant</w:t>
      </w:r>
      <w:r w:rsidR="00A86062">
        <w:rPr>
          <w:rFonts w:ascii="Times New Roman" w:eastAsia="Times New Roman" w:hAnsi="Times New Roman" w:cs="Times New Roman"/>
          <w:color w:val="000000"/>
          <w:sz w:val="24"/>
          <w:szCs w:val="24"/>
          <w:lang w:val="en-ZW" w:eastAsia="en-ZW"/>
        </w:rPr>
        <w:t>,</w:t>
      </w:r>
      <w:r w:rsidRPr="00AB093E">
        <w:rPr>
          <w:rFonts w:ascii="Times New Roman" w:eastAsia="Times New Roman" w:hAnsi="Times New Roman" w:cs="Times New Roman"/>
          <w:color w:val="000000"/>
          <w:sz w:val="24"/>
          <w:szCs w:val="24"/>
          <w:lang w:val="en-ZW" w:eastAsia="en-ZW"/>
        </w:rPr>
        <w:t xml:space="preserve"> argued that there was a typographical error in the ground in that the question of harm or injury does not arise and that the requirement </w:t>
      </w:r>
      <w:r w:rsidR="006D440D">
        <w:rPr>
          <w:rFonts w:ascii="Times New Roman" w:eastAsia="Times New Roman" w:hAnsi="Times New Roman" w:cs="Times New Roman"/>
          <w:color w:val="000000"/>
          <w:sz w:val="24"/>
          <w:szCs w:val="24"/>
          <w:lang w:val="en-ZW" w:eastAsia="en-ZW"/>
        </w:rPr>
        <w:t xml:space="preserve">that was </w:t>
      </w:r>
      <w:r w:rsidRPr="00AB093E">
        <w:rPr>
          <w:rFonts w:ascii="Times New Roman" w:eastAsia="Times New Roman" w:hAnsi="Times New Roman" w:cs="Times New Roman"/>
          <w:color w:val="000000"/>
          <w:sz w:val="24"/>
          <w:szCs w:val="24"/>
          <w:lang w:val="en-ZW" w:eastAsia="en-ZW"/>
        </w:rPr>
        <w:t>not met was that of a clear right. The gist of the finding in the lower court having been premised on the fact that the second respondent had established a clear right, this ground can stand.</w:t>
      </w:r>
    </w:p>
    <w:p w:rsidR="00AB093E" w:rsidRPr="00AB093E" w:rsidRDefault="00AB093E" w:rsidP="003B5705">
      <w:pPr>
        <w:spacing w:line="360" w:lineRule="auto"/>
        <w:rPr>
          <w:rFonts w:ascii="Times New Roman" w:eastAsia="Times New Roman" w:hAnsi="Times New Roman" w:cs="Times New Roman"/>
          <w:sz w:val="24"/>
          <w:szCs w:val="24"/>
          <w:lang w:val="en-ZW" w:eastAsia="en-ZW"/>
        </w:rPr>
      </w:pPr>
    </w:p>
    <w:p w:rsidR="00AB093E" w:rsidRPr="00AB093E" w:rsidRDefault="00AB093E" w:rsidP="003B5705">
      <w:pPr>
        <w:spacing w:after="160" w:line="360" w:lineRule="auto"/>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The fourth ground of appeal is that the court erred in upholding the first respondent’s claim on the basis of speculative evidence despite the overwhelming evidence which showed that the appellant was a holder of a lease agreement with the second respondent. Mr Zviuya argued that is a rambling ground of appeal for the reason that what was being called speculative evidence was not clear</w:t>
      </w:r>
      <w:r w:rsidR="002C4F21">
        <w:rPr>
          <w:rFonts w:ascii="Times New Roman" w:eastAsia="Times New Roman" w:hAnsi="Times New Roman" w:cs="Times New Roman"/>
          <w:color w:val="000000"/>
          <w:sz w:val="24"/>
          <w:szCs w:val="24"/>
          <w:lang w:val="en-ZW" w:eastAsia="en-ZW"/>
        </w:rPr>
        <w:t>, nor</w:t>
      </w:r>
      <w:r w:rsidRPr="00AB093E">
        <w:rPr>
          <w:rFonts w:ascii="Times New Roman" w:eastAsia="Times New Roman" w:hAnsi="Times New Roman" w:cs="Times New Roman"/>
          <w:color w:val="000000"/>
          <w:sz w:val="24"/>
          <w:szCs w:val="24"/>
          <w:lang w:val="en-ZW" w:eastAsia="en-ZW"/>
        </w:rPr>
        <w:t xml:space="preserve"> was the nature of the overwhelming evidence</w:t>
      </w:r>
      <w:r w:rsidR="000065C1">
        <w:rPr>
          <w:rFonts w:ascii="Times New Roman" w:eastAsia="Times New Roman" w:hAnsi="Times New Roman" w:cs="Times New Roman"/>
          <w:color w:val="000000"/>
          <w:sz w:val="24"/>
          <w:szCs w:val="24"/>
          <w:lang w:val="en-ZW" w:eastAsia="en-ZW"/>
        </w:rPr>
        <w:t xml:space="preserve"> alluded to</w:t>
      </w:r>
      <w:r w:rsidRPr="00AB093E">
        <w:rPr>
          <w:rFonts w:ascii="Times New Roman" w:eastAsia="Times New Roman" w:hAnsi="Times New Roman" w:cs="Times New Roman"/>
          <w:color w:val="000000"/>
          <w:sz w:val="24"/>
          <w:szCs w:val="24"/>
          <w:lang w:val="en-ZW" w:eastAsia="en-ZW"/>
        </w:rPr>
        <w:t xml:space="preserve">. It was also argued that a lease agreement cannot be overwhelming </w:t>
      </w:r>
      <w:r w:rsidR="000065C1">
        <w:rPr>
          <w:rFonts w:ascii="Times New Roman" w:eastAsia="Times New Roman" w:hAnsi="Times New Roman" w:cs="Times New Roman"/>
          <w:color w:val="000000"/>
          <w:sz w:val="24"/>
          <w:szCs w:val="24"/>
          <w:lang w:val="en-ZW" w:eastAsia="en-ZW"/>
        </w:rPr>
        <w:t>evidence as it cannot supersede</w:t>
      </w:r>
      <w:r w:rsidRPr="00AB093E">
        <w:rPr>
          <w:rFonts w:ascii="Times New Roman" w:eastAsia="Times New Roman" w:hAnsi="Times New Roman" w:cs="Times New Roman"/>
          <w:color w:val="000000"/>
          <w:sz w:val="24"/>
          <w:szCs w:val="24"/>
          <w:lang w:val="en-ZW" w:eastAsia="en-ZW"/>
        </w:rPr>
        <w:t xml:space="preserve"> ownership rights. </w:t>
      </w:r>
    </w:p>
    <w:p w:rsidR="00AB093E" w:rsidRPr="00AB093E" w:rsidRDefault="00AB093E" w:rsidP="003B5705">
      <w:pPr>
        <w:spacing w:after="160" w:line="360" w:lineRule="auto"/>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 xml:space="preserve">The court in the Kunonga case also cited the case of </w:t>
      </w:r>
      <w:r w:rsidRPr="00AB093E">
        <w:rPr>
          <w:rFonts w:ascii="Times New Roman" w:eastAsia="Times New Roman" w:hAnsi="Times New Roman" w:cs="Times New Roman"/>
          <w:i/>
          <w:iCs/>
          <w:color w:val="000000"/>
          <w:sz w:val="24"/>
          <w:szCs w:val="24"/>
          <w:lang w:val="en-ZW" w:eastAsia="en-ZW"/>
        </w:rPr>
        <w:t>Songono v Minister of Law and Order</w:t>
      </w:r>
      <w:r w:rsidRPr="00AB093E">
        <w:rPr>
          <w:rFonts w:ascii="Times New Roman" w:eastAsia="Times New Roman" w:hAnsi="Times New Roman" w:cs="Times New Roman"/>
          <w:color w:val="000000"/>
          <w:sz w:val="24"/>
          <w:szCs w:val="24"/>
          <w:lang w:val="en-ZW" w:eastAsia="en-ZW"/>
        </w:rPr>
        <w:t xml:space="preserve"> 1996(4) SA 384 (Eastern Cape Division) where it was stated at p 385 G-H that: - </w:t>
      </w:r>
    </w:p>
    <w:p w:rsidR="00AB093E" w:rsidRPr="00BC3602" w:rsidRDefault="00AB093E" w:rsidP="00BC3602">
      <w:pPr>
        <w:spacing w:after="160"/>
        <w:ind w:left="720"/>
        <w:jc w:val="both"/>
        <w:rPr>
          <w:rFonts w:ascii="Times New Roman" w:eastAsia="Times New Roman" w:hAnsi="Times New Roman" w:cs="Times New Roman"/>
          <w:lang w:val="en-ZW" w:eastAsia="en-ZW"/>
        </w:rPr>
      </w:pPr>
      <w:r w:rsidRPr="00BC3602">
        <w:rPr>
          <w:rFonts w:ascii="Times New Roman" w:eastAsia="Times New Roman" w:hAnsi="Times New Roman" w:cs="Times New Roman"/>
          <w:color w:val="000000"/>
          <w:lang w:val="en-ZW" w:eastAsia="en-ZW"/>
        </w:rPr>
        <w:t xml:space="preserve">“… it has been held that grounds of appeal are bad if they are so widely expressed that it leaves the appellant free to canvass every finding of fact and every ruling of the law made by the court </w:t>
      </w:r>
      <w:r w:rsidRPr="00BC3602">
        <w:rPr>
          <w:rFonts w:ascii="Times New Roman" w:eastAsia="Times New Roman" w:hAnsi="Times New Roman" w:cs="Times New Roman"/>
          <w:i/>
          <w:iCs/>
          <w:color w:val="000000"/>
          <w:lang w:val="en-ZW" w:eastAsia="en-ZW"/>
        </w:rPr>
        <w:t>a quo</w:t>
      </w:r>
      <w:r w:rsidRPr="00BC3602">
        <w:rPr>
          <w:rFonts w:ascii="Times New Roman" w:eastAsia="Times New Roman" w:hAnsi="Times New Roman" w:cs="Times New Roman"/>
          <w:color w:val="000000"/>
          <w:lang w:val="en-ZW" w:eastAsia="en-ZW"/>
        </w:rPr>
        <w:t>, or if they specify the findings of fact or rulings of law appealed against so vaguely as to be of no value either to the Court or to the respondent, or if they, in general, fail to specify clearly and in unambiguous terms exactly what case the respondent must be prepared to meet …” </w:t>
      </w:r>
    </w:p>
    <w:p w:rsidR="00AB093E" w:rsidRPr="007E19FF" w:rsidRDefault="00AB093E" w:rsidP="003B5705">
      <w:pPr>
        <w:spacing w:line="360" w:lineRule="auto"/>
        <w:rPr>
          <w:rFonts w:ascii="Times New Roman" w:eastAsia="Times New Roman" w:hAnsi="Times New Roman" w:cs="Times New Roman"/>
          <w:sz w:val="10"/>
          <w:szCs w:val="10"/>
          <w:lang w:val="en-ZW" w:eastAsia="en-ZW"/>
        </w:rPr>
      </w:pPr>
    </w:p>
    <w:p w:rsidR="00AB093E" w:rsidRPr="00AB093E" w:rsidRDefault="00AB093E" w:rsidP="003B5705">
      <w:pPr>
        <w:spacing w:after="160" w:line="360" w:lineRule="auto"/>
        <w:ind w:left="720"/>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and further at 386 A-B that: -</w:t>
      </w:r>
    </w:p>
    <w:p w:rsidR="00AB093E" w:rsidRPr="007E19FF" w:rsidRDefault="00AB093E" w:rsidP="007E19FF">
      <w:pPr>
        <w:spacing w:after="160"/>
        <w:ind w:left="720"/>
        <w:jc w:val="both"/>
        <w:rPr>
          <w:rFonts w:ascii="Times New Roman" w:eastAsia="Times New Roman" w:hAnsi="Times New Roman" w:cs="Times New Roman"/>
          <w:lang w:val="en-ZW" w:eastAsia="en-ZW"/>
        </w:rPr>
      </w:pPr>
      <w:r w:rsidRPr="007E19FF">
        <w:rPr>
          <w:rFonts w:ascii="Times New Roman" w:eastAsia="Times New Roman" w:hAnsi="Times New Roman" w:cs="Times New Roman"/>
          <w:color w:val="000000"/>
          <w:lang w:val="en-ZW" w:eastAsia="en-ZW"/>
        </w:rPr>
        <w:t xml:space="preserve">“… the lengthy and rambling notice of appeal filed </w:t>
      </w:r>
      <w:r w:rsidRPr="007E19FF">
        <w:rPr>
          <w:rFonts w:ascii="Times New Roman" w:eastAsia="Times New Roman" w:hAnsi="Times New Roman" w:cs="Times New Roman"/>
          <w:i/>
          <w:iCs/>
          <w:color w:val="000000"/>
          <w:lang w:val="en-ZW" w:eastAsia="en-ZW"/>
        </w:rPr>
        <w:t>in casu</w:t>
      </w:r>
      <w:r w:rsidRPr="007E19FF">
        <w:rPr>
          <w:rFonts w:ascii="Times New Roman" w:eastAsia="Times New Roman" w:hAnsi="Times New Roman" w:cs="Times New Roman"/>
          <w:color w:val="000000"/>
          <w:lang w:val="en-ZW" w:eastAsia="en-ZW"/>
        </w:rPr>
        <w:t xml:space="preserve"> falls woefully short of what was required. Mr </w:t>
      </w:r>
      <w:r w:rsidRPr="007E19FF">
        <w:rPr>
          <w:rFonts w:ascii="Times New Roman" w:eastAsia="Times New Roman" w:hAnsi="Times New Roman" w:cs="Times New Roman"/>
          <w:i/>
          <w:iCs/>
          <w:color w:val="000000"/>
          <w:lang w:val="en-ZW" w:eastAsia="en-ZW"/>
        </w:rPr>
        <w:t>Bursey</w:t>
      </w:r>
      <w:r w:rsidRPr="007E19FF">
        <w:rPr>
          <w:rFonts w:ascii="Times New Roman" w:eastAsia="Times New Roman" w:hAnsi="Times New Roman" w:cs="Times New Roman"/>
          <w:color w:val="000000"/>
          <w:lang w:val="en-ZW" w:eastAsia="en-ZW"/>
        </w:rPr>
        <w:t xml:space="preserve"> suggested that grounds of appeal could be gleaned from the notice but that is not the point – </w:t>
      </w:r>
      <w:r w:rsidRPr="007E19FF">
        <w:rPr>
          <w:rFonts w:ascii="Times New Roman" w:eastAsia="Times New Roman" w:hAnsi="Times New Roman" w:cs="Times New Roman"/>
          <w:i/>
          <w:iCs/>
          <w:color w:val="000000"/>
          <w:lang w:val="en-ZW" w:eastAsia="en-ZW"/>
        </w:rPr>
        <w:t>the point is that the notice must clearly set out the grounds and it is not for the Court to have to analyse a lengthy document in an attempt to establish what grounds the applicant intended to rely upon but did not clearly set out. …”</w:t>
      </w:r>
      <w:r w:rsidRPr="007E19FF">
        <w:rPr>
          <w:rFonts w:ascii="Times New Roman" w:eastAsia="Times New Roman" w:hAnsi="Times New Roman" w:cs="Times New Roman"/>
          <w:color w:val="000000"/>
          <w:lang w:val="en-ZW" w:eastAsia="en-ZW"/>
        </w:rPr>
        <w:t> </w:t>
      </w:r>
      <w:r w:rsidR="007E19FF" w:rsidRPr="007E19FF">
        <w:rPr>
          <w:rFonts w:ascii="Times New Roman" w:eastAsia="Times New Roman" w:hAnsi="Times New Roman" w:cs="Times New Roman"/>
          <w:b/>
          <w:color w:val="000000"/>
          <w:lang w:val="en-ZW" w:eastAsia="en-ZW"/>
        </w:rPr>
        <w:t>[Our own emphasis]</w:t>
      </w:r>
    </w:p>
    <w:p w:rsidR="007E19FF" w:rsidRPr="007E19FF" w:rsidRDefault="007E19FF" w:rsidP="003B5705">
      <w:pPr>
        <w:spacing w:line="360" w:lineRule="auto"/>
        <w:jc w:val="both"/>
        <w:rPr>
          <w:rFonts w:ascii="Times New Roman" w:eastAsia="Times New Roman" w:hAnsi="Times New Roman" w:cs="Times New Roman"/>
          <w:color w:val="000000"/>
          <w:sz w:val="16"/>
          <w:szCs w:val="16"/>
          <w:lang w:val="en-ZW" w:eastAsia="en-ZW"/>
        </w:rPr>
      </w:pPr>
    </w:p>
    <w:p w:rsidR="00AB093E" w:rsidRPr="00AB093E" w:rsidRDefault="00AB093E" w:rsidP="003B5705">
      <w:pPr>
        <w:spacing w:line="360" w:lineRule="auto"/>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As with the reasons for dismissing the first ground of appeal, this ground too is dismissed for its lack of clarity on what</w:t>
      </w:r>
      <w:r w:rsidR="00C342DA">
        <w:rPr>
          <w:rFonts w:ascii="Times New Roman" w:eastAsia="Times New Roman" w:hAnsi="Times New Roman" w:cs="Times New Roman"/>
          <w:color w:val="000000"/>
          <w:sz w:val="24"/>
          <w:szCs w:val="24"/>
          <w:lang w:val="en-ZW" w:eastAsia="en-ZW"/>
        </w:rPr>
        <w:t xml:space="preserve"> exactly is being complained about</w:t>
      </w:r>
      <w:r w:rsidRPr="00AB093E">
        <w:rPr>
          <w:rFonts w:ascii="Times New Roman" w:eastAsia="Times New Roman" w:hAnsi="Times New Roman" w:cs="Times New Roman"/>
          <w:color w:val="000000"/>
          <w:sz w:val="24"/>
          <w:szCs w:val="24"/>
          <w:lang w:val="en-ZW" w:eastAsia="en-ZW"/>
        </w:rPr>
        <w:t>.</w:t>
      </w:r>
    </w:p>
    <w:p w:rsidR="00AB093E" w:rsidRPr="00AB093E" w:rsidRDefault="00AB093E" w:rsidP="003B5705">
      <w:pPr>
        <w:spacing w:line="360" w:lineRule="auto"/>
        <w:rPr>
          <w:rFonts w:ascii="Times New Roman" w:eastAsia="Times New Roman" w:hAnsi="Times New Roman" w:cs="Times New Roman"/>
          <w:sz w:val="24"/>
          <w:szCs w:val="24"/>
          <w:lang w:val="en-ZW" w:eastAsia="en-ZW"/>
        </w:rPr>
      </w:pPr>
    </w:p>
    <w:p w:rsidR="00AB093E" w:rsidRPr="00AB093E" w:rsidRDefault="00AB093E" w:rsidP="003B5705">
      <w:pPr>
        <w:spacing w:after="160" w:line="360" w:lineRule="auto"/>
        <w:jc w:val="both"/>
        <w:rPr>
          <w:rFonts w:ascii="Times New Roman" w:eastAsia="Times New Roman" w:hAnsi="Times New Roman" w:cs="Times New Roman"/>
          <w:sz w:val="24"/>
          <w:szCs w:val="24"/>
          <w:lang w:val="en-ZW" w:eastAsia="en-ZW"/>
        </w:rPr>
      </w:pPr>
      <w:r w:rsidRPr="00AB093E">
        <w:rPr>
          <w:rFonts w:ascii="Times New Roman" w:eastAsia="Times New Roman" w:hAnsi="Times New Roman" w:cs="Times New Roman"/>
          <w:color w:val="000000"/>
          <w:sz w:val="24"/>
          <w:szCs w:val="24"/>
          <w:lang w:val="en-ZW" w:eastAsia="en-ZW"/>
        </w:rPr>
        <w:t xml:space="preserve">The sixth ground of appeal is that the court erred in holding that the property had been sold to the first respondent when the property was state land which could not have been sold to the first </w:t>
      </w:r>
      <w:r w:rsidRPr="00AB093E">
        <w:rPr>
          <w:rFonts w:ascii="Times New Roman" w:eastAsia="Times New Roman" w:hAnsi="Times New Roman" w:cs="Times New Roman"/>
          <w:color w:val="000000"/>
          <w:sz w:val="24"/>
          <w:szCs w:val="24"/>
          <w:lang w:val="en-ZW" w:eastAsia="en-ZW"/>
        </w:rPr>
        <w:lastRenderedPageBreak/>
        <w:t xml:space="preserve">respondent. It was said by Mr Zviuya to be confusing for a number of reasons. Firstly, the thrust of his argument was that the aspect of the stands having been sold </w:t>
      </w:r>
      <w:r w:rsidR="008F11E4">
        <w:rPr>
          <w:rFonts w:ascii="Times New Roman" w:eastAsia="Times New Roman" w:hAnsi="Times New Roman" w:cs="Times New Roman"/>
          <w:color w:val="000000"/>
          <w:sz w:val="24"/>
          <w:szCs w:val="24"/>
          <w:lang w:val="en-ZW" w:eastAsia="en-ZW"/>
        </w:rPr>
        <w:t>was common cause. Secondly,</w:t>
      </w:r>
      <w:r w:rsidRPr="00AB093E">
        <w:rPr>
          <w:rFonts w:ascii="Times New Roman" w:eastAsia="Times New Roman" w:hAnsi="Times New Roman" w:cs="Times New Roman"/>
          <w:color w:val="000000"/>
          <w:sz w:val="24"/>
          <w:szCs w:val="24"/>
          <w:lang w:val="en-ZW" w:eastAsia="en-ZW"/>
        </w:rPr>
        <w:t xml:space="preserve"> a perusal of the record </w:t>
      </w:r>
      <w:r w:rsidR="008F11E4">
        <w:rPr>
          <w:rFonts w:ascii="Times New Roman" w:eastAsia="Times New Roman" w:hAnsi="Times New Roman" w:cs="Times New Roman"/>
          <w:color w:val="000000"/>
          <w:sz w:val="24"/>
          <w:szCs w:val="24"/>
          <w:lang w:val="en-ZW" w:eastAsia="en-ZW"/>
        </w:rPr>
        <w:t>does not reveal any</w:t>
      </w:r>
      <w:r w:rsidRPr="00AB093E">
        <w:rPr>
          <w:rFonts w:ascii="Times New Roman" w:eastAsia="Times New Roman" w:hAnsi="Times New Roman" w:cs="Times New Roman"/>
          <w:color w:val="000000"/>
          <w:sz w:val="24"/>
          <w:szCs w:val="24"/>
          <w:lang w:val="en-ZW" w:eastAsia="en-ZW"/>
        </w:rPr>
        <w:t xml:space="preserve"> evidence that the land </w:t>
      </w:r>
      <w:r w:rsidR="008F11E4">
        <w:rPr>
          <w:rFonts w:ascii="Times New Roman" w:eastAsia="Times New Roman" w:hAnsi="Times New Roman" w:cs="Times New Roman"/>
          <w:color w:val="000000"/>
          <w:sz w:val="24"/>
          <w:szCs w:val="24"/>
          <w:lang w:val="en-ZW" w:eastAsia="en-ZW"/>
        </w:rPr>
        <w:t>that was sold is</w:t>
      </w:r>
      <w:r w:rsidRPr="00AB093E">
        <w:rPr>
          <w:rFonts w:ascii="Times New Roman" w:eastAsia="Times New Roman" w:hAnsi="Times New Roman" w:cs="Times New Roman"/>
          <w:color w:val="000000"/>
          <w:sz w:val="24"/>
          <w:szCs w:val="24"/>
          <w:lang w:val="en-ZW" w:eastAsia="en-ZW"/>
        </w:rPr>
        <w:t xml:space="preserve"> state land and</w:t>
      </w:r>
      <w:r w:rsidR="003872BB">
        <w:rPr>
          <w:rFonts w:ascii="Times New Roman" w:eastAsia="Times New Roman" w:hAnsi="Times New Roman" w:cs="Times New Roman"/>
          <w:color w:val="000000"/>
          <w:sz w:val="24"/>
          <w:szCs w:val="24"/>
          <w:lang w:val="en-ZW" w:eastAsia="en-ZW"/>
        </w:rPr>
        <w:t>, additionally,</w:t>
      </w:r>
      <w:r w:rsidRPr="00AB093E">
        <w:rPr>
          <w:rFonts w:ascii="Times New Roman" w:eastAsia="Times New Roman" w:hAnsi="Times New Roman" w:cs="Times New Roman"/>
          <w:color w:val="000000"/>
          <w:sz w:val="24"/>
          <w:szCs w:val="24"/>
          <w:lang w:val="en-ZW" w:eastAsia="en-ZW"/>
        </w:rPr>
        <w:t xml:space="preserve"> there was no rationale a</w:t>
      </w:r>
      <w:r w:rsidR="004711FF">
        <w:rPr>
          <w:rFonts w:ascii="Times New Roman" w:eastAsia="Times New Roman" w:hAnsi="Times New Roman" w:cs="Times New Roman"/>
          <w:color w:val="000000"/>
          <w:sz w:val="24"/>
          <w:szCs w:val="24"/>
          <w:lang w:val="en-ZW" w:eastAsia="en-ZW"/>
        </w:rPr>
        <w:t>s to why the local authority would be</w:t>
      </w:r>
      <w:r w:rsidRPr="00AB093E">
        <w:rPr>
          <w:rFonts w:ascii="Times New Roman" w:eastAsia="Times New Roman" w:hAnsi="Times New Roman" w:cs="Times New Roman"/>
          <w:color w:val="000000"/>
          <w:sz w:val="24"/>
          <w:szCs w:val="24"/>
          <w:lang w:val="en-ZW" w:eastAsia="en-ZW"/>
        </w:rPr>
        <w:t xml:space="preserve"> receiving money for state land. He also argued that state land</w:t>
      </w:r>
      <w:r w:rsidR="007C0504">
        <w:rPr>
          <w:rFonts w:ascii="Times New Roman" w:eastAsia="Times New Roman" w:hAnsi="Times New Roman" w:cs="Times New Roman"/>
          <w:color w:val="000000"/>
          <w:sz w:val="24"/>
          <w:szCs w:val="24"/>
          <w:lang w:val="en-ZW" w:eastAsia="en-ZW"/>
        </w:rPr>
        <w:t>,</w:t>
      </w:r>
      <w:r w:rsidRPr="00AB093E">
        <w:rPr>
          <w:rFonts w:ascii="Times New Roman" w:eastAsia="Times New Roman" w:hAnsi="Times New Roman" w:cs="Times New Roman"/>
          <w:color w:val="000000"/>
          <w:sz w:val="24"/>
          <w:szCs w:val="24"/>
          <w:lang w:val="en-ZW" w:eastAsia="en-ZW"/>
        </w:rPr>
        <w:t xml:space="preserve"> in any event</w:t>
      </w:r>
      <w:r w:rsidR="007C0504">
        <w:rPr>
          <w:rFonts w:ascii="Times New Roman" w:eastAsia="Times New Roman" w:hAnsi="Times New Roman" w:cs="Times New Roman"/>
          <w:color w:val="000000"/>
          <w:sz w:val="24"/>
          <w:szCs w:val="24"/>
          <w:lang w:val="en-ZW" w:eastAsia="en-ZW"/>
        </w:rPr>
        <w:t>,</w:t>
      </w:r>
      <w:r w:rsidR="004F2496">
        <w:rPr>
          <w:rFonts w:ascii="Times New Roman" w:eastAsia="Times New Roman" w:hAnsi="Times New Roman" w:cs="Times New Roman"/>
          <w:color w:val="000000"/>
          <w:sz w:val="24"/>
          <w:szCs w:val="24"/>
          <w:lang w:val="en-ZW" w:eastAsia="en-ZW"/>
        </w:rPr>
        <w:t xml:space="preserve"> can be sold. Therefore, a</w:t>
      </w:r>
      <w:r w:rsidRPr="00AB093E">
        <w:rPr>
          <w:rFonts w:ascii="Times New Roman" w:eastAsia="Times New Roman" w:hAnsi="Times New Roman" w:cs="Times New Roman"/>
          <w:color w:val="000000"/>
          <w:sz w:val="24"/>
          <w:szCs w:val="24"/>
          <w:lang w:val="en-ZW" w:eastAsia="en-ZW"/>
        </w:rPr>
        <w:t>t the nub of the objecti</w:t>
      </w:r>
      <w:r w:rsidR="003367F2">
        <w:rPr>
          <w:rFonts w:ascii="Times New Roman" w:eastAsia="Times New Roman" w:hAnsi="Times New Roman" w:cs="Times New Roman"/>
          <w:color w:val="000000"/>
          <w:sz w:val="24"/>
          <w:szCs w:val="24"/>
          <w:lang w:val="en-ZW" w:eastAsia="en-ZW"/>
        </w:rPr>
        <w:t xml:space="preserve">on to this ground was </w:t>
      </w:r>
      <w:r w:rsidRPr="00AB093E">
        <w:rPr>
          <w:rFonts w:ascii="Times New Roman" w:eastAsia="Times New Roman" w:hAnsi="Times New Roman" w:cs="Times New Roman"/>
          <w:color w:val="000000"/>
          <w:sz w:val="24"/>
          <w:szCs w:val="24"/>
          <w:lang w:val="en-ZW" w:eastAsia="en-ZW"/>
        </w:rPr>
        <w:t xml:space="preserve">that </w:t>
      </w:r>
      <w:r w:rsidR="007C0504">
        <w:rPr>
          <w:rFonts w:ascii="Times New Roman" w:eastAsia="Times New Roman" w:hAnsi="Times New Roman" w:cs="Times New Roman"/>
          <w:color w:val="000000"/>
          <w:sz w:val="24"/>
          <w:szCs w:val="24"/>
          <w:lang w:val="en-ZW" w:eastAsia="en-ZW"/>
        </w:rPr>
        <w:t>the ground equally lacked</w:t>
      </w:r>
      <w:r w:rsidRPr="00AB093E">
        <w:rPr>
          <w:rFonts w:ascii="Times New Roman" w:eastAsia="Times New Roman" w:hAnsi="Times New Roman" w:cs="Times New Roman"/>
          <w:color w:val="000000"/>
          <w:sz w:val="24"/>
          <w:szCs w:val="24"/>
          <w:lang w:val="en-ZW" w:eastAsia="en-ZW"/>
        </w:rPr>
        <w:t xml:space="preserve"> clarity</w:t>
      </w:r>
      <w:r w:rsidR="007C0504">
        <w:rPr>
          <w:rFonts w:ascii="Times New Roman" w:eastAsia="Times New Roman" w:hAnsi="Times New Roman" w:cs="Times New Roman"/>
          <w:color w:val="000000"/>
          <w:sz w:val="24"/>
          <w:szCs w:val="24"/>
          <w:lang w:val="en-ZW" w:eastAsia="en-ZW"/>
        </w:rPr>
        <w:t xml:space="preserve"> and precision</w:t>
      </w:r>
      <w:r w:rsidRPr="00AB093E">
        <w:rPr>
          <w:rFonts w:ascii="Times New Roman" w:eastAsia="Times New Roman" w:hAnsi="Times New Roman" w:cs="Times New Roman"/>
          <w:color w:val="000000"/>
          <w:sz w:val="24"/>
          <w:szCs w:val="24"/>
          <w:lang w:val="en-ZW" w:eastAsia="en-ZW"/>
        </w:rPr>
        <w:t xml:space="preserve"> as envisaged in the case of </w:t>
      </w:r>
      <w:r w:rsidRPr="00AB093E">
        <w:rPr>
          <w:rFonts w:ascii="Times New Roman" w:eastAsia="Times New Roman" w:hAnsi="Times New Roman" w:cs="Times New Roman"/>
          <w:i/>
          <w:iCs/>
          <w:color w:val="000000"/>
          <w:sz w:val="24"/>
          <w:szCs w:val="24"/>
          <w:lang w:val="en-ZW" w:eastAsia="en-ZW"/>
        </w:rPr>
        <w:t xml:space="preserve">Kunonga </w:t>
      </w:r>
      <w:r w:rsidRPr="00AB093E">
        <w:rPr>
          <w:rFonts w:ascii="Times New Roman" w:eastAsia="Times New Roman" w:hAnsi="Times New Roman" w:cs="Times New Roman"/>
          <w:color w:val="000000"/>
          <w:sz w:val="24"/>
          <w:szCs w:val="24"/>
          <w:lang w:val="en-ZW" w:eastAsia="en-ZW"/>
        </w:rPr>
        <w:t>case. </w:t>
      </w:r>
    </w:p>
    <w:p w:rsidR="00BD4C69" w:rsidRDefault="00BD4C69" w:rsidP="003B5705">
      <w:pPr>
        <w:spacing w:after="160" w:line="360" w:lineRule="auto"/>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Quite clearly, t</w:t>
      </w:r>
      <w:r w:rsidR="00AB093E" w:rsidRPr="00AB093E">
        <w:rPr>
          <w:rFonts w:ascii="Times New Roman" w:eastAsia="Times New Roman" w:hAnsi="Times New Roman" w:cs="Times New Roman"/>
          <w:color w:val="000000"/>
          <w:sz w:val="24"/>
          <w:szCs w:val="24"/>
          <w:lang w:val="en-ZW" w:eastAsia="en-ZW"/>
        </w:rPr>
        <w:t xml:space="preserve">his ground is closely linked to the issue of whether </w:t>
      </w:r>
      <w:r>
        <w:rPr>
          <w:rFonts w:ascii="Times New Roman" w:eastAsia="Times New Roman" w:hAnsi="Times New Roman" w:cs="Times New Roman"/>
          <w:color w:val="000000"/>
          <w:sz w:val="24"/>
          <w:szCs w:val="24"/>
          <w:lang w:val="en-ZW" w:eastAsia="en-ZW"/>
        </w:rPr>
        <w:t xml:space="preserve">or not </w:t>
      </w:r>
      <w:r w:rsidR="00AB093E" w:rsidRPr="00AB093E">
        <w:rPr>
          <w:rFonts w:ascii="Times New Roman" w:eastAsia="Times New Roman" w:hAnsi="Times New Roman" w:cs="Times New Roman"/>
          <w:color w:val="000000"/>
          <w:sz w:val="24"/>
          <w:szCs w:val="24"/>
          <w:lang w:val="en-ZW" w:eastAsia="en-ZW"/>
        </w:rPr>
        <w:t xml:space="preserve">the second respondent managed to establish a clear right. It is equally at the heart of the magistrate’s court order in granting the interdict. </w:t>
      </w:r>
      <w:r w:rsidR="002276BE">
        <w:rPr>
          <w:rFonts w:ascii="Times New Roman" w:eastAsia="Times New Roman" w:hAnsi="Times New Roman" w:cs="Times New Roman"/>
          <w:color w:val="000000"/>
          <w:sz w:val="24"/>
          <w:szCs w:val="24"/>
          <w:lang w:val="en-ZW" w:eastAsia="en-ZW"/>
        </w:rPr>
        <w:t>We found that the objection to this ground of appeal was merited.</w:t>
      </w:r>
    </w:p>
    <w:p w:rsidR="001122BA" w:rsidRPr="001122BA" w:rsidRDefault="001122BA" w:rsidP="001122BA">
      <w:pPr>
        <w:spacing w:line="360" w:lineRule="auto"/>
        <w:jc w:val="both"/>
        <w:rPr>
          <w:rFonts w:ascii="Times New Roman" w:eastAsia="Times New Roman" w:hAnsi="Times New Roman" w:cs="Times New Roman"/>
          <w:b/>
          <w:color w:val="000000"/>
          <w:sz w:val="24"/>
          <w:szCs w:val="24"/>
          <w:u w:val="single"/>
          <w:lang w:val="en-ZW" w:eastAsia="en-ZW"/>
        </w:rPr>
      </w:pPr>
      <w:r w:rsidRPr="001122BA">
        <w:rPr>
          <w:rFonts w:ascii="Times New Roman" w:eastAsia="Times New Roman" w:hAnsi="Times New Roman" w:cs="Times New Roman"/>
          <w:b/>
          <w:color w:val="000000"/>
          <w:sz w:val="24"/>
          <w:szCs w:val="24"/>
          <w:u w:val="single"/>
          <w:lang w:val="en-ZW" w:eastAsia="en-ZW"/>
        </w:rPr>
        <w:t>Analysis</w:t>
      </w:r>
    </w:p>
    <w:p w:rsidR="00AB093E" w:rsidRDefault="002276BE" w:rsidP="003B5705">
      <w:pPr>
        <w:spacing w:after="160" w:line="360" w:lineRule="auto"/>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In light of our findings regarding the remaining grounds of appeal, our view is that the appeal will be dealt with on the</w:t>
      </w:r>
      <w:r w:rsidR="00AB093E" w:rsidRPr="00AB093E">
        <w:rPr>
          <w:rFonts w:ascii="Times New Roman" w:eastAsia="Times New Roman" w:hAnsi="Times New Roman" w:cs="Times New Roman"/>
          <w:color w:val="000000"/>
          <w:sz w:val="24"/>
          <w:szCs w:val="24"/>
          <w:lang w:val="en-ZW" w:eastAsia="en-ZW"/>
        </w:rPr>
        <w:t xml:space="preserve"> two grounds</w:t>
      </w:r>
      <w:r>
        <w:rPr>
          <w:rFonts w:ascii="Times New Roman" w:eastAsia="Times New Roman" w:hAnsi="Times New Roman" w:cs="Times New Roman"/>
          <w:color w:val="000000"/>
          <w:sz w:val="24"/>
          <w:szCs w:val="24"/>
          <w:lang w:val="en-ZW" w:eastAsia="en-ZW"/>
        </w:rPr>
        <w:t>,</w:t>
      </w:r>
      <w:r w:rsidR="00AB093E" w:rsidRPr="00AB093E">
        <w:rPr>
          <w:rFonts w:ascii="Times New Roman" w:eastAsia="Times New Roman" w:hAnsi="Times New Roman" w:cs="Times New Roman"/>
          <w:color w:val="000000"/>
          <w:sz w:val="24"/>
          <w:szCs w:val="24"/>
          <w:lang w:val="en-ZW" w:eastAsia="en-ZW"/>
        </w:rPr>
        <w:t xml:space="preserve"> namely</w:t>
      </w:r>
      <w:r>
        <w:rPr>
          <w:rFonts w:ascii="Times New Roman" w:eastAsia="Times New Roman" w:hAnsi="Times New Roman" w:cs="Times New Roman"/>
          <w:color w:val="000000"/>
          <w:sz w:val="24"/>
          <w:szCs w:val="24"/>
          <w:lang w:val="en-ZW" w:eastAsia="en-ZW"/>
        </w:rPr>
        <w:t>:</w:t>
      </w:r>
    </w:p>
    <w:p w:rsidR="00615931" w:rsidRPr="00615931" w:rsidRDefault="00615931" w:rsidP="003B5705">
      <w:pPr>
        <w:spacing w:after="160" w:line="360" w:lineRule="auto"/>
        <w:jc w:val="both"/>
        <w:rPr>
          <w:rFonts w:ascii="Times New Roman" w:eastAsia="Times New Roman" w:hAnsi="Times New Roman" w:cs="Times New Roman"/>
          <w:sz w:val="2"/>
          <w:szCs w:val="2"/>
          <w:lang w:val="en-ZW" w:eastAsia="en-ZW"/>
        </w:rPr>
      </w:pPr>
    </w:p>
    <w:p w:rsidR="00AB093E" w:rsidRPr="00AB093E" w:rsidRDefault="00AB093E" w:rsidP="003B5705">
      <w:pPr>
        <w:numPr>
          <w:ilvl w:val="0"/>
          <w:numId w:val="36"/>
        </w:numPr>
        <w:spacing w:line="360" w:lineRule="auto"/>
        <w:jc w:val="both"/>
        <w:textAlignment w:val="baseline"/>
        <w:rPr>
          <w:rFonts w:ascii="Times New Roman" w:eastAsia="Times New Roman" w:hAnsi="Times New Roman" w:cs="Times New Roman"/>
          <w:color w:val="000000"/>
          <w:sz w:val="24"/>
          <w:szCs w:val="24"/>
          <w:lang w:val="en-ZW" w:eastAsia="en-ZW"/>
        </w:rPr>
      </w:pPr>
      <w:r w:rsidRPr="00AB093E">
        <w:rPr>
          <w:rFonts w:ascii="Times New Roman" w:eastAsia="Times New Roman" w:hAnsi="Times New Roman" w:cs="Times New Roman"/>
          <w:color w:val="000000"/>
          <w:sz w:val="24"/>
          <w:szCs w:val="24"/>
          <w:lang w:val="en-ZW" w:eastAsia="en-ZW"/>
        </w:rPr>
        <w:t>That the court erred and misdirected itself in finding that the first respondent satisfied the requirement of an interdict contrary to evidence placed before it.</w:t>
      </w:r>
    </w:p>
    <w:p w:rsidR="00AB093E" w:rsidRDefault="00AB093E" w:rsidP="003B5705">
      <w:pPr>
        <w:numPr>
          <w:ilvl w:val="0"/>
          <w:numId w:val="36"/>
        </w:numPr>
        <w:spacing w:after="160" w:line="360" w:lineRule="auto"/>
        <w:jc w:val="both"/>
        <w:textAlignment w:val="baseline"/>
        <w:rPr>
          <w:rFonts w:ascii="Times New Roman" w:eastAsia="Times New Roman" w:hAnsi="Times New Roman" w:cs="Times New Roman"/>
          <w:color w:val="000000"/>
          <w:sz w:val="24"/>
          <w:szCs w:val="24"/>
          <w:lang w:val="en-ZW" w:eastAsia="en-ZW"/>
        </w:rPr>
      </w:pPr>
      <w:r w:rsidRPr="00AB093E">
        <w:rPr>
          <w:rFonts w:ascii="Times New Roman" w:eastAsia="Times New Roman" w:hAnsi="Times New Roman" w:cs="Times New Roman"/>
          <w:color w:val="000000"/>
          <w:sz w:val="24"/>
          <w:szCs w:val="24"/>
          <w:lang w:val="en-ZW" w:eastAsia="en-ZW"/>
        </w:rPr>
        <w:t>That the court erred and misdirected itself in holding that the property had been sold to the first respondent when the property was state land which could not have been sold to the first respondent.</w:t>
      </w:r>
    </w:p>
    <w:p w:rsidR="00C54BD4" w:rsidRPr="00D13915" w:rsidRDefault="00C54BD4" w:rsidP="00230927">
      <w:pPr>
        <w:spacing w:after="160" w:line="360" w:lineRule="auto"/>
        <w:jc w:val="both"/>
        <w:textAlignment w:val="baseline"/>
        <w:rPr>
          <w:rFonts w:ascii="Times New Roman" w:hAnsi="Times New Roman" w:cs="Times New Roman"/>
          <w:sz w:val="4"/>
          <w:szCs w:val="4"/>
        </w:rPr>
      </w:pPr>
    </w:p>
    <w:p w:rsidR="00230927" w:rsidRDefault="005D39C2" w:rsidP="00230927">
      <w:pPr>
        <w:spacing w:after="16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The leading case on the requirements for a final interdict is </w:t>
      </w:r>
      <w:r w:rsidRPr="006548B5">
        <w:rPr>
          <w:rFonts w:ascii="Times New Roman" w:hAnsi="Times New Roman" w:cs="Times New Roman"/>
          <w:i/>
          <w:sz w:val="24"/>
          <w:szCs w:val="24"/>
        </w:rPr>
        <w:t>Setlogelo v Setlogelo</w:t>
      </w:r>
      <w:r>
        <w:rPr>
          <w:rFonts w:ascii="Times New Roman" w:hAnsi="Times New Roman" w:cs="Times New Roman"/>
          <w:sz w:val="24"/>
          <w:szCs w:val="24"/>
        </w:rPr>
        <w:t xml:space="preserve"> </w:t>
      </w:r>
      <w:r w:rsidR="006548B5">
        <w:rPr>
          <w:rFonts w:ascii="Times New Roman" w:hAnsi="Times New Roman" w:cs="Times New Roman"/>
          <w:sz w:val="24"/>
          <w:szCs w:val="24"/>
        </w:rPr>
        <w:t>1914 AD 221 at p227</w:t>
      </w:r>
      <w:r w:rsidR="008921FD">
        <w:rPr>
          <w:rFonts w:ascii="Times New Roman" w:hAnsi="Times New Roman" w:cs="Times New Roman"/>
          <w:sz w:val="24"/>
          <w:szCs w:val="24"/>
        </w:rPr>
        <w:t xml:space="preserve">. (See also </w:t>
      </w:r>
      <w:r w:rsidR="008921FD" w:rsidRPr="008921FD">
        <w:rPr>
          <w:rFonts w:ascii="Times New Roman" w:hAnsi="Times New Roman" w:cs="Times New Roman"/>
          <w:i/>
          <w:sz w:val="24"/>
          <w:szCs w:val="24"/>
        </w:rPr>
        <w:t>Minister of Local Government v Mudzuri &amp; Anor</w:t>
      </w:r>
      <w:r w:rsidR="008921FD">
        <w:rPr>
          <w:rFonts w:ascii="Times New Roman" w:hAnsi="Times New Roman" w:cs="Times New Roman"/>
          <w:sz w:val="24"/>
          <w:szCs w:val="24"/>
        </w:rPr>
        <w:t xml:space="preserve"> 2004 (1) ZLR 221 at p227).</w:t>
      </w:r>
      <w:r w:rsidR="008921FD" w:rsidRPr="008B33E9">
        <w:rPr>
          <w:rFonts w:ascii="Times New Roman" w:hAnsi="Times New Roman" w:cs="Times New Roman"/>
          <w:sz w:val="24"/>
          <w:szCs w:val="24"/>
        </w:rPr>
        <w:t xml:space="preserve"> </w:t>
      </w:r>
      <w:r w:rsidR="006548B5" w:rsidRPr="008B33E9">
        <w:rPr>
          <w:rFonts w:ascii="Times New Roman" w:hAnsi="Times New Roman" w:cs="Times New Roman"/>
          <w:sz w:val="24"/>
          <w:szCs w:val="24"/>
        </w:rPr>
        <w:t xml:space="preserve"> </w:t>
      </w:r>
      <w:r w:rsidR="008B33E9">
        <w:rPr>
          <w:rFonts w:ascii="Times New Roman" w:hAnsi="Times New Roman" w:cs="Times New Roman"/>
          <w:sz w:val="24"/>
          <w:szCs w:val="24"/>
        </w:rPr>
        <w:t>These can be summarized as follows</w:t>
      </w:r>
      <w:r w:rsidR="008B33E9" w:rsidRPr="008B33E9">
        <w:rPr>
          <w:rFonts w:ascii="Times New Roman" w:hAnsi="Times New Roman" w:cs="Times New Roman"/>
          <w:sz w:val="24"/>
          <w:szCs w:val="24"/>
        </w:rPr>
        <w:t xml:space="preserve">: (a) a clear right; (b) irreparable harm actually committed or reasonably apprehended; and (c) the absence of an alternative remedy. </w:t>
      </w:r>
      <w:r w:rsidR="009D40F7">
        <w:rPr>
          <w:rFonts w:ascii="Times New Roman" w:hAnsi="Times New Roman" w:cs="Times New Roman"/>
          <w:sz w:val="24"/>
          <w:szCs w:val="24"/>
        </w:rPr>
        <w:t xml:space="preserve">It is clear from the grounds of appeal that we have allowed to stand that the appellant contends that a clear right was not established in the court </w:t>
      </w:r>
      <w:r w:rsidR="009D40F7" w:rsidRPr="009D40F7">
        <w:rPr>
          <w:rFonts w:ascii="Times New Roman" w:hAnsi="Times New Roman" w:cs="Times New Roman"/>
          <w:i/>
          <w:sz w:val="24"/>
          <w:szCs w:val="24"/>
        </w:rPr>
        <w:t>a quo</w:t>
      </w:r>
      <w:r w:rsidR="009D40F7">
        <w:rPr>
          <w:rFonts w:ascii="Times New Roman" w:hAnsi="Times New Roman" w:cs="Times New Roman"/>
          <w:sz w:val="24"/>
          <w:szCs w:val="24"/>
        </w:rPr>
        <w:t xml:space="preserve">. </w:t>
      </w:r>
      <w:r w:rsidR="00230927" w:rsidRPr="00230927">
        <w:rPr>
          <w:rFonts w:ascii="Times New Roman" w:hAnsi="Times New Roman" w:cs="Times New Roman"/>
          <w:sz w:val="24"/>
          <w:szCs w:val="24"/>
        </w:rPr>
        <w:t xml:space="preserve">The authorities show that </w:t>
      </w:r>
      <w:r w:rsidR="002A47AA">
        <w:rPr>
          <w:rFonts w:ascii="Times New Roman" w:hAnsi="Times New Roman" w:cs="Times New Roman"/>
          <w:sz w:val="24"/>
          <w:szCs w:val="24"/>
        </w:rPr>
        <w:t xml:space="preserve">what </w:t>
      </w:r>
      <w:r w:rsidR="00230927" w:rsidRPr="00230927">
        <w:rPr>
          <w:rFonts w:ascii="Times New Roman" w:hAnsi="Times New Roman" w:cs="Times New Roman"/>
          <w:sz w:val="24"/>
          <w:szCs w:val="24"/>
        </w:rPr>
        <w:t>is required where a final interdict is sought is that the right must be established</w:t>
      </w:r>
      <w:r w:rsidR="00244803">
        <w:rPr>
          <w:rFonts w:ascii="Times New Roman" w:hAnsi="Times New Roman" w:cs="Times New Roman"/>
          <w:sz w:val="24"/>
          <w:szCs w:val="24"/>
        </w:rPr>
        <w:t xml:space="preserve"> clearly </w:t>
      </w:r>
      <w:r w:rsidR="00230927" w:rsidRPr="00230927">
        <w:rPr>
          <w:rFonts w:ascii="Times New Roman" w:hAnsi="Times New Roman" w:cs="Times New Roman"/>
          <w:sz w:val="24"/>
          <w:szCs w:val="24"/>
        </w:rPr>
        <w:t>on a balance of probabilities.</w:t>
      </w:r>
      <w:r w:rsidR="00F46FD7">
        <w:rPr>
          <w:rFonts w:ascii="Times New Roman" w:hAnsi="Times New Roman" w:cs="Times New Roman"/>
          <w:sz w:val="24"/>
          <w:szCs w:val="24"/>
        </w:rPr>
        <w:t xml:space="preserve"> Having looked at the record, we are not satisfied that any basis exists for attacking the lower court’s finding that the </w:t>
      </w:r>
      <w:r w:rsidR="00F46FD7">
        <w:rPr>
          <w:rFonts w:ascii="Times New Roman" w:hAnsi="Times New Roman" w:cs="Times New Roman"/>
          <w:sz w:val="24"/>
          <w:szCs w:val="24"/>
        </w:rPr>
        <w:lastRenderedPageBreak/>
        <w:t xml:space="preserve">respondent had established the requirements for an interdict, particularly a clear right. </w:t>
      </w:r>
      <w:r w:rsidR="00945AF3">
        <w:rPr>
          <w:rFonts w:ascii="Times New Roman" w:hAnsi="Times New Roman" w:cs="Times New Roman"/>
          <w:sz w:val="24"/>
          <w:szCs w:val="24"/>
        </w:rPr>
        <w:t>As we have previously noted, that the stands were sold is common cause. The suggestion that the land sold was state land was not shown by any evidence led before the lower court. At any rate, the probabilities point otherwise</w:t>
      </w:r>
      <w:r w:rsidR="00A24560">
        <w:rPr>
          <w:rFonts w:ascii="Times New Roman" w:hAnsi="Times New Roman" w:cs="Times New Roman"/>
          <w:sz w:val="24"/>
          <w:szCs w:val="24"/>
        </w:rPr>
        <w:t>, because the fa</w:t>
      </w:r>
      <w:r w:rsidR="008E6537">
        <w:rPr>
          <w:rFonts w:ascii="Times New Roman" w:hAnsi="Times New Roman" w:cs="Times New Roman"/>
          <w:sz w:val="24"/>
          <w:szCs w:val="24"/>
        </w:rPr>
        <w:t xml:space="preserve">ct that the local authority </w:t>
      </w:r>
      <w:r w:rsidR="00A24560">
        <w:rPr>
          <w:rFonts w:ascii="Times New Roman" w:hAnsi="Times New Roman" w:cs="Times New Roman"/>
          <w:sz w:val="24"/>
          <w:szCs w:val="24"/>
        </w:rPr>
        <w:t xml:space="preserve">sold the stand rules out the possibility of the land being state land. </w:t>
      </w:r>
      <w:r w:rsidR="009F7CEC">
        <w:rPr>
          <w:rFonts w:ascii="Times New Roman" w:hAnsi="Times New Roman" w:cs="Times New Roman"/>
          <w:sz w:val="24"/>
          <w:szCs w:val="24"/>
        </w:rPr>
        <w:t xml:space="preserve">Even if it was state land, the appellant did not show </w:t>
      </w:r>
      <w:r w:rsidR="00B45D14">
        <w:rPr>
          <w:rFonts w:ascii="Times New Roman" w:hAnsi="Times New Roman" w:cs="Times New Roman"/>
          <w:sz w:val="24"/>
          <w:szCs w:val="24"/>
        </w:rPr>
        <w:t>(and has</w:t>
      </w:r>
      <w:r w:rsidR="009F7CEC">
        <w:rPr>
          <w:rFonts w:ascii="Times New Roman" w:hAnsi="Times New Roman" w:cs="Times New Roman"/>
          <w:sz w:val="24"/>
          <w:szCs w:val="24"/>
        </w:rPr>
        <w:t xml:space="preserve"> not shown)</w:t>
      </w:r>
      <w:r w:rsidR="00F46FD7">
        <w:rPr>
          <w:rFonts w:ascii="Times New Roman" w:hAnsi="Times New Roman" w:cs="Times New Roman"/>
          <w:sz w:val="24"/>
          <w:szCs w:val="24"/>
        </w:rPr>
        <w:t xml:space="preserve"> </w:t>
      </w:r>
      <w:r w:rsidR="009F7CEC">
        <w:rPr>
          <w:rFonts w:ascii="Times New Roman" w:hAnsi="Times New Roman" w:cs="Times New Roman"/>
          <w:sz w:val="24"/>
          <w:szCs w:val="24"/>
        </w:rPr>
        <w:t>what precluded it from sale.</w:t>
      </w:r>
      <w:r w:rsidR="000B4C43">
        <w:rPr>
          <w:rFonts w:ascii="Times New Roman" w:hAnsi="Times New Roman" w:cs="Times New Roman"/>
          <w:sz w:val="24"/>
          <w:szCs w:val="24"/>
        </w:rPr>
        <w:t xml:space="preserve"> That being the case, the finding of the court </w:t>
      </w:r>
      <w:r w:rsidR="000B4C43" w:rsidRPr="00520D3F">
        <w:rPr>
          <w:rFonts w:ascii="Times New Roman" w:hAnsi="Times New Roman" w:cs="Times New Roman"/>
          <w:i/>
          <w:sz w:val="24"/>
          <w:szCs w:val="24"/>
        </w:rPr>
        <w:t xml:space="preserve">a quo </w:t>
      </w:r>
      <w:r w:rsidR="000B4C43">
        <w:rPr>
          <w:rFonts w:ascii="Times New Roman" w:hAnsi="Times New Roman" w:cs="Times New Roman"/>
          <w:sz w:val="24"/>
          <w:szCs w:val="24"/>
        </w:rPr>
        <w:t>cannot be faulted.</w:t>
      </w:r>
      <w:r w:rsidR="00520D3F">
        <w:rPr>
          <w:rFonts w:ascii="Times New Roman" w:hAnsi="Times New Roman" w:cs="Times New Roman"/>
          <w:sz w:val="24"/>
          <w:szCs w:val="24"/>
        </w:rPr>
        <w:t xml:space="preserve"> This therefore disposes of the two grounds of appeal that were still remaining.</w:t>
      </w:r>
    </w:p>
    <w:p w:rsidR="002D5BC3" w:rsidRPr="00230927" w:rsidRDefault="002D5BC3" w:rsidP="00230927">
      <w:pPr>
        <w:spacing w:after="160" w:line="360" w:lineRule="auto"/>
        <w:jc w:val="both"/>
        <w:textAlignment w:val="baseline"/>
        <w:rPr>
          <w:rFonts w:ascii="Times New Roman" w:eastAsia="Times New Roman" w:hAnsi="Times New Roman" w:cs="Times New Roman"/>
          <w:color w:val="000000"/>
          <w:sz w:val="24"/>
          <w:szCs w:val="24"/>
          <w:lang w:val="en-ZW" w:eastAsia="en-ZW"/>
        </w:rPr>
      </w:pPr>
      <w:r>
        <w:rPr>
          <w:rFonts w:ascii="Times New Roman" w:hAnsi="Times New Roman" w:cs="Times New Roman"/>
          <w:sz w:val="24"/>
          <w:szCs w:val="24"/>
        </w:rPr>
        <w:tab/>
        <w:t>In the result, the appeal is dismissed with costs.</w:t>
      </w:r>
    </w:p>
    <w:p w:rsidR="004A52B9" w:rsidRDefault="004A52B9" w:rsidP="003B5705">
      <w:pPr>
        <w:spacing w:line="360" w:lineRule="auto"/>
        <w:jc w:val="both"/>
        <w:rPr>
          <w:rFonts w:ascii="Times New Roman" w:hAnsi="Times New Roman" w:cs="Times New Roman"/>
          <w:i/>
          <w:sz w:val="24"/>
          <w:szCs w:val="24"/>
        </w:rPr>
      </w:pPr>
    </w:p>
    <w:p w:rsidR="0011683A" w:rsidRDefault="0011683A" w:rsidP="004A52B9">
      <w:pPr>
        <w:spacing w:line="360" w:lineRule="auto"/>
        <w:jc w:val="both"/>
        <w:rPr>
          <w:rFonts w:ascii="Times New Roman" w:hAnsi="Times New Roman" w:cs="Times New Roman"/>
          <w:i/>
          <w:sz w:val="24"/>
          <w:szCs w:val="24"/>
        </w:rPr>
      </w:pPr>
    </w:p>
    <w:p w:rsidR="0011683A" w:rsidRDefault="0011683A" w:rsidP="004A52B9">
      <w:pPr>
        <w:spacing w:line="360" w:lineRule="auto"/>
        <w:jc w:val="both"/>
        <w:rPr>
          <w:rFonts w:ascii="Times New Roman" w:hAnsi="Times New Roman" w:cs="Times New Roman"/>
          <w:i/>
          <w:sz w:val="24"/>
          <w:szCs w:val="24"/>
        </w:rPr>
      </w:pPr>
    </w:p>
    <w:p w:rsidR="004A52B9" w:rsidRDefault="005A50F4" w:rsidP="004A52B9">
      <w:pPr>
        <w:jc w:val="both"/>
        <w:rPr>
          <w:rFonts w:ascii="Times New Roman" w:hAnsi="Times New Roman" w:cs="Times New Roman"/>
          <w:sz w:val="24"/>
          <w:szCs w:val="24"/>
        </w:rPr>
      </w:pPr>
      <w:r>
        <w:rPr>
          <w:rFonts w:ascii="Times New Roman" w:hAnsi="Times New Roman" w:cs="Times New Roman"/>
          <w:i/>
          <w:sz w:val="24"/>
          <w:szCs w:val="24"/>
        </w:rPr>
        <w:t>Rubaya &amp; Chatambudza</w:t>
      </w:r>
      <w:r w:rsidR="004A52B9">
        <w:rPr>
          <w:rFonts w:ascii="Times New Roman" w:hAnsi="Times New Roman" w:cs="Times New Roman"/>
          <w:sz w:val="24"/>
          <w:szCs w:val="24"/>
        </w:rPr>
        <w:t>, applicants’ legal practitioners</w:t>
      </w:r>
    </w:p>
    <w:p w:rsidR="004A52B9" w:rsidRDefault="005A50F4" w:rsidP="004A52B9">
      <w:pPr>
        <w:jc w:val="both"/>
        <w:rPr>
          <w:rFonts w:ascii="Times New Roman" w:hAnsi="Times New Roman" w:cs="Times New Roman"/>
          <w:sz w:val="24"/>
          <w:szCs w:val="24"/>
        </w:rPr>
      </w:pPr>
      <w:r>
        <w:rPr>
          <w:rFonts w:ascii="Times New Roman" w:hAnsi="Times New Roman" w:cs="Times New Roman"/>
          <w:i/>
          <w:sz w:val="24"/>
          <w:szCs w:val="24"/>
        </w:rPr>
        <w:t>Jarvis &amp; Palferaman</w:t>
      </w:r>
      <w:r w:rsidR="004A52B9">
        <w:rPr>
          <w:rFonts w:ascii="Times New Roman" w:hAnsi="Times New Roman" w:cs="Times New Roman"/>
          <w:i/>
          <w:sz w:val="24"/>
          <w:szCs w:val="24"/>
        </w:rPr>
        <w:t>,</w:t>
      </w:r>
      <w:r w:rsidR="004A52B9">
        <w:rPr>
          <w:rFonts w:ascii="Times New Roman" w:hAnsi="Times New Roman" w:cs="Times New Roman"/>
          <w:sz w:val="24"/>
          <w:szCs w:val="24"/>
        </w:rPr>
        <w:t xml:space="preserve"> 1</w:t>
      </w:r>
      <w:r w:rsidR="004A52B9">
        <w:rPr>
          <w:rFonts w:ascii="Times New Roman" w:hAnsi="Times New Roman" w:cs="Times New Roman"/>
          <w:sz w:val="24"/>
          <w:szCs w:val="24"/>
          <w:vertAlign w:val="superscript"/>
        </w:rPr>
        <w:t>st</w:t>
      </w:r>
      <w:r w:rsidR="004A52B9">
        <w:rPr>
          <w:rFonts w:ascii="Times New Roman" w:hAnsi="Times New Roman" w:cs="Times New Roman"/>
          <w:sz w:val="24"/>
          <w:szCs w:val="24"/>
        </w:rPr>
        <w:t xml:space="preserve"> respondent’s legal practitioners</w:t>
      </w:r>
    </w:p>
    <w:p w:rsidR="004C2E2C" w:rsidRPr="004C2E2C" w:rsidRDefault="004C2E2C" w:rsidP="004A52B9">
      <w:pPr>
        <w:spacing w:line="360" w:lineRule="auto"/>
        <w:jc w:val="both"/>
        <w:rPr>
          <w:rFonts w:ascii="Arial" w:hAnsi="Arial" w:cs="Arial"/>
          <w:b/>
          <w:sz w:val="24"/>
          <w:szCs w:val="24"/>
        </w:rPr>
      </w:pPr>
    </w:p>
    <w:sectPr w:rsidR="004C2E2C" w:rsidRPr="004C2E2C"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84D" w:rsidRDefault="001A784D" w:rsidP="008B71F1">
      <w:r>
        <w:separator/>
      </w:r>
    </w:p>
  </w:endnote>
  <w:endnote w:type="continuationSeparator" w:id="0">
    <w:p w:rsidR="001A784D" w:rsidRDefault="001A784D"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45" w:rsidRDefault="00807745">
    <w:pPr>
      <w:pStyle w:val="Footer"/>
      <w:jc w:val="right"/>
    </w:pPr>
  </w:p>
  <w:p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84D" w:rsidRDefault="001A784D" w:rsidP="008B71F1">
      <w:r>
        <w:separator/>
      </w:r>
    </w:p>
  </w:footnote>
  <w:footnote w:type="continuationSeparator" w:id="0">
    <w:p w:rsidR="001A784D" w:rsidRDefault="001A784D"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rsidR="0011683A" w:rsidRDefault="0011683A">
        <w:pPr>
          <w:pStyle w:val="Header"/>
          <w:jc w:val="right"/>
          <w:rPr>
            <w:noProof/>
          </w:rPr>
        </w:pPr>
        <w:r>
          <w:fldChar w:fldCharType="begin"/>
        </w:r>
        <w:r>
          <w:instrText xml:space="preserve"> PAGE   \* MERGEFORMAT </w:instrText>
        </w:r>
        <w:r>
          <w:fldChar w:fldCharType="separate"/>
        </w:r>
        <w:r w:rsidR="00062E84">
          <w:rPr>
            <w:noProof/>
          </w:rPr>
          <w:t>1</w:t>
        </w:r>
        <w:r>
          <w:rPr>
            <w:noProof/>
          </w:rPr>
          <w:fldChar w:fldCharType="end"/>
        </w:r>
      </w:p>
      <w:p w:rsidR="0011683A" w:rsidRDefault="0011683A">
        <w:pPr>
          <w:pStyle w:val="Header"/>
          <w:jc w:val="right"/>
          <w:rPr>
            <w:noProof/>
          </w:rPr>
        </w:pPr>
        <w:r>
          <w:rPr>
            <w:noProof/>
          </w:rPr>
          <w:t>HH</w:t>
        </w:r>
        <w:r w:rsidR="00192C30">
          <w:rPr>
            <w:noProof/>
          </w:rPr>
          <w:t xml:space="preserve"> 98-21</w:t>
        </w:r>
      </w:p>
      <w:p w:rsidR="00AD0D52" w:rsidRDefault="0011683A">
        <w:pPr>
          <w:pStyle w:val="Header"/>
          <w:jc w:val="right"/>
          <w:rPr>
            <w:noProof/>
          </w:rPr>
        </w:pPr>
        <w:r>
          <w:rPr>
            <w:noProof/>
          </w:rPr>
          <w:t>HC 7753/16</w:t>
        </w:r>
      </w:p>
      <w:p w:rsidR="00987CDA" w:rsidRDefault="00B96E47">
        <w:pPr>
          <w:pStyle w:val="Header"/>
          <w:jc w:val="right"/>
          <w:rPr>
            <w:noProof/>
          </w:rPr>
        </w:pPr>
        <w:r>
          <w:rPr>
            <w:noProof/>
          </w:rPr>
          <w:t>CASE No CIV “A” 90/20</w:t>
        </w:r>
      </w:p>
      <w:p w:rsidR="0011683A" w:rsidRDefault="00987CDA">
        <w:pPr>
          <w:pStyle w:val="Header"/>
          <w:jc w:val="right"/>
        </w:pPr>
        <w:r>
          <w:rPr>
            <w:noProof/>
          </w:rPr>
          <w:t>REF: GL30/20</w:t>
        </w:r>
      </w:p>
    </w:sdtContent>
  </w:sdt>
  <w:p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633029E"/>
    <w:multiLevelType w:val="multilevel"/>
    <w:tmpl w:val="2724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C422614"/>
    <w:multiLevelType w:val="multilevel"/>
    <w:tmpl w:val="126E8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35"/>
  </w:num>
  <w:num w:numId="3">
    <w:abstractNumId w:val="12"/>
  </w:num>
  <w:num w:numId="4">
    <w:abstractNumId w:val="11"/>
  </w:num>
  <w:num w:numId="5">
    <w:abstractNumId w:val="18"/>
  </w:num>
  <w:num w:numId="6">
    <w:abstractNumId w:val="20"/>
  </w:num>
  <w:num w:numId="7">
    <w:abstractNumId w:val="7"/>
  </w:num>
  <w:num w:numId="8">
    <w:abstractNumId w:val="21"/>
  </w:num>
  <w:num w:numId="9">
    <w:abstractNumId w:val="34"/>
  </w:num>
  <w:num w:numId="10">
    <w:abstractNumId w:val="30"/>
  </w:num>
  <w:num w:numId="11">
    <w:abstractNumId w:val="32"/>
  </w:num>
  <w:num w:numId="12">
    <w:abstractNumId w:val="23"/>
  </w:num>
  <w:num w:numId="13">
    <w:abstractNumId w:val="16"/>
  </w:num>
  <w:num w:numId="14">
    <w:abstractNumId w:val="0"/>
  </w:num>
  <w:num w:numId="15">
    <w:abstractNumId w:val="25"/>
  </w:num>
  <w:num w:numId="16">
    <w:abstractNumId w:val="19"/>
  </w:num>
  <w:num w:numId="17">
    <w:abstractNumId w:val="14"/>
  </w:num>
  <w:num w:numId="18">
    <w:abstractNumId w:val="1"/>
  </w:num>
  <w:num w:numId="19">
    <w:abstractNumId w:val="28"/>
  </w:num>
  <w:num w:numId="20">
    <w:abstractNumId w:val="13"/>
  </w:num>
  <w:num w:numId="21">
    <w:abstractNumId w:val="2"/>
  </w:num>
  <w:num w:numId="22">
    <w:abstractNumId w:val="24"/>
  </w:num>
  <w:num w:numId="23">
    <w:abstractNumId w:val="33"/>
  </w:num>
  <w:num w:numId="24">
    <w:abstractNumId w:val="6"/>
  </w:num>
  <w:num w:numId="25">
    <w:abstractNumId w:val="31"/>
  </w:num>
  <w:num w:numId="26">
    <w:abstractNumId w:val="8"/>
  </w:num>
  <w:num w:numId="27">
    <w:abstractNumId w:val="2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7"/>
  </w:num>
  <w:num w:numId="33">
    <w:abstractNumId w:val="29"/>
  </w:num>
  <w:num w:numId="34">
    <w:abstractNumId w:val="15"/>
  </w:num>
  <w:num w:numId="35">
    <w:abstractNumId w:val="9"/>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CD7"/>
    <w:rsid w:val="00004A3A"/>
    <w:rsid w:val="000054D9"/>
    <w:rsid w:val="000065C1"/>
    <w:rsid w:val="00006A1F"/>
    <w:rsid w:val="00007E12"/>
    <w:rsid w:val="00010016"/>
    <w:rsid w:val="00012374"/>
    <w:rsid w:val="00013341"/>
    <w:rsid w:val="000144EF"/>
    <w:rsid w:val="00014D88"/>
    <w:rsid w:val="00014E2E"/>
    <w:rsid w:val="00016CF3"/>
    <w:rsid w:val="00021A86"/>
    <w:rsid w:val="00022BFE"/>
    <w:rsid w:val="00022D66"/>
    <w:rsid w:val="00023FE9"/>
    <w:rsid w:val="00024127"/>
    <w:rsid w:val="000256EA"/>
    <w:rsid w:val="00025F23"/>
    <w:rsid w:val="000266F4"/>
    <w:rsid w:val="0003015C"/>
    <w:rsid w:val="000317B2"/>
    <w:rsid w:val="00032262"/>
    <w:rsid w:val="00032327"/>
    <w:rsid w:val="0003314D"/>
    <w:rsid w:val="00034661"/>
    <w:rsid w:val="000375A0"/>
    <w:rsid w:val="00037A4D"/>
    <w:rsid w:val="00043535"/>
    <w:rsid w:val="000435E0"/>
    <w:rsid w:val="00043891"/>
    <w:rsid w:val="0004423F"/>
    <w:rsid w:val="0004504D"/>
    <w:rsid w:val="000470E5"/>
    <w:rsid w:val="0004754F"/>
    <w:rsid w:val="0004789C"/>
    <w:rsid w:val="00047C70"/>
    <w:rsid w:val="00052594"/>
    <w:rsid w:val="0005268C"/>
    <w:rsid w:val="0005298D"/>
    <w:rsid w:val="00052AE6"/>
    <w:rsid w:val="00054426"/>
    <w:rsid w:val="00055BFD"/>
    <w:rsid w:val="00056CEA"/>
    <w:rsid w:val="00060E1A"/>
    <w:rsid w:val="00062A10"/>
    <w:rsid w:val="00062C94"/>
    <w:rsid w:val="00062D0D"/>
    <w:rsid w:val="00062E84"/>
    <w:rsid w:val="0006363A"/>
    <w:rsid w:val="00063BA6"/>
    <w:rsid w:val="0006405F"/>
    <w:rsid w:val="0006441D"/>
    <w:rsid w:val="00064DA8"/>
    <w:rsid w:val="00066391"/>
    <w:rsid w:val="0006646E"/>
    <w:rsid w:val="00067D02"/>
    <w:rsid w:val="00070464"/>
    <w:rsid w:val="00070C1A"/>
    <w:rsid w:val="00071ED0"/>
    <w:rsid w:val="0007238A"/>
    <w:rsid w:val="00072783"/>
    <w:rsid w:val="0007304D"/>
    <w:rsid w:val="0007442C"/>
    <w:rsid w:val="00075307"/>
    <w:rsid w:val="00076E94"/>
    <w:rsid w:val="000773DF"/>
    <w:rsid w:val="00080350"/>
    <w:rsid w:val="00081B22"/>
    <w:rsid w:val="00083BCE"/>
    <w:rsid w:val="000842EA"/>
    <w:rsid w:val="0008655D"/>
    <w:rsid w:val="000900A8"/>
    <w:rsid w:val="000920F9"/>
    <w:rsid w:val="00092716"/>
    <w:rsid w:val="00095B5A"/>
    <w:rsid w:val="0009657F"/>
    <w:rsid w:val="00096CE2"/>
    <w:rsid w:val="000A08AB"/>
    <w:rsid w:val="000A0AB8"/>
    <w:rsid w:val="000A0AF5"/>
    <w:rsid w:val="000A1668"/>
    <w:rsid w:val="000A1A09"/>
    <w:rsid w:val="000A4625"/>
    <w:rsid w:val="000A505C"/>
    <w:rsid w:val="000A5B41"/>
    <w:rsid w:val="000A651E"/>
    <w:rsid w:val="000B00E0"/>
    <w:rsid w:val="000B17C0"/>
    <w:rsid w:val="000B1E47"/>
    <w:rsid w:val="000B225A"/>
    <w:rsid w:val="000B2AE2"/>
    <w:rsid w:val="000B2D5D"/>
    <w:rsid w:val="000B4C43"/>
    <w:rsid w:val="000B6148"/>
    <w:rsid w:val="000B6FB9"/>
    <w:rsid w:val="000B7F88"/>
    <w:rsid w:val="000C018F"/>
    <w:rsid w:val="000C0A56"/>
    <w:rsid w:val="000C0B78"/>
    <w:rsid w:val="000C1A90"/>
    <w:rsid w:val="000C20E9"/>
    <w:rsid w:val="000C6999"/>
    <w:rsid w:val="000D01F0"/>
    <w:rsid w:val="000D0B03"/>
    <w:rsid w:val="000D1709"/>
    <w:rsid w:val="000D1D97"/>
    <w:rsid w:val="000D23AC"/>
    <w:rsid w:val="000D2B40"/>
    <w:rsid w:val="000D2CDC"/>
    <w:rsid w:val="000D3477"/>
    <w:rsid w:val="000D3F71"/>
    <w:rsid w:val="000D5F51"/>
    <w:rsid w:val="000E0BB7"/>
    <w:rsid w:val="000E0E24"/>
    <w:rsid w:val="000E10A5"/>
    <w:rsid w:val="000E219B"/>
    <w:rsid w:val="000E58C8"/>
    <w:rsid w:val="000E5C45"/>
    <w:rsid w:val="000E62A6"/>
    <w:rsid w:val="000E6E0A"/>
    <w:rsid w:val="000E6F47"/>
    <w:rsid w:val="000E70F0"/>
    <w:rsid w:val="000F1963"/>
    <w:rsid w:val="000F23D1"/>
    <w:rsid w:val="000F281D"/>
    <w:rsid w:val="000F2AC3"/>
    <w:rsid w:val="000F2D0A"/>
    <w:rsid w:val="000F36BD"/>
    <w:rsid w:val="000F4495"/>
    <w:rsid w:val="000F45EA"/>
    <w:rsid w:val="000F478A"/>
    <w:rsid w:val="0010154D"/>
    <w:rsid w:val="00101B3C"/>
    <w:rsid w:val="00104C6F"/>
    <w:rsid w:val="001113AA"/>
    <w:rsid w:val="001114CA"/>
    <w:rsid w:val="001114EA"/>
    <w:rsid w:val="0011198F"/>
    <w:rsid w:val="001122BA"/>
    <w:rsid w:val="00113AC8"/>
    <w:rsid w:val="001149BC"/>
    <w:rsid w:val="00114CDB"/>
    <w:rsid w:val="00114FBB"/>
    <w:rsid w:val="001163C2"/>
    <w:rsid w:val="0011683A"/>
    <w:rsid w:val="00116F33"/>
    <w:rsid w:val="001170C8"/>
    <w:rsid w:val="001170F5"/>
    <w:rsid w:val="001200EA"/>
    <w:rsid w:val="0012072D"/>
    <w:rsid w:val="001216AA"/>
    <w:rsid w:val="00121F14"/>
    <w:rsid w:val="0012297A"/>
    <w:rsid w:val="001249C5"/>
    <w:rsid w:val="0012521E"/>
    <w:rsid w:val="001256D8"/>
    <w:rsid w:val="001258C8"/>
    <w:rsid w:val="00126141"/>
    <w:rsid w:val="00126676"/>
    <w:rsid w:val="001271B5"/>
    <w:rsid w:val="001316CF"/>
    <w:rsid w:val="00131B1B"/>
    <w:rsid w:val="00132A63"/>
    <w:rsid w:val="00134177"/>
    <w:rsid w:val="00134385"/>
    <w:rsid w:val="001343E3"/>
    <w:rsid w:val="00136033"/>
    <w:rsid w:val="00140B14"/>
    <w:rsid w:val="00141221"/>
    <w:rsid w:val="00142C9F"/>
    <w:rsid w:val="0014303C"/>
    <w:rsid w:val="00143477"/>
    <w:rsid w:val="001439E1"/>
    <w:rsid w:val="00144157"/>
    <w:rsid w:val="00144335"/>
    <w:rsid w:val="00146140"/>
    <w:rsid w:val="0014626E"/>
    <w:rsid w:val="00146978"/>
    <w:rsid w:val="001507BC"/>
    <w:rsid w:val="00152D28"/>
    <w:rsid w:val="001534D6"/>
    <w:rsid w:val="00154198"/>
    <w:rsid w:val="00154BDA"/>
    <w:rsid w:val="00154D6A"/>
    <w:rsid w:val="001562CB"/>
    <w:rsid w:val="001571F6"/>
    <w:rsid w:val="00157533"/>
    <w:rsid w:val="00157B14"/>
    <w:rsid w:val="00157F39"/>
    <w:rsid w:val="00162DA8"/>
    <w:rsid w:val="00164D71"/>
    <w:rsid w:val="001654B0"/>
    <w:rsid w:val="00166991"/>
    <w:rsid w:val="00167310"/>
    <w:rsid w:val="00167AEB"/>
    <w:rsid w:val="00167EF0"/>
    <w:rsid w:val="00171673"/>
    <w:rsid w:val="00172392"/>
    <w:rsid w:val="00173E5A"/>
    <w:rsid w:val="0017548C"/>
    <w:rsid w:val="00175C7E"/>
    <w:rsid w:val="00176619"/>
    <w:rsid w:val="001817D2"/>
    <w:rsid w:val="001819AD"/>
    <w:rsid w:val="00182872"/>
    <w:rsid w:val="001828A4"/>
    <w:rsid w:val="00182A4F"/>
    <w:rsid w:val="00185270"/>
    <w:rsid w:val="00186248"/>
    <w:rsid w:val="00186459"/>
    <w:rsid w:val="0018725B"/>
    <w:rsid w:val="00187B01"/>
    <w:rsid w:val="00190206"/>
    <w:rsid w:val="00191051"/>
    <w:rsid w:val="00192C30"/>
    <w:rsid w:val="00195E0D"/>
    <w:rsid w:val="001972CA"/>
    <w:rsid w:val="0019747E"/>
    <w:rsid w:val="00197D96"/>
    <w:rsid w:val="001A0ADD"/>
    <w:rsid w:val="001A1428"/>
    <w:rsid w:val="001A21C8"/>
    <w:rsid w:val="001A2C23"/>
    <w:rsid w:val="001A3F55"/>
    <w:rsid w:val="001A3FB8"/>
    <w:rsid w:val="001A6D0D"/>
    <w:rsid w:val="001A784D"/>
    <w:rsid w:val="001A7A9B"/>
    <w:rsid w:val="001B066A"/>
    <w:rsid w:val="001B0678"/>
    <w:rsid w:val="001B072B"/>
    <w:rsid w:val="001B13D9"/>
    <w:rsid w:val="001B166B"/>
    <w:rsid w:val="001B462C"/>
    <w:rsid w:val="001B614B"/>
    <w:rsid w:val="001B7583"/>
    <w:rsid w:val="001C0CB4"/>
    <w:rsid w:val="001C128F"/>
    <w:rsid w:val="001C27D2"/>
    <w:rsid w:val="001C2C90"/>
    <w:rsid w:val="001C2CC1"/>
    <w:rsid w:val="001C2D50"/>
    <w:rsid w:val="001C316C"/>
    <w:rsid w:val="001C731C"/>
    <w:rsid w:val="001C766E"/>
    <w:rsid w:val="001D0CC6"/>
    <w:rsid w:val="001D1B00"/>
    <w:rsid w:val="001D3441"/>
    <w:rsid w:val="001D501B"/>
    <w:rsid w:val="001D5B5E"/>
    <w:rsid w:val="001D67C4"/>
    <w:rsid w:val="001D7E5D"/>
    <w:rsid w:val="001D7FD7"/>
    <w:rsid w:val="001E132A"/>
    <w:rsid w:val="001E2898"/>
    <w:rsid w:val="001E3310"/>
    <w:rsid w:val="001E5288"/>
    <w:rsid w:val="001E67DB"/>
    <w:rsid w:val="001E77B7"/>
    <w:rsid w:val="001F0AEF"/>
    <w:rsid w:val="001F32C3"/>
    <w:rsid w:val="001F42F8"/>
    <w:rsid w:val="001F5934"/>
    <w:rsid w:val="00200359"/>
    <w:rsid w:val="00200AC5"/>
    <w:rsid w:val="00200EF5"/>
    <w:rsid w:val="00202629"/>
    <w:rsid w:val="002068BC"/>
    <w:rsid w:val="00206E04"/>
    <w:rsid w:val="00206F3C"/>
    <w:rsid w:val="00210375"/>
    <w:rsid w:val="0021060B"/>
    <w:rsid w:val="00210A15"/>
    <w:rsid w:val="00211827"/>
    <w:rsid w:val="002125E4"/>
    <w:rsid w:val="002126CB"/>
    <w:rsid w:val="00212DB1"/>
    <w:rsid w:val="0021318C"/>
    <w:rsid w:val="002136C7"/>
    <w:rsid w:val="002145DD"/>
    <w:rsid w:val="002164B6"/>
    <w:rsid w:val="00217405"/>
    <w:rsid w:val="00220272"/>
    <w:rsid w:val="002226D1"/>
    <w:rsid w:val="00223D16"/>
    <w:rsid w:val="00224F46"/>
    <w:rsid w:val="0022560C"/>
    <w:rsid w:val="00225FEF"/>
    <w:rsid w:val="002264B0"/>
    <w:rsid w:val="002266AF"/>
    <w:rsid w:val="002276BE"/>
    <w:rsid w:val="00230616"/>
    <w:rsid w:val="00230927"/>
    <w:rsid w:val="00230B3B"/>
    <w:rsid w:val="00234674"/>
    <w:rsid w:val="00237B3A"/>
    <w:rsid w:val="00240054"/>
    <w:rsid w:val="00241AAD"/>
    <w:rsid w:val="002422EE"/>
    <w:rsid w:val="00244803"/>
    <w:rsid w:val="00244AE5"/>
    <w:rsid w:val="00245016"/>
    <w:rsid w:val="00245E1D"/>
    <w:rsid w:val="002465F6"/>
    <w:rsid w:val="002466F5"/>
    <w:rsid w:val="00247126"/>
    <w:rsid w:val="00247DA9"/>
    <w:rsid w:val="002506D8"/>
    <w:rsid w:val="00250894"/>
    <w:rsid w:val="002512E1"/>
    <w:rsid w:val="002517FA"/>
    <w:rsid w:val="00251EE8"/>
    <w:rsid w:val="00252A3A"/>
    <w:rsid w:val="00252EF6"/>
    <w:rsid w:val="0025335D"/>
    <w:rsid w:val="002537BF"/>
    <w:rsid w:val="00253AFA"/>
    <w:rsid w:val="00254897"/>
    <w:rsid w:val="00257465"/>
    <w:rsid w:val="00260E9D"/>
    <w:rsid w:val="002628D8"/>
    <w:rsid w:val="00263899"/>
    <w:rsid w:val="002650BC"/>
    <w:rsid w:val="0026559D"/>
    <w:rsid w:val="00265B81"/>
    <w:rsid w:val="0026612A"/>
    <w:rsid w:val="0026628B"/>
    <w:rsid w:val="00271968"/>
    <w:rsid w:val="00271AC1"/>
    <w:rsid w:val="00271C54"/>
    <w:rsid w:val="00272DB4"/>
    <w:rsid w:val="00275052"/>
    <w:rsid w:val="002753AA"/>
    <w:rsid w:val="0027611E"/>
    <w:rsid w:val="00276234"/>
    <w:rsid w:val="00277058"/>
    <w:rsid w:val="002779EE"/>
    <w:rsid w:val="00280990"/>
    <w:rsid w:val="00280B04"/>
    <w:rsid w:val="002818E6"/>
    <w:rsid w:val="00283451"/>
    <w:rsid w:val="00283B02"/>
    <w:rsid w:val="00284778"/>
    <w:rsid w:val="0028586F"/>
    <w:rsid w:val="00285BE4"/>
    <w:rsid w:val="00286212"/>
    <w:rsid w:val="00286612"/>
    <w:rsid w:val="00286BF3"/>
    <w:rsid w:val="00286D2B"/>
    <w:rsid w:val="00287536"/>
    <w:rsid w:val="00292753"/>
    <w:rsid w:val="002938DA"/>
    <w:rsid w:val="00296734"/>
    <w:rsid w:val="002A0700"/>
    <w:rsid w:val="002A15A6"/>
    <w:rsid w:val="002A255F"/>
    <w:rsid w:val="002A3535"/>
    <w:rsid w:val="002A4515"/>
    <w:rsid w:val="002A47AA"/>
    <w:rsid w:val="002A4D48"/>
    <w:rsid w:val="002A5CE8"/>
    <w:rsid w:val="002A61AB"/>
    <w:rsid w:val="002B1473"/>
    <w:rsid w:val="002B1E71"/>
    <w:rsid w:val="002B39C3"/>
    <w:rsid w:val="002B47A4"/>
    <w:rsid w:val="002B698E"/>
    <w:rsid w:val="002B6BEB"/>
    <w:rsid w:val="002B6F31"/>
    <w:rsid w:val="002B75AA"/>
    <w:rsid w:val="002C2B5C"/>
    <w:rsid w:val="002C3156"/>
    <w:rsid w:val="002C32B5"/>
    <w:rsid w:val="002C4F21"/>
    <w:rsid w:val="002C60A8"/>
    <w:rsid w:val="002C64FA"/>
    <w:rsid w:val="002C7CA6"/>
    <w:rsid w:val="002C7F1D"/>
    <w:rsid w:val="002D138C"/>
    <w:rsid w:val="002D1993"/>
    <w:rsid w:val="002D49E0"/>
    <w:rsid w:val="002D4BB1"/>
    <w:rsid w:val="002D5958"/>
    <w:rsid w:val="002D5BC3"/>
    <w:rsid w:val="002E0413"/>
    <w:rsid w:val="002E1D11"/>
    <w:rsid w:val="002E2626"/>
    <w:rsid w:val="002E3C35"/>
    <w:rsid w:val="002E47D4"/>
    <w:rsid w:val="002E626B"/>
    <w:rsid w:val="002F0E37"/>
    <w:rsid w:val="002F3096"/>
    <w:rsid w:val="002F3FD6"/>
    <w:rsid w:val="002F44E9"/>
    <w:rsid w:val="002F62E5"/>
    <w:rsid w:val="002F673A"/>
    <w:rsid w:val="002F722A"/>
    <w:rsid w:val="00300A38"/>
    <w:rsid w:val="003018E8"/>
    <w:rsid w:val="003025F2"/>
    <w:rsid w:val="00302B67"/>
    <w:rsid w:val="00304E5E"/>
    <w:rsid w:val="00305FCF"/>
    <w:rsid w:val="00306FA4"/>
    <w:rsid w:val="00307DE2"/>
    <w:rsid w:val="00310D12"/>
    <w:rsid w:val="00310D42"/>
    <w:rsid w:val="003115B4"/>
    <w:rsid w:val="003171D2"/>
    <w:rsid w:val="003208F8"/>
    <w:rsid w:val="003257C9"/>
    <w:rsid w:val="00325B90"/>
    <w:rsid w:val="003327FF"/>
    <w:rsid w:val="00333768"/>
    <w:rsid w:val="003343AA"/>
    <w:rsid w:val="0033510D"/>
    <w:rsid w:val="00335176"/>
    <w:rsid w:val="0033583D"/>
    <w:rsid w:val="00336107"/>
    <w:rsid w:val="003365BA"/>
    <w:rsid w:val="003367F2"/>
    <w:rsid w:val="00337158"/>
    <w:rsid w:val="00340ED2"/>
    <w:rsid w:val="00340F7A"/>
    <w:rsid w:val="003425CD"/>
    <w:rsid w:val="00342BB2"/>
    <w:rsid w:val="00343460"/>
    <w:rsid w:val="00344C8A"/>
    <w:rsid w:val="003451D1"/>
    <w:rsid w:val="00345583"/>
    <w:rsid w:val="00345D9C"/>
    <w:rsid w:val="00350356"/>
    <w:rsid w:val="00350B33"/>
    <w:rsid w:val="0035182F"/>
    <w:rsid w:val="00351B7A"/>
    <w:rsid w:val="00352154"/>
    <w:rsid w:val="00352689"/>
    <w:rsid w:val="00352765"/>
    <w:rsid w:val="00355AD6"/>
    <w:rsid w:val="003564BB"/>
    <w:rsid w:val="0035651A"/>
    <w:rsid w:val="00357B88"/>
    <w:rsid w:val="00360394"/>
    <w:rsid w:val="003635DE"/>
    <w:rsid w:val="003646A4"/>
    <w:rsid w:val="00365864"/>
    <w:rsid w:val="00366290"/>
    <w:rsid w:val="00366B4C"/>
    <w:rsid w:val="003673D8"/>
    <w:rsid w:val="00371234"/>
    <w:rsid w:val="00372890"/>
    <w:rsid w:val="00377FDC"/>
    <w:rsid w:val="00380ACB"/>
    <w:rsid w:val="00382351"/>
    <w:rsid w:val="00385339"/>
    <w:rsid w:val="0038542B"/>
    <w:rsid w:val="003854B8"/>
    <w:rsid w:val="00385C6E"/>
    <w:rsid w:val="00385E4C"/>
    <w:rsid w:val="00387131"/>
    <w:rsid w:val="00387265"/>
    <w:rsid w:val="003872BB"/>
    <w:rsid w:val="00387923"/>
    <w:rsid w:val="00387FB9"/>
    <w:rsid w:val="003906CB"/>
    <w:rsid w:val="00391EE5"/>
    <w:rsid w:val="00394202"/>
    <w:rsid w:val="00394860"/>
    <w:rsid w:val="0039514B"/>
    <w:rsid w:val="0039559E"/>
    <w:rsid w:val="00396101"/>
    <w:rsid w:val="00397178"/>
    <w:rsid w:val="003A0335"/>
    <w:rsid w:val="003A06AE"/>
    <w:rsid w:val="003A36BA"/>
    <w:rsid w:val="003A3F51"/>
    <w:rsid w:val="003A3FA7"/>
    <w:rsid w:val="003A411F"/>
    <w:rsid w:val="003A5868"/>
    <w:rsid w:val="003A5FA1"/>
    <w:rsid w:val="003A7638"/>
    <w:rsid w:val="003B0D1B"/>
    <w:rsid w:val="003B440C"/>
    <w:rsid w:val="003B5705"/>
    <w:rsid w:val="003B6AA4"/>
    <w:rsid w:val="003B7B0F"/>
    <w:rsid w:val="003C1697"/>
    <w:rsid w:val="003C1DE0"/>
    <w:rsid w:val="003C1F46"/>
    <w:rsid w:val="003C2951"/>
    <w:rsid w:val="003C2BC3"/>
    <w:rsid w:val="003C6EF2"/>
    <w:rsid w:val="003D15BA"/>
    <w:rsid w:val="003D21C3"/>
    <w:rsid w:val="003D271D"/>
    <w:rsid w:val="003D634D"/>
    <w:rsid w:val="003D72EE"/>
    <w:rsid w:val="003D79A3"/>
    <w:rsid w:val="003E26D2"/>
    <w:rsid w:val="003E38C6"/>
    <w:rsid w:val="003E6E98"/>
    <w:rsid w:val="003E70FD"/>
    <w:rsid w:val="003F0963"/>
    <w:rsid w:val="003F1B08"/>
    <w:rsid w:val="003F4E90"/>
    <w:rsid w:val="003F6835"/>
    <w:rsid w:val="004011A3"/>
    <w:rsid w:val="00402191"/>
    <w:rsid w:val="0040399F"/>
    <w:rsid w:val="00403B97"/>
    <w:rsid w:val="00404C87"/>
    <w:rsid w:val="00405648"/>
    <w:rsid w:val="00406A53"/>
    <w:rsid w:val="0040700F"/>
    <w:rsid w:val="0040755C"/>
    <w:rsid w:val="00407973"/>
    <w:rsid w:val="004108DB"/>
    <w:rsid w:val="00411D3F"/>
    <w:rsid w:val="00411D73"/>
    <w:rsid w:val="00411EAC"/>
    <w:rsid w:val="004125D7"/>
    <w:rsid w:val="0041287F"/>
    <w:rsid w:val="0041288D"/>
    <w:rsid w:val="0041398C"/>
    <w:rsid w:val="00413B8A"/>
    <w:rsid w:val="004177C2"/>
    <w:rsid w:val="00417CDF"/>
    <w:rsid w:val="0042061F"/>
    <w:rsid w:val="00423D54"/>
    <w:rsid w:val="00425B8D"/>
    <w:rsid w:val="00426843"/>
    <w:rsid w:val="004270DD"/>
    <w:rsid w:val="00427ED9"/>
    <w:rsid w:val="00430A34"/>
    <w:rsid w:val="0043117C"/>
    <w:rsid w:val="00431C29"/>
    <w:rsid w:val="00431FAC"/>
    <w:rsid w:val="00432040"/>
    <w:rsid w:val="004320D3"/>
    <w:rsid w:val="00432232"/>
    <w:rsid w:val="00433B0F"/>
    <w:rsid w:val="004348E9"/>
    <w:rsid w:val="00436122"/>
    <w:rsid w:val="00436B99"/>
    <w:rsid w:val="004372F7"/>
    <w:rsid w:val="004377CD"/>
    <w:rsid w:val="00437B49"/>
    <w:rsid w:val="004403C9"/>
    <w:rsid w:val="00440ED8"/>
    <w:rsid w:val="004413C7"/>
    <w:rsid w:val="00442E96"/>
    <w:rsid w:val="0044364D"/>
    <w:rsid w:val="004442F2"/>
    <w:rsid w:val="00445149"/>
    <w:rsid w:val="00446BF6"/>
    <w:rsid w:val="0044742D"/>
    <w:rsid w:val="004475BD"/>
    <w:rsid w:val="004478C8"/>
    <w:rsid w:val="00452D46"/>
    <w:rsid w:val="00453E71"/>
    <w:rsid w:val="00455608"/>
    <w:rsid w:val="00456D08"/>
    <w:rsid w:val="00460A86"/>
    <w:rsid w:val="00460A9D"/>
    <w:rsid w:val="00461391"/>
    <w:rsid w:val="0046148D"/>
    <w:rsid w:val="0046148E"/>
    <w:rsid w:val="004625AF"/>
    <w:rsid w:val="004628B9"/>
    <w:rsid w:val="00462E8C"/>
    <w:rsid w:val="00464637"/>
    <w:rsid w:val="0046478A"/>
    <w:rsid w:val="0046531B"/>
    <w:rsid w:val="0046578A"/>
    <w:rsid w:val="00466B3F"/>
    <w:rsid w:val="00467580"/>
    <w:rsid w:val="00470AE1"/>
    <w:rsid w:val="00471103"/>
    <w:rsid w:val="004711FF"/>
    <w:rsid w:val="004725D2"/>
    <w:rsid w:val="00472F0E"/>
    <w:rsid w:val="004735FD"/>
    <w:rsid w:val="00474499"/>
    <w:rsid w:val="00474AD9"/>
    <w:rsid w:val="00475BFC"/>
    <w:rsid w:val="004762B3"/>
    <w:rsid w:val="00476350"/>
    <w:rsid w:val="00476653"/>
    <w:rsid w:val="00476A94"/>
    <w:rsid w:val="00476D9E"/>
    <w:rsid w:val="00480A66"/>
    <w:rsid w:val="004821C7"/>
    <w:rsid w:val="00482382"/>
    <w:rsid w:val="0048374B"/>
    <w:rsid w:val="00483B19"/>
    <w:rsid w:val="004847A1"/>
    <w:rsid w:val="00484C39"/>
    <w:rsid w:val="00485600"/>
    <w:rsid w:val="00486379"/>
    <w:rsid w:val="00486858"/>
    <w:rsid w:val="004868C1"/>
    <w:rsid w:val="00487785"/>
    <w:rsid w:val="00487C66"/>
    <w:rsid w:val="00490027"/>
    <w:rsid w:val="00491A0F"/>
    <w:rsid w:val="00494E1D"/>
    <w:rsid w:val="00495C37"/>
    <w:rsid w:val="00496F72"/>
    <w:rsid w:val="00497238"/>
    <w:rsid w:val="004A0EBD"/>
    <w:rsid w:val="004A11F4"/>
    <w:rsid w:val="004A1905"/>
    <w:rsid w:val="004A2AC6"/>
    <w:rsid w:val="004A3884"/>
    <w:rsid w:val="004A52B9"/>
    <w:rsid w:val="004A59F2"/>
    <w:rsid w:val="004A5F7B"/>
    <w:rsid w:val="004A6042"/>
    <w:rsid w:val="004A6C22"/>
    <w:rsid w:val="004A7ABA"/>
    <w:rsid w:val="004B023C"/>
    <w:rsid w:val="004B13CE"/>
    <w:rsid w:val="004B1BC4"/>
    <w:rsid w:val="004B35D8"/>
    <w:rsid w:val="004B43D9"/>
    <w:rsid w:val="004B4A50"/>
    <w:rsid w:val="004B4ACB"/>
    <w:rsid w:val="004B4B0F"/>
    <w:rsid w:val="004B4BBC"/>
    <w:rsid w:val="004B593C"/>
    <w:rsid w:val="004B66E9"/>
    <w:rsid w:val="004B6F5B"/>
    <w:rsid w:val="004B7681"/>
    <w:rsid w:val="004C20EA"/>
    <w:rsid w:val="004C26FF"/>
    <w:rsid w:val="004C2E2C"/>
    <w:rsid w:val="004C411C"/>
    <w:rsid w:val="004C5932"/>
    <w:rsid w:val="004C5DCE"/>
    <w:rsid w:val="004C7F57"/>
    <w:rsid w:val="004D5C48"/>
    <w:rsid w:val="004D786B"/>
    <w:rsid w:val="004E01CD"/>
    <w:rsid w:val="004E09F7"/>
    <w:rsid w:val="004E2573"/>
    <w:rsid w:val="004E3C5D"/>
    <w:rsid w:val="004E3E6D"/>
    <w:rsid w:val="004E4A6B"/>
    <w:rsid w:val="004E4FE5"/>
    <w:rsid w:val="004E52ED"/>
    <w:rsid w:val="004E734A"/>
    <w:rsid w:val="004F01D2"/>
    <w:rsid w:val="004F1940"/>
    <w:rsid w:val="004F2145"/>
    <w:rsid w:val="004F2496"/>
    <w:rsid w:val="004F41BC"/>
    <w:rsid w:val="004F4F40"/>
    <w:rsid w:val="004F589C"/>
    <w:rsid w:val="004F6B81"/>
    <w:rsid w:val="004F7979"/>
    <w:rsid w:val="00500EF4"/>
    <w:rsid w:val="00501690"/>
    <w:rsid w:val="00501D04"/>
    <w:rsid w:val="00504050"/>
    <w:rsid w:val="00504BA5"/>
    <w:rsid w:val="00505CE6"/>
    <w:rsid w:val="0050744E"/>
    <w:rsid w:val="00510B40"/>
    <w:rsid w:val="00513593"/>
    <w:rsid w:val="005135EB"/>
    <w:rsid w:val="005141A5"/>
    <w:rsid w:val="0051565E"/>
    <w:rsid w:val="00516522"/>
    <w:rsid w:val="00520D3F"/>
    <w:rsid w:val="005222E9"/>
    <w:rsid w:val="00522B0C"/>
    <w:rsid w:val="00526DA0"/>
    <w:rsid w:val="00527472"/>
    <w:rsid w:val="0053010F"/>
    <w:rsid w:val="005304AD"/>
    <w:rsid w:val="0053077E"/>
    <w:rsid w:val="00530C9F"/>
    <w:rsid w:val="00532542"/>
    <w:rsid w:val="00532AD3"/>
    <w:rsid w:val="00534DB8"/>
    <w:rsid w:val="00535231"/>
    <w:rsid w:val="00537551"/>
    <w:rsid w:val="00540005"/>
    <w:rsid w:val="00541463"/>
    <w:rsid w:val="005415A5"/>
    <w:rsid w:val="00546671"/>
    <w:rsid w:val="00547726"/>
    <w:rsid w:val="00547C04"/>
    <w:rsid w:val="00550B30"/>
    <w:rsid w:val="005510C9"/>
    <w:rsid w:val="00552E3C"/>
    <w:rsid w:val="00554EA3"/>
    <w:rsid w:val="00556520"/>
    <w:rsid w:val="0055681B"/>
    <w:rsid w:val="0055779C"/>
    <w:rsid w:val="005609BA"/>
    <w:rsid w:val="005634E2"/>
    <w:rsid w:val="00564C00"/>
    <w:rsid w:val="00564D8D"/>
    <w:rsid w:val="0056524B"/>
    <w:rsid w:val="0056747B"/>
    <w:rsid w:val="005677FE"/>
    <w:rsid w:val="005715D0"/>
    <w:rsid w:val="00571705"/>
    <w:rsid w:val="00571F2B"/>
    <w:rsid w:val="0057204D"/>
    <w:rsid w:val="005724AC"/>
    <w:rsid w:val="00573485"/>
    <w:rsid w:val="00573714"/>
    <w:rsid w:val="005740B9"/>
    <w:rsid w:val="00575F3C"/>
    <w:rsid w:val="00575FB6"/>
    <w:rsid w:val="0057699D"/>
    <w:rsid w:val="00576C37"/>
    <w:rsid w:val="005778D9"/>
    <w:rsid w:val="00582A86"/>
    <w:rsid w:val="005866C3"/>
    <w:rsid w:val="005869AF"/>
    <w:rsid w:val="00586E3A"/>
    <w:rsid w:val="00586EAA"/>
    <w:rsid w:val="005877AB"/>
    <w:rsid w:val="00587D2E"/>
    <w:rsid w:val="00587F9F"/>
    <w:rsid w:val="00591C8B"/>
    <w:rsid w:val="00593B59"/>
    <w:rsid w:val="00596545"/>
    <w:rsid w:val="005971B7"/>
    <w:rsid w:val="00597E11"/>
    <w:rsid w:val="005A0B2E"/>
    <w:rsid w:val="005A15CF"/>
    <w:rsid w:val="005A4BC1"/>
    <w:rsid w:val="005A50F4"/>
    <w:rsid w:val="005A553E"/>
    <w:rsid w:val="005A5901"/>
    <w:rsid w:val="005A681F"/>
    <w:rsid w:val="005A7611"/>
    <w:rsid w:val="005B16FA"/>
    <w:rsid w:val="005B1B53"/>
    <w:rsid w:val="005B299F"/>
    <w:rsid w:val="005B34DC"/>
    <w:rsid w:val="005B46F8"/>
    <w:rsid w:val="005B495F"/>
    <w:rsid w:val="005B6242"/>
    <w:rsid w:val="005B6D9D"/>
    <w:rsid w:val="005B745C"/>
    <w:rsid w:val="005C06BF"/>
    <w:rsid w:val="005C129A"/>
    <w:rsid w:val="005C15C2"/>
    <w:rsid w:val="005C2F4A"/>
    <w:rsid w:val="005C53BD"/>
    <w:rsid w:val="005C756E"/>
    <w:rsid w:val="005C7B38"/>
    <w:rsid w:val="005D0D98"/>
    <w:rsid w:val="005D1FFB"/>
    <w:rsid w:val="005D3753"/>
    <w:rsid w:val="005D39C2"/>
    <w:rsid w:val="005D4906"/>
    <w:rsid w:val="005D5278"/>
    <w:rsid w:val="005D571A"/>
    <w:rsid w:val="005D584F"/>
    <w:rsid w:val="005D69CD"/>
    <w:rsid w:val="005D6FA4"/>
    <w:rsid w:val="005E028D"/>
    <w:rsid w:val="005E127A"/>
    <w:rsid w:val="005E1E40"/>
    <w:rsid w:val="005E2746"/>
    <w:rsid w:val="005E2E7F"/>
    <w:rsid w:val="005E4E6F"/>
    <w:rsid w:val="005E51B1"/>
    <w:rsid w:val="005E6900"/>
    <w:rsid w:val="005E72C3"/>
    <w:rsid w:val="005E7DA2"/>
    <w:rsid w:val="005F1102"/>
    <w:rsid w:val="005F41F0"/>
    <w:rsid w:val="005F4E5A"/>
    <w:rsid w:val="005F6A94"/>
    <w:rsid w:val="006005DB"/>
    <w:rsid w:val="00600A1B"/>
    <w:rsid w:val="00601D5A"/>
    <w:rsid w:val="00605A70"/>
    <w:rsid w:val="00605C67"/>
    <w:rsid w:val="0061155E"/>
    <w:rsid w:val="00613F37"/>
    <w:rsid w:val="00614763"/>
    <w:rsid w:val="00615276"/>
    <w:rsid w:val="006156EC"/>
    <w:rsid w:val="00615931"/>
    <w:rsid w:val="006172EB"/>
    <w:rsid w:val="0062019F"/>
    <w:rsid w:val="00620AD6"/>
    <w:rsid w:val="006210FC"/>
    <w:rsid w:val="00622C2E"/>
    <w:rsid w:val="00622F45"/>
    <w:rsid w:val="00623149"/>
    <w:rsid w:val="00623513"/>
    <w:rsid w:val="00624DF7"/>
    <w:rsid w:val="006263B8"/>
    <w:rsid w:val="00626B3A"/>
    <w:rsid w:val="006301BE"/>
    <w:rsid w:val="0063035D"/>
    <w:rsid w:val="006311F9"/>
    <w:rsid w:val="00632833"/>
    <w:rsid w:val="00632B99"/>
    <w:rsid w:val="0063361D"/>
    <w:rsid w:val="00633787"/>
    <w:rsid w:val="00633F0F"/>
    <w:rsid w:val="00634114"/>
    <w:rsid w:val="006343AB"/>
    <w:rsid w:val="00637454"/>
    <w:rsid w:val="006400BE"/>
    <w:rsid w:val="00641373"/>
    <w:rsid w:val="00641B22"/>
    <w:rsid w:val="00642F88"/>
    <w:rsid w:val="00644B55"/>
    <w:rsid w:val="00645203"/>
    <w:rsid w:val="0064617D"/>
    <w:rsid w:val="00646A0F"/>
    <w:rsid w:val="00646B7E"/>
    <w:rsid w:val="006470EE"/>
    <w:rsid w:val="006506CB"/>
    <w:rsid w:val="00650791"/>
    <w:rsid w:val="00652775"/>
    <w:rsid w:val="00652ACA"/>
    <w:rsid w:val="00654034"/>
    <w:rsid w:val="006548B5"/>
    <w:rsid w:val="00654D61"/>
    <w:rsid w:val="00655938"/>
    <w:rsid w:val="00655A30"/>
    <w:rsid w:val="00655B46"/>
    <w:rsid w:val="00657BF1"/>
    <w:rsid w:val="00660260"/>
    <w:rsid w:val="006609CB"/>
    <w:rsid w:val="006610DA"/>
    <w:rsid w:val="0066323D"/>
    <w:rsid w:val="00663C33"/>
    <w:rsid w:val="0066484F"/>
    <w:rsid w:val="006652E1"/>
    <w:rsid w:val="00665871"/>
    <w:rsid w:val="00665FBA"/>
    <w:rsid w:val="00666401"/>
    <w:rsid w:val="006668C7"/>
    <w:rsid w:val="00667C4E"/>
    <w:rsid w:val="00674AB6"/>
    <w:rsid w:val="00675843"/>
    <w:rsid w:val="0067631B"/>
    <w:rsid w:val="0068053F"/>
    <w:rsid w:val="00681DF8"/>
    <w:rsid w:val="00681E0F"/>
    <w:rsid w:val="00687196"/>
    <w:rsid w:val="00694BB8"/>
    <w:rsid w:val="006955EC"/>
    <w:rsid w:val="00695BE8"/>
    <w:rsid w:val="00695CC9"/>
    <w:rsid w:val="00697843"/>
    <w:rsid w:val="00697D01"/>
    <w:rsid w:val="006A07C9"/>
    <w:rsid w:val="006A0BB6"/>
    <w:rsid w:val="006A10E4"/>
    <w:rsid w:val="006A158E"/>
    <w:rsid w:val="006A2116"/>
    <w:rsid w:val="006A28EF"/>
    <w:rsid w:val="006A29AA"/>
    <w:rsid w:val="006A33F5"/>
    <w:rsid w:val="006A37B1"/>
    <w:rsid w:val="006A6449"/>
    <w:rsid w:val="006B1327"/>
    <w:rsid w:val="006B5BFF"/>
    <w:rsid w:val="006B622D"/>
    <w:rsid w:val="006C0F47"/>
    <w:rsid w:val="006C2193"/>
    <w:rsid w:val="006C2499"/>
    <w:rsid w:val="006C252B"/>
    <w:rsid w:val="006C273D"/>
    <w:rsid w:val="006C574E"/>
    <w:rsid w:val="006C61E4"/>
    <w:rsid w:val="006D0135"/>
    <w:rsid w:val="006D0A93"/>
    <w:rsid w:val="006D39FE"/>
    <w:rsid w:val="006D4039"/>
    <w:rsid w:val="006D440D"/>
    <w:rsid w:val="006D4A0F"/>
    <w:rsid w:val="006D69B4"/>
    <w:rsid w:val="006E01D9"/>
    <w:rsid w:val="006E181E"/>
    <w:rsid w:val="006E1F17"/>
    <w:rsid w:val="006E21B4"/>
    <w:rsid w:val="006E5DE4"/>
    <w:rsid w:val="006E73B9"/>
    <w:rsid w:val="006F19DD"/>
    <w:rsid w:val="006F23FF"/>
    <w:rsid w:val="006F29CD"/>
    <w:rsid w:val="006F3EA4"/>
    <w:rsid w:val="006F4787"/>
    <w:rsid w:val="006F4A9E"/>
    <w:rsid w:val="006F5F7A"/>
    <w:rsid w:val="006F6208"/>
    <w:rsid w:val="006F65F9"/>
    <w:rsid w:val="006F66A4"/>
    <w:rsid w:val="006F73D7"/>
    <w:rsid w:val="00700004"/>
    <w:rsid w:val="00700217"/>
    <w:rsid w:val="007012DF"/>
    <w:rsid w:val="00702DAF"/>
    <w:rsid w:val="007031FA"/>
    <w:rsid w:val="00704DD2"/>
    <w:rsid w:val="00705C50"/>
    <w:rsid w:val="00705E41"/>
    <w:rsid w:val="00705F28"/>
    <w:rsid w:val="007065E2"/>
    <w:rsid w:val="007105E9"/>
    <w:rsid w:val="00710795"/>
    <w:rsid w:val="007114EF"/>
    <w:rsid w:val="0071342F"/>
    <w:rsid w:val="00713DD6"/>
    <w:rsid w:val="00715D30"/>
    <w:rsid w:val="007160F9"/>
    <w:rsid w:val="007162A4"/>
    <w:rsid w:val="007166B7"/>
    <w:rsid w:val="00716AFD"/>
    <w:rsid w:val="00717675"/>
    <w:rsid w:val="00720FCD"/>
    <w:rsid w:val="00721915"/>
    <w:rsid w:val="00724193"/>
    <w:rsid w:val="007241D7"/>
    <w:rsid w:val="007259D1"/>
    <w:rsid w:val="00727D57"/>
    <w:rsid w:val="007309E4"/>
    <w:rsid w:val="00731231"/>
    <w:rsid w:val="00731237"/>
    <w:rsid w:val="007313F4"/>
    <w:rsid w:val="00731495"/>
    <w:rsid w:val="00731BCE"/>
    <w:rsid w:val="00732D1C"/>
    <w:rsid w:val="0073385D"/>
    <w:rsid w:val="00734489"/>
    <w:rsid w:val="00734FEA"/>
    <w:rsid w:val="0073700D"/>
    <w:rsid w:val="00740B22"/>
    <w:rsid w:val="0074153A"/>
    <w:rsid w:val="00742595"/>
    <w:rsid w:val="00742F62"/>
    <w:rsid w:val="00743DA5"/>
    <w:rsid w:val="0074623D"/>
    <w:rsid w:val="00746A8D"/>
    <w:rsid w:val="00746F59"/>
    <w:rsid w:val="00750A4C"/>
    <w:rsid w:val="007523C1"/>
    <w:rsid w:val="007524BA"/>
    <w:rsid w:val="0075354B"/>
    <w:rsid w:val="0075356B"/>
    <w:rsid w:val="00753C97"/>
    <w:rsid w:val="00754501"/>
    <w:rsid w:val="007555DB"/>
    <w:rsid w:val="00755A6E"/>
    <w:rsid w:val="0075663B"/>
    <w:rsid w:val="00756A3D"/>
    <w:rsid w:val="007573B2"/>
    <w:rsid w:val="00757670"/>
    <w:rsid w:val="00761D50"/>
    <w:rsid w:val="00762356"/>
    <w:rsid w:val="00762C83"/>
    <w:rsid w:val="007632B6"/>
    <w:rsid w:val="007636BD"/>
    <w:rsid w:val="00765B93"/>
    <w:rsid w:val="00765ED3"/>
    <w:rsid w:val="00765F04"/>
    <w:rsid w:val="00766344"/>
    <w:rsid w:val="00767718"/>
    <w:rsid w:val="0077041A"/>
    <w:rsid w:val="00770822"/>
    <w:rsid w:val="00771068"/>
    <w:rsid w:val="007710EC"/>
    <w:rsid w:val="00771337"/>
    <w:rsid w:val="007714C2"/>
    <w:rsid w:val="007741A4"/>
    <w:rsid w:val="00777956"/>
    <w:rsid w:val="00783709"/>
    <w:rsid w:val="007843B0"/>
    <w:rsid w:val="007848B2"/>
    <w:rsid w:val="007854FB"/>
    <w:rsid w:val="0078591B"/>
    <w:rsid w:val="0078595E"/>
    <w:rsid w:val="007864C8"/>
    <w:rsid w:val="007869B3"/>
    <w:rsid w:val="00786E52"/>
    <w:rsid w:val="007877D5"/>
    <w:rsid w:val="007879DB"/>
    <w:rsid w:val="007908A8"/>
    <w:rsid w:val="007914C8"/>
    <w:rsid w:val="00792208"/>
    <w:rsid w:val="00793505"/>
    <w:rsid w:val="00794D05"/>
    <w:rsid w:val="00796F55"/>
    <w:rsid w:val="007970B5"/>
    <w:rsid w:val="007A100E"/>
    <w:rsid w:val="007A1DC0"/>
    <w:rsid w:val="007A28A2"/>
    <w:rsid w:val="007A3007"/>
    <w:rsid w:val="007A3BED"/>
    <w:rsid w:val="007A6079"/>
    <w:rsid w:val="007A75C3"/>
    <w:rsid w:val="007A76F2"/>
    <w:rsid w:val="007A78AC"/>
    <w:rsid w:val="007B159D"/>
    <w:rsid w:val="007B1BEE"/>
    <w:rsid w:val="007B48E8"/>
    <w:rsid w:val="007B51C8"/>
    <w:rsid w:val="007B53BC"/>
    <w:rsid w:val="007B58CD"/>
    <w:rsid w:val="007B59CD"/>
    <w:rsid w:val="007C0504"/>
    <w:rsid w:val="007C20BB"/>
    <w:rsid w:val="007C22D1"/>
    <w:rsid w:val="007C27D4"/>
    <w:rsid w:val="007D0756"/>
    <w:rsid w:val="007D0904"/>
    <w:rsid w:val="007D1220"/>
    <w:rsid w:val="007D216E"/>
    <w:rsid w:val="007D2336"/>
    <w:rsid w:val="007D3C49"/>
    <w:rsid w:val="007D5243"/>
    <w:rsid w:val="007D5F1E"/>
    <w:rsid w:val="007D6C9B"/>
    <w:rsid w:val="007D7971"/>
    <w:rsid w:val="007D7EA8"/>
    <w:rsid w:val="007E0383"/>
    <w:rsid w:val="007E0C37"/>
    <w:rsid w:val="007E19FF"/>
    <w:rsid w:val="007E2C13"/>
    <w:rsid w:val="007E3E63"/>
    <w:rsid w:val="007E4874"/>
    <w:rsid w:val="007E6407"/>
    <w:rsid w:val="007E694B"/>
    <w:rsid w:val="007E7CAB"/>
    <w:rsid w:val="007F0389"/>
    <w:rsid w:val="007F187F"/>
    <w:rsid w:val="007F1E1F"/>
    <w:rsid w:val="007F2D32"/>
    <w:rsid w:val="007F2E71"/>
    <w:rsid w:val="007F47E7"/>
    <w:rsid w:val="007F7518"/>
    <w:rsid w:val="007F7C11"/>
    <w:rsid w:val="00800217"/>
    <w:rsid w:val="00801665"/>
    <w:rsid w:val="00801749"/>
    <w:rsid w:val="008023C1"/>
    <w:rsid w:val="00802B16"/>
    <w:rsid w:val="00803DC3"/>
    <w:rsid w:val="0080440F"/>
    <w:rsid w:val="00806131"/>
    <w:rsid w:val="008064CA"/>
    <w:rsid w:val="00807745"/>
    <w:rsid w:val="00807E4A"/>
    <w:rsid w:val="008103E3"/>
    <w:rsid w:val="00811943"/>
    <w:rsid w:val="00811C5D"/>
    <w:rsid w:val="00812BEB"/>
    <w:rsid w:val="00814326"/>
    <w:rsid w:val="00815568"/>
    <w:rsid w:val="0081666E"/>
    <w:rsid w:val="008168A1"/>
    <w:rsid w:val="008169FE"/>
    <w:rsid w:val="00816F83"/>
    <w:rsid w:val="00817251"/>
    <w:rsid w:val="008179E9"/>
    <w:rsid w:val="00820EDB"/>
    <w:rsid w:val="008222F1"/>
    <w:rsid w:val="00824346"/>
    <w:rsid w:val="00824A17"/>
    <w:rsid w:val="00825D55"/>
    <w:rsid w:val="0082612C"/>
    <w:rsid w:val="00826CB5"/>
    <w:rsid w:val="0083030C"/>
    <w:rsid w:val="00832D68"/>
    <w:rsid w:val="00833932"/>
    <w:rsid w:val="008344E1"/>
    <w:rsid w:val="0084026F"/>
    <w:rsid w:val="00841B48"/>
    <w:rsid w:val="00843732"/>
    <w:rsid w:val="008442A8"/>
    <w:rsid w:val="008455D8"/>
    <w:rsid w:val="00854881"/>
    <w:rsid w:val="00855313"/>
    <w:rsid w:val="00856A9D"/>
    <w:rsid w:val="008573B2"/>
    <w:rsid w:val="0085750D"/>
    <w:rsid w:val="008577DC"/>
    <w:rsid w:val="00860512"/>
    <w:rsid w:val="008618E8"/>
    <w:rsid w:val="00861A89"/>
    <w:rsid w:val="0086251A"/>
    <w:rsid w:val="0086297F"/>
    <w:rsid w:val="008632F2"/>
    <w:rsid w:val="008635A6"/>
    <w:rsid w:val="0086452A"/>
    <w:rsid w:val="008653FB"/>
    <w:rsid w:val="00865E71"/>
    <w:rsid w:val="008701D6"/>
    <w:rsid w:val="00870330"/>
    <w:rsid w:val="00871C47"/>
    <w:rsid w:val="00871E35"/>
    <w:rsid w:val="008723A7"/>
    <w:rsid w:val="00874ADB"/>
    <w:rsid w:val="00874DF1"/>
    <w:rsid w:val="00874E67"/>
    <w:rsid w:val="00875647"/>
    <w:rsid w:val="00876E55"/>
    <w:rsid w:val="0087700A"/>
    <w:rsid w:val="00877641"/>
    <w:rsid w:val="0087766E"/>
    <w:rsid w:val="00880183"/>
    <w:rsid w:val="00880576"/>
    <w:rsid w:val="008805FD"/>
    <w:rsid w:val="00884982"/>
    <w:rsid w:val="00884D1D"/>
    <w:rsid w:val="00885837"/>
    <w:rsid w:val="0088620C"/>
    <w:rsid w:val="00886DA4"/>
    <w:rsid w:val="00887D60"/>
    <w:rsid w:val="008921FD"/>
    <w:rsid w:val="00892A8B"/>
    <w:rsid w:val="00893101"/>
    <w:rsid w:val="00893B62"/>
    <w:rsid w:val="0089408C"/>
    <w:rsid w:val="00895519"/>
    <w:rsid w:val="00896441"/>
    <w:rsid w:val="00896A0D"/>
    <w:rsid w:val="008A0444"/>
    <w:rsid w:val="008A0BB4"/>
    <w:rsid w:val="008A1416"/>
    <w:rsid w:val="008A1688"/>
    <w:rsid w:val="008A17F6"/>
    <w:rsid w:val="008A3580"/>
    <w:rsid w:val="008A400C"/>
    <w:rsid w:val="008A538D"/>
    <w:rsid w:val="008A5C12"/>
    <w:rsid w:val="008A6CE9"/>
    <w:rsid w:val="008B0014"/>
    <w:rsid w:val="008B11A1"/>
    <w:rsid w:val="008B2271"/>
    <w:rsid w:val="008B231A"/>
    <w:rsid w:val="008B2E48"/>
    <w:rsid w:val="008B32E1"/>
    <w:rsid w:val="008B33E9"/>
    <w:rsid w:val="008B3D19"/>
    <w:rsid w:val="008B4258"/>
    <w:rsid w:val="008B4A45"/>
    <w:rsid w:val="008B641B"/>
    <w:rsid w:val="008B6466"/>
    <w:rsid w:val="008B65A0"/>
    <w:rsid w:val="008B71F1"/>
    <w:rsid w:val="008C0BA8"/>
    <w:rsid w:val="008C0F21"/>
    <w:rsid w:val="008C1CDB"/>
    <w:rsid w:val="008C22C8"/>
    <w:rsid w:val="008C3660"/>
    <w:rsid w:val="008C3A4F"/>
    <w:rsid w:val="008C4C3E"/>
    <w:rsid w:val="008C5FAD"/>
    <w:rsid w:val="008C6104"/>
    <w:rsid w:val="008D0269"/>
    <w:rsid w:val="008D065B"/>
    <w:rsid w:val="008D070A"/>
    <w:rsid w:val="008D0BF2"/>
    <w:rsid w:val="008D15A5"/>
    <w:rsid w:val="008D2212"/>
    <w:rsid w:val="008D3CA7"/>
    <w:rsid w:val="008D3D36"/>
    <w:rsid w:val="008D3E96"/>
    <w:rsid w:val="008D41AC"/>
    <w:rsid w:val="008D5E0F"/>
    <w:rsid w:val="008D692D"/>
    <w:rsid w:val="008D6944"/>
    <w:rsid w:val="008D7BEE"/>
    <w:rsid w:val="008E026F"/>
    <w:rsid w:val="008E0307"/>
    <w:rsid w:val="008E1876"/>
    <w:rsid w:val="008E1BA8"/>
    <w:rsid w:val="008E1BC4"/>
    <w:rsid w:val="008E2143"/>
    <w:rsid w:val="008E3079"/>
    <w:rsid w:val="008E429C"/>
    <w:rsid w:val="008E4FFE"/>
    <w:rsid w:val="008E570B"/>
    <w:rsid w:val="008E5DD3"/>
    <w:rsid w:val="008E6537"/>
    <w:rsid w:val="008E6C7C"/>
    <w:rsid w:val="008E6FB1"/>
    <w:rsid w:val="008F11E4"/>
    <w:rsid w:val="008F3304"/>
    <w:rsid w:val="008F3D50"/>
    <w:rsid w:val="008F632B"/>
    <w:rsid w:val="008F6B6F"/>
    <w:rsid w:val="008F7E83"/>
    <w:rsid w:val="00900C37"/>
    <w:rsid w:val="00900E94"/>
    <w:rsid w:val="00903092"/>
    <w:rsid w:val="0090380F"/>
    <w:rsid w:val="009049B2"/>
    <w:rsid w:val="009113AC"/>
    <w:rsid w:val="0091188F"/>
    <w:rsid w:val="00912FAC"/>
    <w:rsid w:val="009134B0"/>
    <w:rsid w:val="00913F58"/>
    <w:rsid w:val="00914515"/>
    <w:rsid w:val="009163ED"/>
    <w:rsid w:val="00916C3A"/>
    <w:rsid w:val="009179BB"/>
    <w:rsid w:val="009200A9"/>
    <w:rsid w:val="00922110"/>
    <w:rsid w:val="00924380"/>
    <w:rsid w:val="009251F4"/>
    <w:rsid w:val="0092541F"/>
    <w:rsid w:val="0093144C"/>
    <w:rsid w:val="00933A58"/>
    <w:rsid w:val="00933EF6"/>
    <w:rsid w:val="00934858"/>
    <w:rsid w:val="00935366"/>
    <w:rsid w:val="0093582A"/>
    <w:rsid w:val="00936D59"/>
    <w:rsid w:val="00937132"/>
    <w:rsid w:val="009379ED"/>
    <w:rsid w:val="00941D75"/>
    <w:rsid w:val="00942824"/>
    <w:rsid w:val="00942AF6"/>
    <w:rsid w:val="0094486F"/>
    <w:rsid w:val="00945AF3"/>
    <w:rsid w:val="009478B7"/>
    <w:rsid w:val="009506D7"/>
    <w:rsid w:val="00950991"/>
    <w:rsid w:val="00950B56"/>
    <w:rsid w:val="00950F64"/>
    <w:rsid w:val="0095125E"/>
    <w:rsid w:val="00951A1F"/>
    <w:rsid w:val="00953F28"/>
    <w:rsid w:val="0095608B"/>
    <w:rsid w:val="00957444"/>
    <w:rsid w:val="00960429"/>
    <w:rsid w:val="009604A8"/>
    <w:rsid w:val="009619A5"/>
    <w:rsid w:val="00962656"/>
    <w:rsid w:val="00962BCA"/>
    <w:rsid w:val="009637BD"/>
    <w:rsid w:val="00963A19"/>
    <w:rsid w:val="00963D39"/>
    <w:rsid w:val="00965764"/>
    <w:rsid w:val="00966852"/>
    <w:rsid w:val="00966893"/>
    <w:rsid w:val="00966CAA"/>
    <w:rsid w:val="00966FCF"/>
    <w:rsid w:val="00967653"/>
    <w:rsid w:val="009700F4"/>
    <w:rsid w:val="00970E05"/>
    <w:rsid w:val="00972A84"/>
    <w:rsid w:val="00972D5E"/>
    <w:rsid w:val="00973023"/>
    <w:rsid w:val="00975D71"/>
    <w:rsid w:val="009765D2"/>
    <w:rsid w:val="00977CA2"/>
    <w:rsid w:val="009802CE"/>
    <w:rsid w:val="00981D90"/>
    <w:rsid w:val="00982BB5"/>
    <w:rsid w:val="00982DD5"/>
    <w:rsid w:val="00984460"/>
    <w:rsid w:val="00986A81"/>
    <w:rsid w:val="00986AE1"/>
    <w:rsid w:val="00987CDA"/>
    <w:rsid w:val="00990CCE"/>
    <w:rsid w:val="009912A0"/>
    <w:rsid w:val="00991FE6"/>
    <w:rsid w:val="009922EA"/>
    <w:rsid w:val="0099310E"/>
    <w:rsid w:val="00995394"/>
    <w:rsid w:val="00996077"/>
    <w:rsid w:val="009A0E4B"/>
    <w:rsid w:val="009A1447"/>
    <w:rsid w:val="009A144E"/>
    <w:rsid w:val="009A16B0"/>
    <w:rsid w:val="009A3E87"/>
    <w:rsid w:val="009A4888"/>
    <w:rsid w:val="009A5A52"/>
    <w:rsid w:val="009A62A6"/>
    <w:rsid w:val="009A6F2A"/>
    <w:rsid w:val="009A730F"/>
    <w:rsid w:val="009B05AA"/>
    <w:rsid w:val="009B069A"/>
    <w:rsid w:val="009B26F9"/>
    <w:rsid w:val="009B2C69"/>
    <w:rsid w:val="009B2CCD"/>
    <w:rsid w:val="009B4502"/>
    <w:rsid w:val="009B49D9"/>
    <w:rsid w:val="009B4C7F"/>
    <w:rsid w:val="009B5291"/>
    <w:rsid w:val="009B6250"/>
    <w:rsid w:val="009C00AD"/>
    <w:rsid w:val="009C2067"/>
    <w:rsid w:val="009C3749"/>
    <w:rsid w:val="009C3F23"/>
    <w:rsid w:val="009C55A7"/>
    <w:rsid w:val="009C58A5"/>
    <w:rsid w:val="009C6199"/>
    <w:rsid w:val="009C6710"/>
    <w:rsid w:val="009C75E5"/>
    <w:rsid w:val="009D2A3A"/>
    <w:rsid w:val="009D2DB5"/>
    <w:rsid w:val="009D350F"/>
    <w:rsid w:val="009D40F7"/>
    <w:rsid w:val="009D680A"/>
    <w:rsid w:val="009D78FD"/>
    <w:rsid w:val="009E3D46"/>
    <w:rsid w:val="009E3DA3"/>
    <w:rsid w:val="009E3DD5"/>
    <w:rsid w:val="009E6A18"/>
    <w:rsid w:val="009E7FC9"/>
    <w:rsid w:val="009F0518"/>
    <w:rsid w:val="009F24B7"/>
    <w:rsid w:val="009F3063"/>
    <w:rsid w:val="009F3FD2"/>
    <w:rsid w:val="009F403D"/>
    <w:rsid w:val="009F4410"/>
    <w:rsid w:val="009F4F62"/>
    <w:rsid w:val="009F69ED"/>
    <w:rsid w:val="009F73C5"/>
    <w:rsid w:val="009F7CEC"/>
    <w:rsid w:val="00A0201E"/>
    <w:rsid w:val="00A03FEF"/>
    <w:rsid w:val="00A04A67"/>
    <w:rsid w:val="00A04BDD"/>
    <w:rsid w:val="00A06116"/>
    <w:rsid w:val="00A062DD"/>
    <w:rsid w:val="00A078A7"/>
    <w:rsid w:val="00A079CF"/>
    <w:rsid w:val="00A10B60"/>
    <w:rsid w:val="00A11EC9"/>
    <w:rsid w:val="00A13FDF"/>
    <w:rsid w:val="00A143C4"/>
    <w:rsid w:val="00A147C6"/>
    <w:rsid w:val="00A14D22"/>
    <w:rsid w:val="00A20720"/>
    <w:rsid w:val="00A21FAB"/>
    <w:rsid w:val="00A230A0"/>
    <w:rsid w:val="00A2370F"/>
    <w:rsid w:val="00A23A47"/>
    <w:rsid w:val="00A24560"/>
    <w:rsid w:val="00A24E9C"/>
    <w:rsid w:val="00A25EB8"/>
    <w:rsid w:val="00A279E5"/>
    <w:rsid w:val="00A279F4"/>
    <w:rsid w:val="00A30523"/>
    <w:rsid w:val="00A307D2"/>
    <w:rsid w:val="00A31CF7"/>
    <w:rsid w:val="00A31E56"/>
    <w:rsid w:val="00A32149"/>
    <w:rsid w:val="00A33579"/>
    <w:rsid w:val="00A3386E"/>
    <w:rsid w:val="00A356A4"/>
    <w:rsid w:val="00A36FAF"/>
    <w:rsid w:val="00A401B1"/>
    <w:rsid w:val="00A423B8"/>
    <w:rsid w:val="00A429C7"/>
    <w:rsid w:val="00A50179"/>
    <w:rsid w:val="00A505BA"/>
    <w:rsid w:val="00A50628"/>
    <w:rsid w:val="00A50831"/>
    <w:rsid w:val="00A52FE7"/>
    <w:rsid w:val="00A532FB"/>
    <w:rsid w:val="00A53459"/>
    <w:rsid w:val="00A53827"/>
    <w:rsid w:val="00A54FF5"/>
    <w:rsid w:val="00A56C83"/>
    <w:rsid w:val="00A56F00"/>
    <w:rsid w:val="00A5782E"/>
    <w:rsid w:val="00A606D8"/>
    <w:rsid w:val="00A6138D"/>
    <w:rsid w:val="00A613CA"/>
    <w:rsid w:val="00A619CA"/>
    <w:rsid w:val="00A61A7F"/>
    <w:rsid w:val="00A6302D"/>
    <w:rsid w:val="00A63DDF"/>
    <w:rsid w:val="00A646EC"/>
    <w:rsid w:val="00A6590B"/>
    <w:rsid w:val="00A66BF1"/>
    <w:rsid w:val="00A67C8E"/>
    <w:rsid w:val="00A72B3E"/>
    <w:rsid w:val="00A75966"/>
    <w:rsid w:val="00A763C8"/>
    <w:rsid w:val="00A76407"/>
    <w:rsid w:val="00A7738E"/>
    <w:rsid w:val="00A7759C"/>
    <w:rsid w:val="00A80297"/>
    <w:rsid w:val="00A804D0"/>
    <w:rsid w:val="00A81DBA"/>
    <w:rsid w:val="00A831DC"/>
    <w:rsid w:val="00A8404C"/>
    <w:rsid w:val="00A86062"/>
    <w:rsid w:val="00A8625A"/>
    <w:rsid w:val="00A90682"/>
    <w:rsid w:val="00A9407F"/>
    <w:rsid w:val="00A97D28"/>
    <w:rsid w:val="00AA09C0"/>
    <w:rsid w:val="00AA0CA2"/>
    <w:rsid w:val="00AA1DF4"/>
    <w:rsid w:val="00AA3083"/>
    <w:rsid w:val="00AA361F"/>
    <w:rsid w:val="00AA3EB0"/>
    <w:rsid w:val="00AA4A70"/>
    <w:rsid w:val="00AA4C38"/>
    <w:rsid w:val="00AA4DBA"/>
    <w:rsid w:val="00AA5F89"/>
    <w:rsid w:val="00AA797E"/>
    <w:rsid w:val="00AB057E"/>
    <w:rsid w:val="00AB093E"/>
    <w:rsid w:val="00AB0F92"/>
    <w:rsid w:val="00AB366F"/>
    <w:rsid w:val="00AB38E9"/>
    <w:rsid w:val="00AB3AF7"/>
    <w:rsid w:val="00AB3C19"/>
    <w:rsid w:val="00AB6117"/>
    <w:rsid w:val="00AC000E"/>
    <w:rsid w:val="00AC0812"/>
    <w:rsid w:val="00AC0D5F"/>
    <w:rsid w:val="00AC240C"/>
    <w:rsid w:val="00AC277A"/>
    <w:rsid w:val="00AC324B"/>
    <w:rsid w:val="00AC3ABF"/>
    <w:rsid w:val="00AC3F6C"/>
    <w:rsid w:val="00AC5328"/>
    <w:rsid w:val="00AC6D94"/>
    <w:rsid w:val="00AC71E5"/>
    <w:rsid w:val="00AC7AE0"/>
    <w:rsid w:val="00AC7EBE"/>
    <w:rsid w:val="00AD0449"/>
    <w:rsid w:val="00AD0D52"/>
    <w:rsid w:val="00AD2F40"/>
    <w:rsid w:val="00AD7504"/>
    <w:rsid w:val="00AD7D67"/>
    <w:rsid w:val="00AE06EE"/>
    <w:rsid w:val="00AE09BD"/>
    <w:rsid w:val="00AE1196"/>
    <w:rsid w:val="00AE1318"/>
    <w:rsid w:val="00AE28E7"/>
    <w:rsid w:val="00AE378E"/>
    <w:rsid w:val="00AE3AEC"/>
    <w:rsid w:val="00AE3E6B"/>
    <w:rsid w:val="00AE3F13"/>
    <w:rsid w:val="00AE488C"/>
    <w:rsid w:val="00AE5964"/>
    <w:rsid w:val="00AE5CC6"/>
    <w:rsid w:val="00AE5FDC"/>
    <w:rsid w:val="00AE676D"/>
    <w:rsid w:val="00AF0ADC"/>
    <w:rsid w:val="00AF1222"/>
    <w:rsid w:val="00AF1698"/>
    <w:rsid w:val="00AF2C24"/>
    <w:rsid w:val="00AF4961"/>
    <w:rsid w:val="00AF49A1"/>
    <w:rsid w:val="00AF57C9"/>
    <w:rsid w:val="00AF6357"/>
    <w:rsid w:val="00AF65CC"/>
    <w:rsid w:val="00AF696D"/>
    <w:rsid w:val="00AF6D4B"/>
    <w:rsid w:val="00B0092E"/>
    <w:rsid w:val="00B01F70"/>
    <w:rsid w:val="00B026A9"/>
    <w:rsid w:val="00B02885"/>
    <w:rsid w:val="00B032A3"/>
    <w:rsid w:val="00B04005"/>
    <w:rsid w:val="00B0402C"/>
    <w:rsid w:val="00B042BA"/>
    <w:rsid w:val="00B049B9"/>
    <w:rsid w:val="00B04C35"/>
    <w:rsid w:val="00B06124"/>
    <w:rsid w:val="00B06A8A"/>
    <w:rsid w:val="00B06D56"/>
    <w:rsid w:val="00B074DB"/>
    <w:rsid w:val="00B07E4F"/>
    <w:rsid w:val="00B101D8"/>
    <w:rsid w:val="00B11513"/>
    <w:rsid w:val="00B11594"/>
    <w:rsid w:val="00B13F93"/>
    <w:rsid w:val="00B15D97"/>
    <w:rsid w:val="00B179A2"/>
    <w:rsid w:val="00B17DE6"/>
    <w:rsid w:val="00B21218"/>
    <w:rsid w:val="00B241F3"/>
    <w:rsid w:val="00B24247"/>
    <w:rsid w:val="00B252D8"/>
    <w:rsid w:val="00B25D6A"/>
    <w:rsid w:val="00B27BA2"/>
    <w:rsid w:val="00B3025E"/>
    <w:rsid w:val="00B31B2A"/>
    <w:rsid w:val="00B3272F"/>
    <w:rsid w:val="00B32EA3"/>
    <w:rsid w:val="00B348A2"/>
    <w:rsid w:val="00B34B2E"/>
    <w:rsid w:val="00B351C4"/>
    <w:rsid w:val="00B35AD0"/>
    <w:rsid w:val="00B36F90"/>
    <w:rsid w:val="00B372F6"/>
    <w:rsid w:val="00B41EA9"/>
    <w:rsid w:val="00B42B3C"/>
    <w:rsid w:val="00B43250"/>
    <w:rsid w:val="00B43C1C"/>
    <w:rsid w:val="00B45BD5"/>
    <w:rsid w:val="00B45D14"/>
    <w:rsid w:val="00B46065"/>
    <w:rsid w:val="00B46185"/>
    <w:rsid w:val="00B4652A"/>
    <w:rsid w:val="00B47A5B"/>
    <w:rsid w:val="00B51C67"/>
    <w:rsid w:val="00B5225F"/>
    <w:rsid w:val="00B53BBC"/>
    <w:rsid w:val="00B54925"/>
    <w:rsid w:val="00B5534C"/>
    <w:rsid w:val="00B5677B"/>
    <w:rsid w:val="00B56A77"/>
    <w:rsid w:val="00B575A0"/>
    <w:rsid w:val="00B57623"/>
    <w:rsid w:val="00B57DC6"/>
    <w:rsid w:val="00B601FA"/>
    <w:rsid w:val="00B60C25"/>
    <w:rsid w:val="00B60CE4"/>
    <w:rsid w:val="00B62E22"/>
    <w:rsid w:val="00B644E6"/>
    <w:rsid w:val="00B6520F"/>
    <w:rsid w:val="00B65658"/>
    <w:rsid w:val="00B65836"/>
    <w:rsid w:val="00B65B8B"/>
    <w:rsid w:val="00B663A2"/>
    <w:rsid w:val="00B66438"/>
    <w:rsid w:val="00B66B16"/>
    <w:rsid w:val="00B6763B"/>
    <w:rsid w:val="00B70D23"/>
    <w:rsid w:val="00B710BF"/>
    <w:rsid w:val="00B729AA"/>
    <w:rsid w:val="00B72C68"/>
    <w:rsid w:val="00B738FD"/>
    <w:rsid w:val="00B73FAD"/>
    <w:rsid w:val="00B7565C"/>
    <w:rsid w:val="00B75D1A"/>
    <w:rsid w:val="00B76188"/>
    <w:rsid w:val="00B76499"/>
    <w:rsid w:val="00B76602"/>
    <w:rsid w:val="00B77293"/>
    <w:rsid w:val="00B775FE"/>
    <w:rsid w:val="00B8074E"/>
    <w:rsid w:val="00B80B3C"/>
    <w:rsid w:val="00B80DD8"/>
    <w:rsid w:val="00B82F1B"/>
    <w:rsid w:val="00B834E9"/>
    <w:rsid w:val="00B84231"/>
    <w:rsid w:val="00B846F0"/>
    <w:rsid w:val="00B84926"/>
    <w:rsid w:val="00B90E54"/>
    <w:rsid w:val="00B90F9A"/>
    <w:rsid w:val="00B928B8"/>
    <w:rsid w:val="00B92CC0"/>
    <w:rsid w:val="00B940A8"/>
    <w:rsid w:val="00B942C8"/>
    <w:rsid w:val="00B961B2"/>
    <w:rsid w:val="00B9630D"/>
    <w:rsid w:val="00B964AD"/>
    <w:rsid w:val="00B96E47"/>
    <w:rsid w:val="00B9760E"/>
    <w:rsid w:val="00B97C2A"/>
    <w:rsid w:val="00BA015E"/>
    <w:rsid w:val="00BA1710"/>
    <w:rsid w:val="00BA1944"/>
    <w:rsid w:val="00BA3310"/>
    <w:rsid w:val="00BA399D"/>
    <w:rsid w:val="00BA4A6E"/>
    <w:rsid w:val="00BA4BCD"/>
    <w:rsid w:val="00BA511B"/>
    <w:rsid w:val="00BA6D8C"/>
    <w:rsid w:val="00BA6E83"/>
    <w:rsid w:val="00BA7FE8"/>
    <w:rsid w:val="00BB12FF"/>
    <w:rsid w:val="00BB1C28"/>
    <w:rsid w:val="00BB4150"/>
    <w:rsid w:val="00BB41C1"/>
    <w:rsid w:val="00BB510B"/>
    <w:rsid w:val="00BB5F27"/>
    <w:rsid w:val="00BB6FE0"/>
    <w:rsid w:val="00BB74FF"/>
    <w:rsid w:val="00BC1D10"/>
    <w:rsid w:val="00BC2990"/>
    <w:rsid w:val="00BC3602"/>
    <w:rsid w:val="00BC4503"/>
    <w:rsid w:val="00BC458E"/>
    <w:rsid w:val="00BC50F7"/>
    <w:rsid w:val="00BC5804"/>
    <w:rsid w:val="00BC5D40"/>
    <w:rsid w:val="00BC64BF"/>
    <w:rsid w:val="00BC6D84"/>
    <w:rsid w:val="00BC70E6"/>
    <w:rsid w:val="00BC7D34"/>
    <w:rsid w:val="00BC7D91"/>
    <w:rsid w:val="00BC7E60"/>
    <w:rsid w:val="00BD0514"/>
    <w:rsid w:val="00BD0843"/>
    <w:rsid w:val="00BD19F3"/>
    <w:rsid w:val="00BD37F6"/>
    <w:rsid w:val="00BD3840"/>
    <w:rsid w:val="00BD4784"/>
    <w:rsid w:val="00BD4C69"/>
    <w:rsid w:val="00BE099F"/>
    <w:rsid w:val="00BE4164"/>
    <w:rsid w:val="00BE519F"/>
    <w:rsid w:val="00BE5312"/>
    <w:rsid w:val="00BE6B23"/>
    <w:rsid w:val="00BE7F8E"/>
    <w:rsid w:val="00BF36BC"/>
    <w:rsid w:val="00BF3A3E"/>
    <w:rsid w:val="00BF5443"/>
    <w:rsid w:val="00BF56E3"/>
    <w:rsid w:val="00BF6756"/>
    <w:rsid w:val="00BF7286"/>
    <w:rsid w:val="00C0015C"/>
    <w:rsid w:val="00C01AE3"/>
    <w:rsid w:val="00C01EC3"/>
    <w:rsid w:val="00C03266"/>
    <w:rsid w:val="00C047DC"/>
    <w:rsid w:val="00C06CE9"/>
    <w:rsid w:val="00C06D3A"/>
    <w:rsid w:val="00C14810"/>
    <w:rsid w:val="00C14F11"/>
    <w:rsid w:val="00C15635"/>
    <w:rsid w:val="00C1641C"/>
    <w:rsid w:val="00C16D50"/>
    <w:rsid w:val="00C1701F"/>
    <w:rsid w:val="00C217CF"/>
    <w:rsid w:val="00C223F5"/>
    <w:rsid w:val="00C2483F"/>
    <w:rsid w:val="00C24B49"/>
    <w:rsid w:val="00C24CF3"/>
    <w:rsid w:val="00C2687A"/>
    <w:rsid w:val="00C26EF7"/>
    <w:rsid w:val="00C26FFB"/>
    <w:rsid w:val="00C30561"/>
    <w:rsid w:val="00C3059A"/>
    <w:rsid w:val="00C310E0"/>
    <w:rsid w:val="00C322E1"/>
    <w:rsid w:val="00C32E7D"/>
    <w:rsid w:val="00C33B94"/>
    <w:rsid w:val="00C342DA"/>
    <w:rsid w:val="00C34EF1"/>
    <w:rsid w:val="00C351C2"/>
    <w:rsid w:val="00C35421"/>
    <w:rsid w:val="00C36FD5"/>
    <w:rsid w:val="00C40361"/>
    <w:rsid w:val="00C40C55"/>
    <w:rsid w:val="00C40F7D"/>
    <w:rsid w:val="00C43511"/>
    <w:rsid w:val="00C44130"/>
    <w:rsid w:val="00C45E41"/>
    <w:rsid w:val="00C463AE"/>
    <w:rsid w:val="00C507DF"/>
    <w:rsid w:val="00C5147C"/>
    <w:rsid w:val="00C53C24"/>
    <w:rsid w:val="00C54BD4"/>
    <w:rsid w:val="00C563C2"/>
    <w:rsid w:val="00C56ED7"/>
    <w:rsid w:val="00C57011"/>
    <w:rsid w:val="00C6069B"/>
    <w:rsid w:val="00C617D3"/>
    <w:rsid w:val="00C61E1E"/>
    <w:rsid w:val="00C61F3B"/>
    <w:rsid w:val="00C63788"/>
    <w:rsid w:val="00C64A86"/>
    <w:rsid w:val="00C65A81"/>
    <w:rsid w:val="00C669B7"/>
    <w:rsid w:val="00C6711A"/>
    <w:rsid w:val="00C70AE0"/>
    <w:rsid w:val="00C74ADA"/>
    <w:rsid w:val="00C75CDC"/>
    <w:rsid w:val="00C77AD1"/>
    <w:rsid w:val="00C77AF6"/>
    <w:rsid w:val="00C77C80"/>
    <w:rsid w:val="00C77D2A"/>
    <w:rsid w:val="00C80A4B"/>
    <w:rsid w:val="00C8480A"/>
    <w:rsid w:val="00C84A2E"/>
    <w:rsid w:val="00C84A52"/>
    <w:rsid w:val="00C856CE"/>
    <w:rsid w:val="00C85BB3"/>
    <w:rsid w:val="00C86602"/>
    <w:rsid w:val="00C90EBA"/>
    <w:rsid w:val="00C91A23"/>
    <w:rsid w:val="00C93446"/>
    <w:rsid w:val="00C941F3"/>
    <w:rsid w:val="00C943D0"/>
    <w:rsid w:val="00C944A6"/>
    <w:rsid w:val="00C94D2C"/>
    <w:rsid w:val="00C94D43"/>
    <w:rsid w:val="00C97149"/>
    <w:rsid w:val="00C97B42"/>
    <w:rsid w:val="00CA0020"/>
    <w:rsid w:val="00CA1EBA"/>
    <w:rsid w:val="00CA2AC8"/>
    <w:rsid w:val="00CA40A4"/>
    <w:rsid w:val="00CA484E"/>
    <w:rsid w:val="00CA4F15"/>
    <w:rsid w:val="00CA5AFC"/>
    <w:rsid w:val="00CA70C2"/>
    <w:rsid w:val="00CA75EC"/>
    <w:rsid w:val="00CA763F"/>
    <w:rsid w:val="00CB11D8"/>
    <w:rsid w:val="00CB12C9"/>
    <w:rsid w:val="00CB21C7"/>
    <w:rsid w:val="00CB3486"/>
    <w:rsid w:val="00CB4688"/>
    <w:rsid w:val="00CB4A4E"/>
    <w:rsid w:val="00CB6419"/>
    <w:rsid w:val="00CB6597"/>
    <w:rsid w:val="00CB7786"/>
    <w:rsid w:val="00CC052D"/>
    <w:rsid w:val="00CC0C54"/>
    <w:rsid w:val="00CC1368"/>
    <w:rsid w:val="00CC3BDB"/>
    <w:rsid w:val="00CC3F08"/>
    <w:rsid w:val="00CC5F0C"/>
    <w:rsid w:val="00CC6A55"/>
    <w:rsid w:val="00CC6E3F"/>
    <w:rsid w:val="00CC7166"/>
    <w:rsid w:val="00CD0FC6"/>
    <w:rsid w:val="00CD1D24"/>
    <w:rsid w:val="00CD2533"/>
    <w:rsid w:val="00CD27B7"/>
    <w:rsid w:val="00CD27CF"/>
    <w:rsid w:val="00CD2A44"/>
    <w:rsid w:val="00CD302B"/>
    <w:rsid w:val="00CD4BD5"/>
    <w:rsid w:val="00CD64AF"/>
    <w:rsid w:val="00CD689C"/>
    <w:rsid w:val="00CD6949"/>
    <w:rsid w:val="00CD6A6E"/>
    <w:rsid w:val="00CD7154"/>
    <w:rsid w:val="00CE02B0"/>
    <w:rsid w:val="00CE09FA"/>
    <w:rsid w:val="00CE16A1"/>
    <w:rsid w:val="00CE1EBD"/>
    <w:rsid w:val="00CE203D"/>
    <w:rsid w:val="00CE3414"/>
    <w:rsid w:val="00CE38E1"/>
    <w:rsid w:val="00CE4808"/>
    <w:rsid w:val="00CE4A37"/>
    <w:rsid w:val="00CE564B"/>
    <w:rsid w:val="00CE5E68"/>
    <w:rsid w:val="00CE6460"/>
    <w:rsid w:val="00CE7330"/>
    <w:rsid w:val="00CE7874"/>
    <w:rsid w:val="00CE7CBF"/>
    <w:rsid w:val="00CF0DD9"/>
    <w:rsid w:val="00CF258E"/>
    <w:rsid w:val="00CF30BA"/>
    <w:rsid w:val="00CF35AF"/>
    <w:rsid w:val="00CF398F"/>
    <w:rsid w:val="00CF6C79"/>
    <w:rsid w:val="00CF7D6E"/>
    <w:rsid w:val="00D001FD"/>
    <w:rsid w:val="00D004C7"/>
    <w:rsid w:val="00D00B1E"/>
    <w:rsid w:val="00D02BCB"/>
    <w:rsid w:val="00D04003"/>
    <w:rsid w:val="00D04A09"/>
    <w:rsid w:val="00D04A29"/>
    <w:rsid w:val="00D052DA"/>
    <w:rsid w:val="00D069CD"/>
    <w:rsid w:val="00D11683"/>
    <w:rsid w:val="00D132FA"/>
    <w:rsid w:val="00D13915"/>
    <w:rsid w:val="00D13D10"/>
    <w:rsid w:val="00D15270"/>
    <w:rsid w:val="00D156BA"/>
    <w:rsid w:val="00D15A21"/>
    <w:rsid w:val="00D15C54"/>
    <w:rsid w:val="00D179DF"/>
    <w:rsid w:val="00D20668"/>
    <w:rsid w:val="00D20CFE"/>
    <w:rsid w:val="00D210DB"/>
    <w:rsid w:val="00D2159A"/>
    <w:rsid w:val="00D218C4"/>
    <w:rsid w:val="00D21DF8"/>
    <w:rsid w:val="00D21E97"/>
    <w:rsid w:val="00D230BC"/>
    <w:rsid w:val="00D23E4E"/>
    <w:rsid w:val="00D247F2"/>
    <w:rsid w:val="00D25725"/>
    <w:rsid w:val="00D259A0"/>
    <w:rsid w:val="00D260EE"/>
    <w:rsid w:val="00D26585"/>
    <w:rsid w:val="00D2659F"/>
    <w:rsid w:val="00D26880"/>
    <w:rsid w:val="00D305B1"/>
    <w:rsid w:val="00D308F7"/>
    <w:rsid w:val="00D30B55"/>
    <w:rsid w:val="00D30E10"/>
    <w:rsid w:val="00D31ADD"/>
    <w:rsid w:val="00D32C6E"/>
    <w:rsid w:val="00D32DF7"/>
    <w:rsid w:val="00D32F66"/>
    <w:rsid w:val="00D34821"/>
    <w:rsid w:val="00D34B4C"/>
    <w:rsid w:val="00D35E65"/>
    <w:rsid w:val="00D36846"/>
    <w:rsid w:val="00D36A23"/>
    <w:rsid w:val="00D3717B"/>
    <w:rsid w:val="00D372A6"/>
    <w:rsid w:val="00D37393"/>
    <w:rsid w:val="00D40182"/>
    <w:rsid w:val="00D40B4F"/>
    <w:rsid w:val="00D429CC"/>
    <w:rsid w:val="00D4326A"/>
    <w:rsid w:val="00D477DB"/>
    <w:rsid w:val="00D478D5"/>
    <w:rsid w:val="00D503EE"/>
    <w:rsid w:val="00D5114B"/>
    <w:rsid w:val="00D516C1"/>
    <w:rsid w:val="00D5312E"/>
    <w:rsid w:val="00D544E8"/>
    <w:rsid w:val="00D54D26"/>
    <w:rsid w:val="00D54D3A"/>
    <w:rsid w:val="00D552E6"/>
    <w:rsid w:val="00D55516"/>
    <w:rsid w:val="00D5557F"/>
    <w:rsid w:val="00D57349"/>
    <w:rsid w:val="00D57A37"/>
    <w:rsid w:val="00D614D8"/>
    <w:rsid w:val="00D62A52"/>
    <w:rsid w:val="00D6486C"/>
    <w:rsid w:val="00D64AB5"/>
    <w:rsid w:val="00D64EE7"/>
    <w:rsid w:val="00D652B8"/>
    <w:rsid w:val="00D66631"/>
    <w:rsid w:val="00D673D5"/>
    <w:rsid w:val="00D67B3A"/>
    <w:rsid w:val="00D7062B"/>
    <w:rsid w:val="00D71043"/>
    <w:rsid w:val="00D7161C"/>
    <w:rsid w:val="00D723DB"/>
    <w:rsid w:val="00D73C6C"/>
    <w:rsid w:val="00D73DB6"/>
    <w:rsid w:val="00D750E2"/>
    <w:rsid w:val="00D75C0D"/>
    <w:rsid w:val="00D76634"/>
    <w:rsid w:val="00D76D1E"/>
    <w:rsid w:val="00D77D6C"/>
    <w:rsid w:val="00D80669"/>
    <w:rsid w:val="00D81217"/>
    <w:rsid w:val="00D8320A"/>
    <w:rsid w:val="00D83FC0"/>
    <w:rsid w:val="00D85AB3"/>
    <w:rsid w:val="00D872AE"/>
    <w:rsid w:val="00D90462"/>
    <w:rsid w:val="00D91A2B"/>
    <w:rsid w:val="00D92CBE"/>
    <w:rsid w:val="00D9368C"/>
    <w:rsid w:val="00D94540"/>
    <w:rsid w:val="00D95D3D"/>
    <w:rsid w:val="00D97901"/>
    <w:rsid w:val="00DA03C0"/>
    <w:rsid w:val="00DA15BF"/>
    <w:rsid w:val="00DA1733"/>
    <w:rsid w:val="00DA190B"/>
    <w:rsid w:val="00DA1CE1"/>
    <w:rsid w:val="00DA212B"/>
    <w:rsid w:val="00DA275F"/>
    <w:rsid w:val="00DA36AA"/>
    <w:rsid w:val="00DA3CB6"/>
    <w:rsid w:val="00DA5D55"/>
    <w:rsid w:val="00DA5DF6"/>
    <w:rsid w:val="00DA62EE"/>
    <w:rsid w:val="00DA706C"/>
    <w:rsid w:val="00DB17BD"/>
    <w:rsid w:val="00DB314A"/>
    <w:rsid w:val="00DB34E7"/>
    <w:rsid w:val="00DB4786"/>
    <w:rsid w:val="00DB543A"/>
    <w:rsid w:val="00DB583A"/>
    <w:rsid w:val="00DB7125"/>
    <w:rsid w:val="00DB7ED7"/>
    <w:rsid w:val="00DC1B47"/>
    <w:rsid w:val="00DC206F"/>
    <w:rsid w:val="00DC20DA"/>
    <w:rsid w:val="00DC4C26"/>
    <w:rsid w:val="00DC680B"/>
    <w:rsid w:val="00DC6C28"/>
    <w:rsid w:val="00DC6F78"/>
    <w:rsid w:val="00DC720C"/>
    <w:rsid w:val="00DC77EF"/>
    <w:rsid w:val="00DD0324"/>
    <w:rsid w:val="00DD0366"/>
    <w:rsid w:val="00DD1B63"/>
    <w:rsid w:val="00DD41F1"/>
    <w:rsid w:val="00DD7FD6"/>
    <w:rsid w:val="00DE0C9D"/>
    <w:rsid w:val="00DE1180"/>
    <w:rsid w:val="00DE24A9"/>
    <w:rsid w:val="00DE3A02"/>
    <w:rsid w:val="00DE47F8"/>
    <w:rsid w:val="00DE63C3"/>
    <w:rsid w:val="00DE7A85"/>
    <w:rsid w:val="00DF488F"/>
    <w:rsid w:val="00DF599E"/>
    <w:rsid w:val="00DF66C3"/>
    <w:rsid w:val="00E02CBD"/>
    <w:rsid w:val="00E02DC6"/>
    <w:rsid w:val="00E02FAD"/>
    <w:rsid w:val="00E03265"/>
    <w:rsid w:val="00E03EC9"/>
    <w:rsid w:val="00E05877"/>
    <w:rsid w:val="00E06B5F"/>
    <w:rsid w:val="00E070DF"/>
    <w:rsid w:val="00E10F71"/>
    <w:rsid w:val="00E11788"/>
    <w:rsid w:val="00E14BC3"/>
    <w:rsid w:val="00E14FC0"/>
    <w:rsid w:val="00E23715"/>
    <w:rsid w:val="00E238BB"/>
    <w:rsid w:val="00E24821"/>
    <w:rsid w:val="00E255EB"/>
    <w:rsid w:val="00E27A8B"/>
    <w:rsid w:val="00E27B7C"/>
    <w:rsid w:val="00E27FCE"/>
    <w:rsid w:val="00E30138"/>
    <w:rsid w:val="00E30408"/>
    <w:rsid w:val="00E30D5E"/>
    <w:rsid w:val="00E31168"/>
    <w:rsid w:val="00E31328"/>
    <w:rsid w:val="00E31C64"/>
    <w:rsid w:val="00E324C0"/>
    <w:rsid w:val="00E32BD8"/>
    <w:rsid w:val="00E33C1E"/>
    <w:rsid w:val="00E34C40"/>
    <w:rsid w:val="00E34E80"/>
    <w:rsid w:val="00E369E3"/>
    <w:rsid w:val="00E37BCD"/>
    <w:rsid w:val="00E41D62"/>
    <w:rsid w:val="00E42225"/>
    <w:rsid w:val="00E42911"/>
    <w:rsid w:val="00E43FF9"/>
    <w:rsid w:val="00E4420F"/>
    <w:rsid w:val="00E467CA"/>
    <w:rsid w:val="00E474B5"/>
    <w:rsid w:val="00E50DCE"/>
    <w:rsid w:val="00E51609"/>
    <w:rsid w:val="00E5239E"/>
    <w:rsid w:val="00E5313C"/>
    <w:rsid w:val="00E53BED"/>
    <w:rsid w:val="00E546BB"/>
    <w:rsid w:val="00E55D1D"/>
    <w:rsid w:val="00E5650D"/>
    <w:rsid w:val="00E616F2"/>
    <w:rsid w:val="00E64CDF"/>
    <w:rsid w:val="00E65140"/>
    <w:rsid w:val="00E669FD"/>
    <w:rsid w:val="00E66E3B"/>
    <w:rsid w:val="00E67EC8"/>
    <w:rsid w:val="00E70952"/>
    <w:rsid w:val="00E71A6F"/>
    <w:rsid w:val="00E71C10"/>
    <w:rsid w:val="00E728F5"/>
    <w:rsid w:val="00E72FD7"/>
    <w:rsid w:val="00E7547E"/>
    <w:rsid w:val="00E75CBB"/>
    <w:rsid w:val="00E76392"/>
    <w:rsid w:val="00E77ED7"/>
    <w:rsid w:val="00E84520"/>
    <w:rsid w:val="00E84EB2"/>
    <w:rsid w:val="00E85A41"/>
    <w:rsid w:val="00E85DBC"/>
    <w:rsid w:val="00E86B81"/>
    <w:rsid w:val="00E87025"/>
    <w:rsid w:val="00E90405"/>
    <w:rsid w:val="00E91FAF"/>
    <w:rsid w:val="00E92560"/>
    <w:rsid w:val="00E932F0"/>
    <w:rsid w:val="00E9575D"/>
    <w:rsid w:val="00E963A9"/>
    <w:rsid w:val="00E96F7A"/>
    <w:rsid w:val="00EA0881"/>
    <w:rsid w:val="00EA0B15"/>
    <w:rsid w:val="00EA1A77"/>
    <w:rsid w:val="00EA2428"/>
    <w:rsid w:val="00EA2FC8"/>
    <w:rsid w:val="00EA5162"/>
    <w:rsid w:val="00EA6B20"/>
    <w:rsid w:val="00EA7097"/>
    <w:rsid w:val="00EA7976"/>
    <w:rsid w:val="00EB0DDA"/>
    <w:rsid w:val="00EB14BA"/>
    <w:rsid w:val="00EB1DFE"/>
    <w:rsid w:val="00EB4F08"/>
    <w:rsid w:val="00EC141E"/>
    <w:rsid w:val="00EC1880"/>
    <w:rsid w:val="00EC4B5A"/>
    <w:rsid w:val="00EC4BB9"/>
    <w:rsid w:val="00EC4D45"/>
    <w:rsid w:val="00EC4EA8"/>
    <w:rsid w:val="00ED5DE4"/>
    <w:rsid w:val="00ED6193"/>
    <w:rsid w:val="00EE0090"/>
    <w:rsid w:val="00EE05DB"/>
    <w:rsid w:val="00EE12F3"/>
    <w:rsid w:val="00EE1866"/>
    <w:rsid w:val="00EE1B42"/>
    <w:rsid w:val="00EE1D75"/>
    <w:rsid w:val="00EE202B"/>
    <w:rsid w:val="00EE2135"/>
    <w:rsid w:val="00EE2813"/>
    <w:rsid w:val="00EE3D48"/>
    <w:rsid w:val="00EE583B"/>
    <w:rsid w:val="00EE6DC4"/>
    <w:rsid w:val="00EE7840"/>
    <w:rsid w:val="00EF06DF"/>
    <w:rsid w:val="00EF13B6"/>
    <w:rsid w:val="00EF4F11"/>
    <w:rsid w:val="00EF62CE"/>
    <w:rsid w:val="00EF666D"/>
    <w:rsid w:val="00EF78B7"/>
    <w:rsid w:val="00F01AF0"/>
    <w:rsid w:val="00F020DE"/>
    <w:rsid w:val="00F042A2"/>
    <w:rsid w:val="00F071E0"/>
    <w:rsid w:val="00F105DB"/>
    <w:rsid w:val="00F10A79"/>
    <w:rsid w:val="00F12561"/>
    <w:rsid w:val="00F12803"/>
    <w:rsid w:val="00F128C3"/>
    <w:rsid w:val="00F12DC2"/>
    <w:rsid w:val="00F1389E"/>
    <w:rsid w:val="00F151DC"/>
    <w:rsid w:val="00F154E5"/>
    <w:rsid w:val="00F15DF5"/>
    <w:rsid w:val="00F15FC4"/>
    <w:rsid w:val="00F17C7C"/>
    <w:rsid w:val="00F201FB"/>
    <w:rsid w:val="00F202CC"/>
    <w:rsid w:val="00F20435"/>
    <w:rsid w:val="00F206D0"/>
    <w:rsid w:val="00F21897"/>
    <w:rsid w:val="00F22810"/>
    <w:rsid w:val="00F22E5D"/>
    <w:rsid w:val="00F2437B"/>
    <w:rsid w:val="00F27A26"/>
    <w:rsid w:val="00F27DF4"/>
    <w:rsid w:val="00F322CC"/>
    <w:rsid w:val="00F32D1E"/>
    <w:rsid w:val="00F35F68"/>
    <w:rsid w:val="00F3643A"/>
    <w:rsid w:val="00F37534"/>
    <w:rsid w:val="00F37A75"/>
    <w:rsid w:val="00F40E4C"/>
    <w:rsid w:val="00F42F2E"/>
    <w:rsid w:val="00F43BE5"/>
    <w:rsid w:val="00F453D8"/>
    <w:rsid w:val="00F4551C"/>
    <w:rsid w:val="00F463F0"/>
    <w:rsid w:val="00F46F88"/>
    <w:rsid w:val="00F46FD7"/>
    <w:rsid w:val="00F474FE"/>
    <w:rsid w:val="00F47A0E"/>
    <w:rsid w:val="00F53A6D"/>
    <w:rsid w:val="00F53D71"/>
    <w:rsid w:val="00F54115"/>
    <w:rsid w:val="00F549B7"/>
    <w:rsid w:val="00F55533"/>
    <w:rsid w:val="00F56067"/>
    <w:rsid w:val="00F56B9E"/>
    <w:rsid w:val="00F572D3"/>
    <w:rsid w:val="00F60E87"/>
    <w:rsid w:val="00F61773"/>
    <w:rsid w:val="00F61890"/>
    <w:rsid w:val="00F64BC1"/>
    <w:rsid w:val="00F650B9"/>
    <w:rsid w:val="00F6714A"/>
    <w:rsid w:val="00F67E74"/>
    <w:rsid w:val="00F7011F"/>
    <w:rsid w:val="00F71391"/>
    <w:rsid w:val="00F7185D"/>
    <w:rsid w:val="00F7226A"/>
    <w:rsid w:val="00F724F8"/>
    <w:rsid w:val="00F72972"/>
    <w:rsid w:val="00F8040D"/>
    <w:rsid w:val="00F80500"/>
    <w:rsid w:val="00F82CF8"/>
    <w:rsid w:val="00F908C0"/>
    <w:rsid w:val="00F90E8E"/>
    <w:rsid w:val="00F945D9"/>
    <w:rsid w:val="00F95027"/>
    <w:rsid w:val="00F95581"/>
    <w:rsid w:val="00F95A78"/>
    <w:rsid w:val="00F961AC"/>
    <w:rsid w:val="00F9721D"/>
    <w:rsid w:val="00F97927"/>
    <w:rsid w:val="00FA0B8F"/>
    <w:rsid w:val="00FA117E"/>
    <w:rsid w:val="00FA25D8"/>
    <w:rsid w:val="00FA2C13"/>
    <w:rsid w:val="00FA43C3"/>
    <w:rsid w:val="00FA5546"/>
    <w:rsid w:val="00FB1D31"/>
    <w:rsid w:val="00FB4E77"/>
    <w:rsid w:val="00FB5809"/>
    <w:rsid w:val="00FB583B"/>
    <w:rsid w:val="00FC15A1"/>
    <w:rsid w:val="00FC2735"/>
    <w:rsid w:val="00FC2E56"/>
    <w:rsid w:val="00FC3366"/>
    <w:rsid w:val="00FC3E49"/>
    <w:rsid w:val="00FC40E8"/>
    <w:rsid w:val="00FC41CB"/>
    <w:rsid w:val="00FC5079"/>
    <w:rsid w:val="00FC7FCB"/>
    <w:rsid w:val="00FD03AA"/>
    <w:rsid w:val="00FD09F1"/>
    <w:rsid w:val="00FD0F99"/>
    <w:rsid w:val="00FD7A5B"/>
    <w:rsid w:val="00FE0005"/>
    <w:rsid w:val="00FE023C"/>
    <w:rsid w:val="00FE0773"/>
    <w:rsid w:val="00FE0B77"/>
    <w:rsid w:val="00FE0D24"/>
    <w:rsid w:val="00FE22FD"/>
    <w:rsid w:val="00FE3378"/>
    <w:rsid w:val="00FE45FE"/>
    <w:rsid w:val="00FE4727"/>
    <w:rsid w:val="00FE4FC4"/>
    <w:rsid w:val="00FE67ED"/>
    <w:rsid w:val="00FE74E5"/>
    <w:rsid w:val="00FF05CD"/>
    <w:rsid w:val="00FF1EEB"/>
    <w:rsid w:val="00FF1EF2"/>
    <w:rsid w:val="00FF53B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semiHidden/>
    <w:unhideWhenUsed/>
    <w:rsid w:val="00AB093E"/>
    <w:pPr>
      <w:spacing w:before="100" w:beforeAutospacing="1" w:after="100" w:afterAutospacing="1"/>
    </w:pPr>
    <w:rPr>
      <w:rFonts w:ascii="Times New Roman" w:eastAsia="Times New Roman" w:hAnsi="Times New Roman" w:cs="Times New Roman"/>
      <w:sz w:val="24"/>
      <w:szCs w:val="24"/>
      <w:lang w:val="en-ZW" w:eastAsia="en-ZW"/>
    </w:rPr>
  </w:style>
  <w:style w:type="character" w:customStyle="1" w:styleId="apple-tab-span">
    <w:name w:val="apple-tab-span"/>
    <w:basedOn w:val="DefaultParagraphFont"/>
    <w:rsid w:val="00AB093E"/>
  </w:style>
  <w:style w:type="paragraph" w:styleId="BalloonText">
    <w:name w:val="Balloon Text"/>
    <w:basedOn w:val="Normal"/>
    <w:link w:val="BalloonTextChar"/>
    <w:uiPriority w:val="99"/>
    <w:semiHidden/>
    <w:unhideWhenUsed/>
    <w:rsid w:val="00DA5D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08394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8</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JSC</cp:lastModifiedBy>
  <cp:revision>2</cp:revision>
  <cp:lastPrinted>2021-03-09T13:02:00Z</cp:lastPrinted>
  <dcterms:created xsi:type="dcterms:W3CDTF">2021-03-15T13:09:00Z</dcterms:created>
  <dcterms:modified xsi:type="dcterms:W3CDTF">2021-03-15T13:09:00Z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