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41" w:rsidRPr="00DF07BD" w:rsidRDefault="002B5641" w:rsidP="000D4226">
      <w:pPr>
        <w:spacing w:line="360" w:lineRule="auto"/>
        <w:jc w:val="both"/>
        <w:rPr>
          <w:rFonts w:ascii="Trebuchet MS" w:hAnsi="Trebuchet MS"/>
          <w:b/>
          <w:sz w:val="24"/>
          <w:szCs w:val="24"/>
        </w:rPr>
      </w:pPr>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t>JUDGMENT LC/H/</w:t>
      </w:r>
      <w:r>
        <w:rPr>
          <w:rFonts w:ascii="Trebuchet MS" w:hAnsi="Trebuchet MS"/>
          <w:b/>
          <w:sz w:val="24"/>
          <w:szCs w:val="24"/>
        </w:rPr>
        <w:t>90</w:t>
      </w:r>
      <w:r w:rsidRPr="00DF07BD">
        <w:rPr>
          <w:rFonts w:ascii="Trebuchet MS" w:hAnsi="Trebuchet MS"/>
          <w:b/>
          <w:sz w:val="24"/>
          <w:szCs w:val="24"/>
        </w:rPr>
        <w:t>/13</w:t>
      </w:r>
    </w:p>
    <w:p w:rsidR="002B5641" w:rsidRPr="00DF07BD" w:rsidRDefault="002B5641" w:rsidP="000D4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proofErr w:type="gramStart"/>
      <w:r w:rsidRPr="00DF07BD">
        <w:rPr>
          <w:rFonts w:ascii="Trebuchet MS" w:hAnsi="Trebuchet MS"/>
          <w:b/>
          <w:sz w:val="24"/>
          <w:szCs w:val="24"/>
        </w:rPr>
        <w:t xml:space="preserve">HELD AT HARARE ON </w:t>
      </w:r>
      <w:r>
        <w:rPr>
          <w:rFonts w:ascii="Trebuchet MS" w:hAnsi="Trebuchet MS"/>
          <w:b/>
          <w:sz w:val="24"/>
          <w:szCs w:val="24"/>
        </w:rPr>
        <w:t>2</w:t>
      </w:r>
      <w:r w:rsidRPr="00DF07BD">
        <w:rPr>
          <w:rFonts w:ascii="Trebuchet MS" w:hAnsi="Trebuchet MS"/>
          <w:b/>
          <w:sz w:val="24"/>
          <w:szCs w:val="24"/>
        </w:rPr>
        <w:t xml:space="preserve">7 </w:t>
      </w:r>
      <w:r>
        <w:rPr>
          <w:rFonts w:ascii="Trebuchet MS" w:hAnsi="Trebuchet MS"/>
          <w:b/>
          <w:sz w:val="24"/>
          <w:szCs w:val="24"/>
        </w:rPr>
        <w:t>FEBRUARY 2013</w:t>
      </w:r>
      <w:r>
        <w:rPr>
          <w:rFonts w:ascii="Trebuchet MS" w:hAnsi="Trebuchet MS"/>
          <w:b/>
          <w:sz w:val="24"/>
          <w:szCs w:val="24"/>
        </w:rPr>
        <w:tab/>
      </w:r>
      <w:r w:rsidRPr="00DF07BD">
        <w:rPr>
          <w:rFonts w:ascii="Trebuchet MS" w:hAnsi="Trebuchet MS"/>
          <w:b/>
          <w:sz w:val="24"/>
          <w:szCs w:val="24"/>
        </w:rPr>
        <w:t>CASE NO.</w:t>
      </w:r>
      <w:proofErr w:type="gramEnd"/>
      <w:r w:rsidRPr="00DF07BD">
        <w:rPr>
          <w:rFonts w:ascii="Trebuchet MS" w:hAnsi="Trebuchet MS"/>
          <w:b/>
          <w:sz w:val="24"/>
          <w:szCs w:val="24"/>
        </w:rPr>
        <w:t xml:space="preserve"> LC/H/</w:t>
      </w:r>
      <w:r>
        <w:rPr>
          <w:rFonts w:ascii="Trebuchet MS" w:hAnsi="Trebuchet MS"/>
          <w:b/>
          <w:sz w:val="24"/>
          <w:szCs w:val="24"/>
        </w:rPr>
        <w:t>REV/138</w:t>
      </w:r>
      <w:r w:rsidRPr="00DF07BD">
        <w:rPr>
          <w:rFonts w:ascii="Trebuchet MS" w:hAnsi="Trebuchet MS"/>
          <w:b/>
          <w:sz w:val="24"/>
          <w:szCs w:val="24"/>
        </w:rPr>
        <w:t>/11</w:t>
      </w:r>
      <w:r w:rsidRPr="00DF07BD">
        <w:rPr>
          <w:rFonts w:ascii="Trebuchet MS" w:hAnsi="Trebuchet MS"/>
          <w:b/>
          <w:sz w:val="24"/>
          <w:szCs w:val="24"/>
        </w:rPr>
        <w:tab/>
      </w:r>
    </w:p>
    <w:p w:rsidR="002B5641" w:rsidRPr="00DF07BD" w:rsidRDefault="002B5641" w:rsidP="000D4226">
      <w:pPr>
        <w:spacing w:line="360" w:lineRule="auto"/>
        <w:jc w:val="both"/>
        <w:rPr>
          <w:rFonts w:ascii="Trebuchet MS" w:hAnsi="Trebuchet MS"/>
          <w:sz w:val="24"/>
          <w:szCs w:val="24"/>
        </w:rPr>
      </w:pPr>
      <w:r w:rsidRPr="00DF07BD">
        <w:rPr>
          <w:rFonts w:ascii="Trebuchet MS" w:hAnsi="Trebuchet MS"/>
          <w:sz w:val="24"/>
          <w:szCs w:val="24"/>
        </w:rPr>
        <w:t>In the matter between:</w:t>
      </w:r>
    </w:p>
    <w:p w:rsidR="002B5641" w:rsidRPr="00DF07BD" w:rsidRDefault="002B5641" w:rsidP="000D4226">
      <w:pPr>
        <w:spacing w:line="360" w:lineRule="auto"/>
        <w:jc w:val="both"/>
        <w:rPr>
          <w:rFonts w:ascii="Trebuchet MS" w:hAnsi="Trebuchet MS"/>
          <w:b/>
          <w:sz w:val="24"/>
          <w:szCs w:val="24"/>
        </w:rPr>
      </w:pPr>
      <w:r>
        <w:rPr>
          <w:rFonts w:ascii="Trebuchet MS" w:hAnsi="Trebuchet MS"/>
          <w:b/>
          <w:sz w:val="24"/>
          <w:szCs w:val="24"/>
        </w:rPr>
        <w:t>MASHOKO MABGAHAZARA</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00DE2BFF">
        <w:rPr>
          <w:rFonts w:ascii="Trebuchet MS" w:hAnsi="Trebuchet MS"/>
          <w:b/>
          <w:sz w:val="24"/>
          <w:szCs w:val="24"/>
        </w:rPr>
        <w:t>Applicant</w:t>
      </w:r>
    </w:p>
    <w:p w:rsidR="002B5641" w:rsidRPr="00DF07BD" w:rsidRDefault="002B5641" w:rsidP="000D4226">
      <w:pPr>
        <w:spacing w:line="360" w:lineRule="auto"/>
        <w:jc w:val="both"/>
        <w:rPr>
          <w:rFonts w:ascii="Trebuchet MS" w:hAnsi="Trebuchet MS"/>
          <w:sz w:val="24"/>
          <w:szCs w:val="24"/>
        </w:rPr>
      </w:pPr>
      <w:r w:rsidRPr="00DF07BD">
        <w:rPr>
          <w:rFonts w:ascii="Trebuchet MS" w:hAnsi="Trebuchet MS"/>
          <w:sz w:val="24"/>
          <w:szCs w:val="24"/>
        </w:rPr>
        <w:t>And</w:t>
      </w:r>
    </w:p>
    <w:p w:rsidR="002B5641" w:rsidRPr="00DF07BD" w:rsidRDefault="002B5641" w:rsidP="000D4226">
      <w:pPr>
        <w:spacing w:line="360" w:lineRule="auto"/>
        <w:jc w:val="both"/>
        <w:rPr>
          <w:rFonts w:ascii="Trebuchet MS" w:hAnsi="Trebuchet MS"/>
          <w:b/>
          <w:sz w:val="24"/>
          <w:szCs w:val="24"/>
        </w:rPr>
      </w:pPr>
      <w:r>
        <w:rPr>
          <w:rFonts w:ascii="Trebuchet MS" w:hAnsi="Trebuchet MS"/>
          <w:b/>
          <w:sz w:val="24"/>
          <w:szCs w:val="24"/>
        </w:rPr>
        <w:t>THE COTTON COMPANY OF ZIMBABWE LIMITED</w:t>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Respondent</w:t>
      </w:r>
    </w:p>
    <w:p w:rsidR="002B5641" w:rsidRPr="00DF07BD" w:rsidRDefault="002B5641" w:rsidP="000D4226">
      <w:pPr>
        <w:spacing w:line="360" w:lineRule="auto"/>
        <w:jc w:val="both"/>
        <w:rPr>
          <w:rFonts w:ascii="Trebuchet MS" w:hAnsi="Trebuchet MS"/>
          <w:b/>
          <w:sz w:val="24"/>
          <w:szCs w:val="24"/>
        </w:rPr>
      </w:pPr>
    </w:p>
    <w:p w:rsidR="002B5641" w:rsidRPr="00DF07BD" w:rsidRDefault="002B5641" w:rsidP="000D4226">
      <w:pPr>
        <w:spacing w:line="360" w:lineRule="auto"/>
        <w:jc w:val="both"/>
        <w:rPr>
          <w:rFonts w:ascii="Trebuchet MS" w:hAnsi="Trebuchet MS"/>
          <w:sz w:val="24"/>
          <w:szCs w:val="24"/>
        </w:rPr>
      </w:pPr>
      <w:r w:rsidRPr="00DF07BD">
        <w:rPr>
          <w:rFonts w:ascii="Trebuchet MS" w:hAnsi="Trebuchet MS"/>
          <w:sz w:val="24"/>
          <w:szCs w:val="24"/>
        </w:rPr>
        <w:t xml:space="preserve">Before the </w:t>
      </w:r>
      <w:proofErr w:type="spellStart"/>
      <w:r w:rsidRPr="00DF07BD">
        <w:rPr>
          <w:rFonts w:ascii="Trebuchet MS" w:hAnsi="Trebuchet MS"/>
          <w:sz w:val="24"/>
          <w:szCs w:val="24"/>
        </w:rPr>
        <w:t>Honourable</w:t>
      </w:r>
      <w:proofErr w:type="spellEnd"/>
      <w:r w:rsidRPr="00DF07BD">
        <w:rPr>
          <w:rFonts w:ascii="Trebuchet MS" w:hAnsi="Trebuchet MS"/>
          <w:sz w:val="24"/>
          <w:szCs w:val="24"/>
        </w:rPr>
        <w:t xml:space="preserve"> President, E.F. </w:t>
      </w:r>
      <w:proofErr w:type="spellStart"/>
      <w:r w:rsidRPr="00DF07BD">
        <w:rPr>
          <w:rFonts w:ascii="Trebuchet MS" w:hAnsi="Trebuchet MS"/>
          <w:sz w:val="24"/>
          <w:szCs w:val="24"/>
        </w:rPr>
        <w:t>Ndewere</w:t>
      </w:r>
      <w:proofErr w:type="spellEnd"/>
      <w:r w:rsidRPr="00DF07BD">
        <w:rPr>
          <w:rFonts w:ascii="Trebuchet MS" w:hAnsi="Trebuchet MS"/>
          <w:sz w:val="24"/>
          <w:szCs w:val="24"/>
        </w:rPr>
        <w:t xml:space="preserve"> </w:t>
      </w:r>
    </w:p>
    <w:p w:rsidR="002B5641" w:rsidRPr="00DF07BD" w:rsidRDefault="002B5641" w:rsidP="000D4226">
      <w:pPr>
        <w:spacing w:line="360" w:lineRule="auto"/>
        <w:jc w:val="both"/>
        <w:rPr>
          <w:rFonts w:ascii="Trebuchet MS" w:hAnsi="Trebuchet MS"/>
          <w:b/>
          <w:sz w:val="24"/>
          <w:szCs w:val="24"/>
        </w:rPr>
      </w:pPr>
      <w:r w:rsidRPr="00DF07BD">
        <w:rPr>
          <w:rFonts w:ascii="Trebuchet MS" w:hAnsi="Trebuchet MS"/>
          <w:b/>
          <w:sz w:val="24"/>
          <w:szCs w:val="24"/>
        </w:rPr>
        <w:t xml:space="preserve">For </w:t>
      </w:r>
      <w:r w:rsidR="00BB372C">
        <w:rPr>
          <w:rFonts w:ascii="Trebuchet MS" w:hAnsi="Trebuchet MS"/>
          <w:b/>
          <w:sz w:val="24"/>
          <w:szCs w:val="24"/>
        </w:rPr>
        <w:t>Applicant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proofErr w:type="spellStart"/>
      <w:r w:rsidR="00B474FC">
        <w:rPr>
          <w:rFonts w:ascii="Trebuchet MS" w:hAnsi="Trebuchet MS"/>
          <w:b/>
          <w:sz w:val="24"/>
          <w:szCs w:val="24"/>
        </w:rPr>
        <w:t>Mr</w:t>
      </w:r>
      <w:proofErr w:type="spellEnd"/>
      <w:r w:rsidR="00B474FC">
        <w:rPr>
          <w:rFonts w:ascii="Trebuchet MS" w:hAnsi="Trebuchet MS"/>
          <w:b/>
          <w:sz w:val="24"/>
          <w:szCs w:val="24"/>
        </w:rPr>
        <w:t xml:space="preserve"> M. </w:t>
      </w:r>
      <w:proofErr w:type="spellStart"/>
      <w:r w:rsidR="00B474FC">
        <w:rPr>
          <w:rFonts w:ascii="Trebuchet MS" w:hAnsi="Trebuchet MS"/>
          <w:b/>
          <w:sz w:val="24"/>
          <w:szCs w:val="24"/>
        </w:rPr>
        <w:t>Mavhunga</w:t>
      </w:r>
      <w:proofErr w:type="spellEnd"/>
      <w:r w:rsidR="00B474FC">
        <w:rPr>
          <w:rFonts w:ascii="Trebuchet MS" w:hAnsi="Trebuchet MS"/>
          <w:b/>
          <w:sz w:val="24"/>
          <w:szCs w:val="24"/>
        </w:rPr>
        <w:t xml:space="preserve"> (Legal Practitioner)</w:t>
      </w:r>
    </w:p>
    <w:p w:rsidR="002B5641" w:rsidRPr="00DF07BD" w:rsidRDefault="002B5641" w:rsidP="000D4226">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proofErr w:type="spellStart"/>
      <w:r w:rsidR="00EB1076">
        <w:rPr>
          <w:rFonts w:ascii="Trebuchet MS" w:hAnsi="Trebuchet MS"/>
          <w:b/>
          <w:sz w:val="24"/>
          <w:szCs w:val="24"/>
        </w:rPr>
        <w:t>Mr</w:t>
      </w:r>
      <w:proofErr w:type="spellEnd"/>
      <w:r w:rsidR="00EB1076">
        <w:rPr>
          <w:rFonts w:ascii="Trebuchet MS" w:hAnsi="Trebuchet MS"/>
          <w:b/>
          <w:sz w:val="24"/>
          <w:szCs w:val="24"/>
        </w:rPr>
        <w:t xml:space="preserve"> C. </w:t>
      </w:r>
      <w:proofErr w:type="spellStart"/>
      <w:r w:rsidR="00EB1076">
        <w:rPr>
          <w:rFonts w:ascii="Trebuchet MS" w:hAnsi="Trebuchet MS"/>
          <w:b/>
          <w:sz w:val="24"/>
          <w:szCs w:val="24"/>
        </w:rPr>
        <w:t>Maunga</w:t>
      </w:r>
      <w:proofErr w:type="spellEnd"/>
      <w:r w:rsidR="00EB1076">
        <w:rPr>
          <w:rFonts w:ascii="Trebuchet MS" w:hAnsi="Trebuchet MS"/>
          <w:b/>
          <w:sz w:val="24"/>
          <w:szCs w:val="24"/>
        </w:rPr>
        <w:t xml:space="preserve"> (L</w:t>
      </w:r>
      <w:r w:rsidR="00B474FC">
        <w:rPr>
          <w:rFonts w:ascii="Trebuchet MS" w:hAnsi="Trebuchet MS"/>
          <w:b/>
          <w:sz w:val="24"/>
          <w:szCs w:val="24"/>
        </w:rPr>
        <w:t>egal Practitioner)</w:t>
      </w:r>
    </w:p>
    <w:p w:rsidR="002B5641" w:rsidRDefault="002B5641" w:rsidP="000D4226">
      <w:pPr>
        <w:spacing w:line="360" w:lineRule="auto"/>
        <w:jc w:val="both"/>
        <w:rPr>
          <w:rFonts w:ascii="Trebuchet MS" w:hAnsi="Trebuchet MS"/>
          <w:b/>
          <w:sz w:val="26"/>
          <w:szCs w:val="26"/>
        </w:rPr>
      </w:pPr>
    </w:p>
    <w:p w:rsidR="002B5641" w:rsidRPr="00C40A96" w:rsidRDefault="002B5641" w:rsidP="000D4226">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2B5641" w:rsidRPr="00B075BB" w:rsidRDefault="00B2406A" w:rsidP="000D4226">
      <w:pPr>
        <w:spacing w:line="360" w:lineRule="auto"/>
        <w:jc w:val="both"/>
        <w:rPr>
          <w:rFonts w:ascii="Trebuchet MS" w:hAnsi="Trebuchet MS"/>
          <w:b/>
          <w:sz w:val="26"/>
          <w:szCs w:val="26"/>
          <w:u w:val="single"/>
        </w:rPr>
      </w:pPr>
      <w:r>
        <w:rPr>
          <w:rFonts w:ascii="Trebuchet MS" w:hAnsi="Trebuchet MS"/>
          <w:b/>
          <w:sz w:val="26"/>
          <w:szCs w:val="26"/>
          <w:u w:val="single"/>
        </w:rPr>
        <w:t xml:space="preserve">Point in </w:t>
      </w:r>
      <w:proofErr w:type="spellStart"/>
      <w:r w:rsidR="00624629">
        <w:rPr>
          <w:rFonts w:ascii="Trebuchet MS" w:hAnsi="Trebuchet MS"/>
          <w:b/>
          <w:i/>
          <w:sz w:val="26"/>
          <w:szCs w:val="26"/>
          <w:u w:val="single"/>
        </w:rPr>
        <w:t>Li</w:t>
      </w:r>
      <w:r w:rsidRPr="00A154C6">
        <w:rPr>
          <w:rFonts w:ascii="Trebuchet MS" w:hAnsi="Trebuchet MS"/>
          <w:b/>
          <w:i/>
          <w:sz w:val="26"/>
          <w:szCs w:val="26"/>
          <w:u w:val="single"/>
        </w:rPr>
        <w:t>mine</w:t>
      </w:r>
      <w:proofErr w:type="spellEnd"/>
      <w:r w:rsidR="002B5641" w:rsidRPr="00B075BB">
        <w:rPr>
          <w:rFonts w:ascii="Trebuchet MS" w:hAnsi="Trebuchet MS"/>
          <w:b/>
          <w:sz w:val="26"/>
          <w:szCs w:val="26"/>
          <w:u w:val="single"/>
        </w:rPr>
        <w:t>:</w:t>
      </w:r>
    </w:p>
    <w:p w:rsidR="001405F9" w:rsidRDefault="00B2406A" w:rsidP="000D4226">
      <w:pPr>
        <w:spacing w:line="360" w:lineRule="auto"/>
        <w:jc w:val="both"/>
        <w:rPr>
          <w:rFonts w:ascii="Trebuchet MS" w:hAnsi="Trebuchet MS"/>
          <w:sz w:val="24"/>
          <w:szCs w:val="24"/>
        </w:rPr>
      </w:pPr>
      <w:r>
        <w:rPr>
          <w:rFonts w:ascii="Trebuchet MS" w:hAnsi="Trebuchet MS"/>
          <w:sz w:val="24"/>
          <w:szCs w:val="24"/>
        </w:rPr>
        <w:tab/>
        <w:t xml:space="preserve">The Respondent raised a preliminary objection because up to the time of </w:t>
      </w:r>
      <w:proofErr w:type="gramStart"/>
      <w:r>
        <w:rPr>
          <w:rFonts w:ascii="Trebuchet MS" w:hAnsi="Trebuchet MS"/>
          <w:sz w:val="24"/>
          <w:szCs w:val="24"/>
        </w:rPr>
        <w:t>the</w:t>
      </w:r>
      <w:proofErr w:type="gramEnd"/>
      <w:r>
        <w:rPr>
          <w:rFonts w:ascii="Trebuchet MS" w:hAnsi="Trebuchet MS"/>
          <w:sz w:val="24"/>
          <w:szCs w:val="24"/>
        </w:rPr>
        <w:t xml:space="preserve"> hearing, the </w:t>
      </w:r>
      <w:r w:rsidR="00F850F8">
        <w:rPr>
          <w:rFonts w:ascii="Trebuchet MS" w:hAnsi="Trebuchet MS"/>
          <w:sz w:val="24"/>
          <w:szCs w:val="24"/>
        </w:rPr>
        <w:t>Applicant</w:t>
      </w:r>
      <w:r>
        <w:rPr>
          <w:rFonts w:ascii="Trebuchet MS" w:hAnsi="Trebuchet MS"/>
          <w:sz w:val="24"/>
          <w:szCs w:val="24"/>
        </w:rPr>
        <w:t xml:space="preserve"> had not filed Heads of Argument, in contravention of </w:t>
      </w:r>
      <w:r w:rsidRPr="00425FBE">
        <w:rPr>
          <w:rFonts w:ascii="Trebuchet MS" w:hAnsi="Trebuchet MS"/>
          <w:b/>
          <w:sz w:val="24"/>
          <w:szCs w:val="24"/>
        </w:rPr>
        <w:t xml:space="preserve">Rule 19 </w:t>
      </w:r>
      <w:r>
        <w:rPr>
          <w:rFonts w:ascii="Trebuchet MS" w:hAnsi="Trebuchet MS"/>
          <w:sz w:val="24"/>
          <w:szCs w:val="24"/>
        </w:rPr>
        <w:t xml:space="preserve">of the </w:t>
      </w:r>
      <w:proofErr w:type="spellStart"/>
      <w:r w:rsidRPr="00425FBE">
        <w:rPr>
          <w:rFonts w:ascii="Trebuchet MS" w:hAnsi="Trebuchet MS"/>
          <w:b/>
          <w:sz w:val="24"/>
          <w:szCs w:val="24"/>
        </w:rPr>
        <w:t>Labour</w:t>
      </w:r>
      <w:proofErr w:type="spellEnd"/>
      <w:r w:rsidRPr="00425FBE">
        <w:rPr>
          <w:rFonts w:ascii="Trebuchet MS" w:hAnsi="Trebuchet MS"/>
          <w:b/>
          <w:sz w:val="24"/>
          <w:szCs w:val="24"/>
        </w:rPr>
        <w:t xml:space="preserve"> Court </w:t>
      </w:r>
      <w:r w:rsidR="00F850F8" w:rsidRPr="00425FBE">
        <w:rPr>
          <w:rFonts w:ascii="Trebuchet MS" w:hAnsi="Trebuchet MS"/>
          <w:b/>
          <w:sz w:val="24"/>
          <w:szCs w:val="24"/>
        </w:rPr>
        <w:t>Rules</w:t>
      </w:r>
      <w:r>
        <w:rPr>
          <w:rFonts w:ascii="Trebuchet MS" w:hAnsi="Trebuchet MS"/>
          <w:sz w:val="24"/>
          <w:szCs w:val="24"/>
        </w:rPr>
        <w:t xml:space="preserve">.  Respondent’s counsel said the Applicant is therefore barred in terms of </w:t>
      </w:r>
      <w:r w:rsidRPr="00FE3025">
        <w:rPr>
          <w:rFonts w:ascii="Trebuchet MS" w:hAnsi="Trebuchet MS"/>
          <w:b/>
          <w:sz w:val="24"/>
          <w:szCs w:val="24"/>
        </w:rPr>
        <w:t>Rule 19</w:t>
      </w:r>
      <w:r>
        <w:rPr>
          <w:rFonts w:ascii="Trebuchet MS" w:hAnsi="Trebuchet MS"/>
          <w:sz w:val="24"/>
          <w:szCs w:val="24"/>
        </w:rPr>
        <w:t xml:space="preserve"> </w:t>
      </w:r>
      <w:r w:rsidR="00FE3025">
        <w:rPr>
          <w:rFonts w:ascii="Trebuchet MS" w:hAnsi="Trebuchet MS"/>
          <w:sz w:val="24"/>
          <w:szCs w:val="24"/>
        </w:rPr>
        <w:t>(</w:t>
      </w:r>
      <w:r w:rsidR="00FE3025" w:rsidRPr="00425FBE">
        <w:rPr>
          <w:rFonts w:ascii="Trebuchet MS" w:hAnsi="Trebuchet MS"/>
          <w:b/>
          <w:sz w:val="24"/>
          <w:szCs w:val="24"/>
        </w:rPr>
        <w:t>3</w:t>
      </w:r>
      <w:r w:rsidR="00FE3025">
        <w:rPr>
          <w:rFonts w:ascii="Trebuchet MS" w:hAnsi="Trebuchet MS"/>
          <w:b/>
          <w:sz w:val="24"/>
          <w:szCs w:val="24"/>
        </w:rPr>
        <w:t>)</w:t>
      </w:r>
      <w:r w:rsidR="00FE3025">
        <w:rPr>
          <w:rFonts w:ascii="Trebuchet MS" w:hAnsi="Trebuchet MS"/>
          <w:sz w:val="24"/>
          <w:szCs w:val="24"/>
        </w:rPr>
        <w:t xml:space="preserve"> </w:t>
      </w:r>
      <w:r>
        <w:rPr>
          <w:rFonts w:ascii="Trebuchet MS" w:hAnsi="Trebuchet MS"/>
          <w:sz w:val="24"/>
          <w:szCs w:val="24"/>
        </w:rPr>
        <w:t>and should not be heard.</w:t>
      </w:r>
    </w:p>
    <w:p w:rsidR="00EC33C4" w:rsidRDefault="00B2406A" w:rsidP="000D4226">
      <w:pPr>
        <w:spacing w:line="360" w:lineRule="auto"/>
        <w:jc w:val="both"/>
        <w:rPr>
          <w:rFonts w:ascii="Trebuchet MS" w:hAnsi="Trebuchet MS"/>
          <w:b/>
          <w:sz w:val="24"/>
          <w:szCs w:val="24"/>
        </w:rPr>
      </w:pPr>
      <w:r>
        <w:rPr>
          <w:rFonts w:ascii="Trebuchet MS" w:hAnsi="Trebuchet MS"/>
          <w:sz w:val="24"/>
          <w:szCs w:val="24"/>
        </w:rPr>
        <w:tab/>
        <w:t xml:space="preserve">The Applicant’s counsel conceded that he had not filed Heads of Argument and sought leave to make an oral application for </w:t>
      </w:r>
      <w:proofErr w:type="spellStart"/>
      <w:r>
        <w:rPr>
          <w:rFonts w:ascii="Trebuchet MS" w:hAnsi="Trebuchet MS"/>
          <w:sz w:val="24"/>
          <w:szCs w:val="24"/>
        </w:rPr>
        <w:t>condonation</w:t>
      </w:r>
      <w:proofErr w:type="spellEnd"/>
      <w:r>
        <w:rPr>
          <w:rFonts w:ascii="Trebuchet MS" w:hAnsi="Trebuchet MS"/>
          <w:sz w:val="24"/>
          <w:szCs w:val="24"/>
        </w:rPr>
        <w:t xml:space="preserve"> during the hearing.  The Court’s ruling was that the </w:t>
      </w:r>
      <w:r w:rsidR="00F850F8">
        <w:rPr>
          <w:rFonts w:ascii="Trebuchet MS" w:hAnsi="Trebuchet MS"/>
          <w:sz w:val="24"/>
          <w:szCs w:val="24"/>
        </w:rPr>
        <w:t>Applicant</w:t>
      </w:r>
      <w:r>
        <w:rPr>
          <w:rFonts w:ascii="Trebuchet MS" w:hAnsi="Trebuchet MS"/>
          <w:sz w:val="24"/>
          <w:szCs w:val="24"/>
        </w:rPr>
        <w:t xml:space="preserve"> was already barred and if he was serious about applying for </w:t>
      </w:r>
      <w:proofErr w:type="spellStart"/>
      <w:r>
        <w:rPr>
          <w:rFonts w:ascii="Trebuchet MS" w:hAnsi="Trebuchet MS"/>
          <w:sz w:val="24"/>
          <w:szCs w:val="24"/>
        </w:rPr>
        <w:t>condonation</w:t>
      </w:r>
      <w:proofErr w:type="spellEnd"/>
      <w:r>
        <w:rPr>
          <w:rFonts w:ascii="Trebuchet MS" w:hAnsi="Trebuchet MS"/>
          <w:sz w:val="24"/>
          <w:szCs w:val="24"/>
        </w:rPr>
        <w:t xml:space="preserve">, he should have filed the application papers </w:t>
      </w:r>
      <w:r w:rsidR="00F850F8">
        <w:rPr>
          <w:rFonts w:ascii="Trebuchet MS" w:hAnsi="Trebuchet MS"/>
          <w:sz w:val="24"/>
          <w:szCs w:val="24"/>
        </w:rPr>
        <w:t>earlier</w:t>
      </w:r>
      <w:r>
        <w:rPr>
          <w:rFonts w:ascii="Trebuchet MS" w:hAnsi="Trebuchet MS"/>
          <w:sz w:val="24"/>
          <w:szCs w:val="24"/>
        </w:rPr>
        <w:t xml:space="preserve"> and g</w:t>
      </w:r>
      <w:r w:rsidR="007E4374">
        <w:rPr>
          <w:rFonts w:ascii="Trebuchet MS" w:hAnsi="Trebuchet MS"/>
          <w:sz w:val="24"/>
          <w:szCs w:val="24"/>
        </w:rPr>
        <w:t>iven</w:t>
      </w:r>
      <w:r>
        <w:rPr>
          <w:rFonts w:ascii="Trebuchet MS" w:hAnsi="Trebuchet MS"/>
          <w:sz w:val="24"/>
          <w:szCs w:val="24"/>
        </w:rPr>
        <w:t xml:space="preserve"> reasons for his failure to comply with the Rule in advance.  The Court proceeded to hear the Respondent on merit in terms of </w:t>
      </w:r>
      <w:r w:rsidRPr="00340901">
        <w:rPr>
          <w:rFonts w:ascii="Trebuchet MS" w:hAnsi="Trebuchet MS"/>
          <w:b/>
          <w:sz w:val="24"/>
          <w:szCs w:val="24"/>
        </w:rPr>
        <w:t>Rule 19 3 (b).</w:t>
      </w:r>
    </w:p>
    <w:p w:rsidR="00CA631C" w:rsidRPr="00CA631C" w:rsidRDefault="00CA631C" w:rsidP="000D4226">
      <w:pPr>
        <w:spacing w:line="360" w:lineRule="auto"/>
        <w:jc w:val="both"/>
        <w:rPr>
          <w:rFonts w:ascii="Trebuchet MS" w:hAnsi="Trebuchet MS"/>
          <w:b/>
          <w:sz w:val="24"/>
          <w:szCs w:val="24"/>
          <w:u w:val="single"/>
        </w:rPr>
      </w:pPr>
      <w:r w:rsidRPr="00CA631C">
        <w:rPr>
          <w:rFonts w:ascii="Trebuchet MS" w:hAnsi="Trebuchet MS"/>
          <w:b/>
          <w:sz w:val="24"/>
          <w:szCs w:val="24"/>
          <w:u w:val="single"/>
        </w:rPr>
        <w:t>Background</w:t>
      </w:r>
    </w:p>
    <w:p w:rsidR="00EC33C4" w:rsidRDefault="00EC33C4" w:rsidP="000D4226">
      <w:pPr>
        <w:spacing w:line="360" w:lineRule="auto"/>
        <w:jc w:val="both"/>
        <w:rPr>
          <w:rFonts w:ascii="Trebuchet MS" w:hAnsi="Trebuchet MS"/>
          <w:sz w:val="24"/>
          <w:szCs w:val="24"/>
        </w:rPr>
      </w:pPr>
      <w:r>
        <w:rPr>
          <w:rFonts w:ascii="Trebuchet MS" w:hAnsi="Trebuchet MS"/>
          <w:b/>
          <w:sz w:val="24"/>
          <w:szCs w:val="24"/>
        </w:rPr>
        <w:tab/>
      </w:r>
      <w:r w:rsidRPr="00EC33C4">
        <w:rPr>
          <w:rFonts w:ascii="Trebuchet MS" w:hAnsi="Trebuchet MS"/>
          <w:sz w:val="24"/>
          <w:szCs w:val="24"/>
        </w:rPr>
        <w:t>This is an Application for Review</w:t>
      </w:r>
      <w:r>
        <w:rPr>
          <w:rFonts w:ascii="Trebuchet MS" w:hAnsi="Trebuchet MS"/>
          <w:sz w:val="24"/>
          <w:szCs w:val="24"/>
        </w:rPr>
        <w:t>:</w:t>
      </w:r>
    </w:p>
    <w:p w:rsidR="00B2406A" w:rsidRDefault="00B2406A" w:rsidP="000D4226">
      <w:pPr>
        <w:spacing w:line="360" w:lineRule="auto"/>
        <w:jc w:val="both"/>
        <w:rPr>
          <w:rFonts w:ascii="Trebuchet MS" w:hAnsi="Trebuchet MS"/>
          <w:sz w:val="24"/>
          <w:szCs w:val="24"/>
        </w:rPr>
      </w:pPr>
      <w:r>
        <w:rPr>
          <w:rFonts w:ascii="Trebuchet MS" w:hAnsi="Trebuchet MS"/>
          <w:sz w:val="24"/>
          <w:szCs w:val="24"/>
        </w:rPr>
        <w:lastRenderedPageBreak/>
        <w:t xml:space="preserve">The background of the case is that the Applicant was employed as the </w:t>
      </w:r>
      <w:proofErr w:type="spellStart"/>
      <w:r w:rsidR="004D2662">
        <w:rPr>
          <w:rFonts w:ascii="Trebuchet MS" w:hAnsi="Trebuchet MS"/>
          <w:sz w:val="24"/>
          <w:szCs w:val="24"/>
        </w:rPr>
        <w:t>Cottco</w:t>
      </w:r>
      <w:proofErr w:type="spellEnd"/>
      <w:r w:rsidR="004D2662">
        <w:rPr>
          <w:rFonts w:ascii="Trebuchet MS" w:hAnsi="Trebuchet MS"/>
          <w:sz w:val="24"/>
          <w:szCs w:val="24"/>
        </w:rPr>
        <w:t xml:space="preserve"> Business manager based at </w:t>
      </w:r>
      <w:proofErr w:type="spellStart"/>
      <w:r w:rsidR="004D2662">
        <w:rPr>
          <w:rFonts w:ascii="Trebuchet MS" w:hAnsi="Trebuchet MS"/>
          <w:sz w:val="24"/>
          <w:szCs w:val="24"/>
        </w:rPr>
        <w:t>Muzarabani</w:t>
      </w:r>
      <w:proofErr w:type="spellEnd"/>
      <w:r w:rsidR="004D2662">
        <w:rPr>
          <w:rFonts w:ascii="Trebuchet MS" w:hAnsi="Trebuchet MS"/>
          <w:sz w:val="24"/>
          <w:szCs w:val="24"/>
        </w:rPr>
        <w:t xml:space="preserve">.  On 4 September, 2010, the Applicant was suspended with pay and </w:t>
      </w:r>
      <w:r w:rsidR="00F850F8">
        <w:rPr>
          <w:rFonts w:ascii="Trebuchet MS" w:hAnsi="Trebuchet MS"/>
          <w:sz w:val="24"/>
          <w:szCs w:val="24"/>
        </w:rPr>
        <w:t>benefits</w:t>
      </w:r>
      <w:r w:rsidR="004D2662">
        <w:rPr>
          <w:rFonts w:ascii="Trebuchet MS" w:hAnsi="Trebuchet MS"/>
          <w:sz w:val="24"/>
          <w:szCs w:val="24"/>
        </w:rPr>
        <w:t xml:space="preserve">, </w:t>
      </w:r>
      <w:r w:rsidR="00F850F8">
        <w:rPr>
          <w:rFonts w:ascii="Trebuchet MS" w:hAnsi="Trebuchet MS"/>
          <w:sz w:val="24"/>
          <w:szCs w:val="24"/>
        </w:rPr>
        <w:t>pending</w:t>
      </w:r>
      <w:r w:rsidR="004D2662">
        <w:rPr>
          <w:rFonts w:ascii="Trebuchet MS" w:hAnsi="Trebuchet MS"/>
          <w:sz w:val="24"/>
          <w:szCs w:val="24"/>
        </w:rPr>
        <w:t xml:space="preserve"> inve</w:t>
      </w:r>
      <w:r w:rsidR="00F850F8">
        <w:rPr>
          <w:rFonts w:ascii="Trebuchet MS" w:hAnsi="Trebuchet MS"/>
          <w:sz w:val="24"/>
          <w:szCs w:val="24"/>
        </w:rPr>
        <w:t>stigations into his work performance</w:t>
      </w:r>
      <w:r w:rsidR="004D2662">
        <w:rPr>
          <w:rFonts w:ascii="Trebuchet MS" w:hAnsi="Trebuchet MS"/>
          <w:sz w:val="24"/>
          <w:szCs w:val="24"/>
        </w:rPr>
        <w:t xml:space="preserve">.  On 6 September, 2012, the Applicant’s immediate supervisor, </w:t>
      </w:r>
      <w:proofErr w:type="spellStart"/>
      <w:r w:rsidR="004D2662">
        <w:rPr>
          <w:rFonts w:ascii="Trebuchet MS" w:hAnsi="Trebuchet MS"/>
          <w:sz w:val="24"/>
          <w:szCs w:val="24"/>
        </w:rPr>
        <w:t>Mr</w:t>
      </w:r>
      <w:proofErr w:type="spellEnd"/>
      <w:r w:rsidR="004D2662">
        <w:rPr>
          <w:rFonts w:ascii="Trebuchet MS" w:hAnsi="Trebuchet MS"/>
          <w:sz w:val="24"/>
          <w:szCs w:val="24"/>
        </w:rPr>
        <w:t xml:space="preserve"> </w:t>
      </w:r>
      <w:proofErr w:type="spellStart"/>
      <w:r w:rsidR="004D2662">
        <w:rPr>
          <w:rFonts w:ascii="Trebuchet MS" w:hAnsi="Trebuchet MS"/>
          <w:sz w:val="24"/>
          <w:szCs w:val="24"/>
        </w:rPr>
        <w:t>Mupfawa</w:t>
      </w:r>
      <w:proofErr w:type="spellEnd"/>
      <w:r w:rsidR="004D2662">
        <w:rPr>
          <w:rFonts w:ascii="Trebuchet MS" w:hAnsi="Trebuchet MS"/>
          <w:sz w:val="24"/>
          <w:szCs w:val="24"/>
        </w:rPr>
        <w:t xml:space="preserve"> who was the Operations Executive-East, wrote to the Applicant highlighting the gross </w:t>
      </w:r>
      <w:r w:rsidR="00F850F8">
        <w:rPr>
          <w:rFonts w:ascii="Trebuchet MS" w:hAnsi="Trebuchet MS"/>
          <w:sz w:val="24"/>
          <w:szCs w:val="24"/>
        </w:rPr>
        <w:t>unsatisfactory</w:t>
      </w:r>
      <w:r w:rsidR="004D2662">
        <w:rPr>
          <w:rFonts w:ascii="Trebuchet MS" w:hAnsi="Trebuchet MS"/>
          <w:sz w:val="24"/>
          <w:szCs w:val="24"/>
        </w:rPr>
        <w:t xml:space="preserve"> performance of the </w:t>
      </w:r>
      <w:proofErr w:type="spellStart"/>
      <w:r w:rsidR="004D2662">
        <w:rPr>
          <w:rFonts w:ascii="Trebuchet MS" w:hAnsi="Trebuchet MS"/>
          <w:sz w:val="24"/>
          <w:szCs w:val="24"/>
        </w:rPr>
        <w:t>Muzarabani</w:t>
      </w:r>
      <w:proofErr w:type="spellEnd"/>
      <w:r w:rsidR="004D2662">
        <w:rPr>
          <w:rFonts w:ascii="Trebuchet MS" w:hAnsi="Trebuchet MS"/>
          <w:sz w:val="24"/>
          <w:szCs w:val="24"/>
        </w:rPr>
        <w:t xml:space="preserve"> </w:t>
      </w:r>
      <w:proofErr w:type="spellStart"/>
      <w:r w:rsidR="004D2662">
        <w:rPr>
          <w:rFonts w:ascii="Trebuchet MS" w:hAnsi="Trebuchet MS"/>
          <w:sz w:val="24"/>
          <w:szCs w:val="24"/>
        </w:rPr>
        <w:t>Cotco</w:t>
      </w:r>
      <w:proofErr w:type="spellEnd"/>
      <w:r w:rsidR="004D2662">
        <w:rPr>
          <w:rFonts w:ascii="Trebuchet MS" w:hAnsi="Trebuchet MS"/>
          <w:sz w:val="24"/>
          <w:szCs w:val="24"/>
        </w:rPr>
        <w:t xml:space="preserve"> Unit, detailing the targeted performance and the shortfalls.  The Applicant replied on 10 September, 2012 giving his explanation.  The Applicant’s supervisor was not convinced by the explanation and he replied on 13 September, 2012, indicating that the Applicant would be charged for Gross Unsatisfactory Work Performance in term</w:t>
      </w:r>
      <w:r w:rsidR="00141D81">
        <w:rPr>
          <w:rFonts w:ascii="Trebuchet MS" w:hAnsi="Trebuchet MS"/>
          <w:sz w:val="24"/>
          <w:szCs w:val="24"/>
        </w:rPr>
        <w:t>s</w:t>
      </w:r>
      <w:r w:rsidR="004D2662">
        <w:rPr>
          <w:rFonts w:ascii="Trebuchet MS" w:hAnsi="Trebuchet MS"/>
          <w:sz w:val="24"/>
          <w:szCs w:val="24"/>
        </w:rPr>
        <w:t xml:space="preserve"> of the company’s code.  On 13 September, 2012, he was invited t</w:t>
      </w:r>
      <w:r w:rsidR="00834B23">
        <w:rPr>
          <w:rFonts w:ascii="Trebuchet MS" w:hAnsi="Trebuchet MS"/>
          <w:sz w:val="24"/>
          <w:szCs w:val="24"/>
        </w:rPr>
        <w:t>o</w:t>
      </w:r>
      <w:r w:rsidR="004D2662">
        <w:rPr>
          <w:rFonts w:ascii="Trebuchet MS" w:hAnsi="Trebuchet MS"/>
          <w:sz w:val="24"/>
          <w:szCs w:val="24"/>
        </w:rPr>
        <w:t xml:space="preserve"> a hearing on 20 September, 2012 and advised to bring any witnesses and any evidence in his </w:t>
      </w:r>
      <w:proofErr w:type="spellStart"/>
      <w:r w:rsidR="004D2662">
        <w:rPr>
          <w:rFonts w:ascii="Trebuchet MS" w:hAnsi="Trebuchet MS"/>
          <w:sz w:val="24"/>
          <w:szCs w:val="24"/>
        </w:rPr>
        <w:t>defence</w:t>
      </w:r>
      <w:proofErr w:type="spellEnd"/>
      <w:r w:rsidR="004D2662">
        <w:rPr>
          <w:rFonts w:ascii="Trebuchet MS" w:hAnsi="Trebuchet MS"/>
          <w:sz w:val="24"/>
          <w:szCs w:val="24"/>
        </w:rPr>
        <w:t>.  The hearing did not take off on the 20</w:t>
      </w:r>
      <w:r w:rsidR="004D2662" w:rsidRPr="004D2662">
        <w:rPr>
          <w:rFonts w:ascii="Trebuchet MS" w:hAnsi="Trebuchet MS"/>
          <w:sz w:val="24"/>
          <w:szCs w:val="24"/>
          <w:vertAlign w:val="superscript"/>
        </w:rPr>
        <w:t>th</w:t>
      </w:r>
      <w:r w:rsidR="004D2662">
        <w:rPr>
          <w:rFonts w:ascii="Trebuchet MS" w:hAnsi="Trebuchet MS"/>
          <w:sz w:val="24"/>
          <w:szCs w:val="24"/>
        </w:rPr>
        <w:t xml:space="preserve"> of September and on 25 September, 2012 the Applicant re</w:t>
      </w:r>
      <w:r w:rsidR="00F850F8">
        <w:rPr>
          <w:rFonts w:ascii="Trebuchet MS" w:hAnsi="Trebuchet MS"/>
          <w:sz w:val="24"/>
          <w:szCs w:val="24"/>
        </w:rPr>
        <w:t>ceived another invitation to a disciplinary</w:t>
      </w:r>
      <w:r w:rsidR="004D2662">
        <w:rPr>
          <w:rFonts w:ascii="Trebuchet MS" w:hAnsi="Trebuchet MS"/>
          <w:sz w:val="24"/>
          <w:szCs w:val="24"/>
        </w:rPr>
        <w:t xml:space="preserve"> hearing on 28 September and he was again advised to bring any witnesses and any evidence which would assist him in his </w:t>
      </w:r>
      <w:proofErr w:type="spellStart"/>
      <w:r w:rsidR="004D2662">
        <w:rPr>
          <w:rFonts w:ascii="Trebuchet MS" w:hAnsi="Trebuchet MS"/>
          <w:sz w:val="24"/>
          <w:szCs w:val="24"/>
        </w:rPr>
        <w:t>defence</w:t>
      </w:r>
      <w:proofErr w:type="spellEnd"/>
      <w:r w:rsidR="004D2662">
        <w:rPr>
          <w:rFonts w:ascii="Trebuchet MS" w:hAnsi="Trebuchet MS"/>
          <w:sz w:val="24"/>
          <w:szCs w:val="24"/>
        </w:rPr>
        <w:t>.</w:t>
      </w:r>
    </w:p>
    <w:p w:rsidR="001F3D2C" w:rsidRDefault="004D2662" w:rsidP="000D4226">
      <w:pPr>
        <w:spacing w:line="360" w:lineRule="auto"/>
        <w:jc w:val="both"/>
        <w:rPr>
          <w:rFonts w:ascii="Trebuchet MS" w:hAnsi="Trebuchet MS"/>
          <w:sz w:val="24"/>
          <w:szCs w:val="24"/>
        </w:rPr>
      </w:pPr>
      <w:r>
        <w:rPr>
          <w:rFonts w:ascii="Trebuchet MS" w:hAnsi="Trebuchet MS"/>
          <w:sz w:val="24"/>
          <w:szCs w:val="24"/>
        </w:rPr>
        <w:tab/>
        <w:t>The 28 Septembe</w:t>
      </w:r>
      <w:r w:rsidR="00AB3E72">
        <w:rPr>
          <w:rFonts w:ascii="Trebuchet MS" w:hAnsi="Trebuchet MS"/>
          <w:sz w:val="24"/>
          <w:szCs w:val="24"/>
        </w:rPr>
        <w:t xml:space="preserve">r </w:t>
      </w:r>
      <w:r>
        <w:rPr>
          <w:rFonts w:ascii="Trebuchet MS" w:hAnsi="Trebuchet MS"/>
          <w:sz w:val="24"/>
          <w:szCs w:val="24"/>
        </w:rPr>
        <w:t xml:space="preserve">hearing </w:t>
      </w:r>
      <w:r w:rsidR="00F850F8">
        <w:rPr>
          <w:rFonts w:ascii="Trebuchet MS" w:hAnsi="Trebuchet MS"/>
          <w:sz w:val="24"/>
          <w:szCs w:val="24"/>
        </w:rPr>
        <w:t>took</w:t>
      </w:r>
      <w:r>
        <w:rPr>
          <w:rFonts w:ascii="Trebuchet MS" w:hAnsi="Trebuchet MS"/>
          <w:sz w:val="24"/>
          <w:szCs w:val="24"/>
        </w:rPr>
        <w:t xml:space="preserve"> off and the </w:t>
      </w:r>
      <w:r w:rsidR="00F850F8">
        <w:rPr>
          <w:rFonts w:ascii="Trebuchet MS" w:hAnsi="Trebuchet MS"/>
          <w:sz w:val="24"/>
          <w:szCs w:val="24"/>
        </w:rPr>
        <w:t>Applicant</w:t>
      </w:r>
      <w:r>
        <w:rPr>
          <w:rFonts w:ascii="Trebuchet MS" w:hAnsi="Trebuchet MS"/>
          <w:sz w:val="24"/>
          <w:szCs w:val="24"/>
        </w:rPr>
        <w:t xml:space="preserve"> attended the hearing with </w:t>
      </w:r>
      <w:proofErr w:type="spellStart"/>
      <w:r w:rsidR="00F850F8">
        <w:rPr>
          <w:rFonts w:ascii="Trebuchet MS" w:hAnsi="Trebuchet MS"/>
          <w:sz w:val="24"/>
          <w:szCs w:val="24"/>
        </w:rPr>
        <w:t>Mr</w:t>
      </w:r>
      <w:proofErr w:type="spellEnd"/>
      <w:r w:rsidR="00F850F8">
        <w:rPr>
          <w:rFonts w:ascii="Trebuchet MS" w:hAnsi="Trebuchet MS"/>
          <w:sz w:val="24"/>
          <w:szCs w:val="24"/>
        </w:rPr>
        <w:t xml:space="preserve"> </w:t>
      </w:r>
      <w:proofErr w:type="spellStart"/>
      <w:r w:rsidR="00F850F8">
        <w:rPr>
          <w:rFonts w:ascii="Trebuchet MS" w:hAnsi="Trebuchet MS"/>
          <w:sz w:val="24"/>
          <w:szCs w:val="24"/>
        </w:rPr>
        <w:t>Mavhunga</w:t>
      </w:r>
      <w:proofErr w:type="spellEnd"/>
      <w:r>
        <w:rPr>
          <w:rFonts w:ascii="Trebuchet MS" w:hAnsi="Trebuchet MS"/>
          <w:sz w:val="24"/>
          <w:szCs w:val="24"/>
        </w:rPr>
        <w:t xml:space="preserve">, his </w:t>
      </w:r>
      <w:r w:rsidR="00F850F8">
        <w:rPr>
          <w:rFonts w:ascii="Trebuchet MS" w:hAnsi="Trebuchet MS"/>
          <w:sz w:val="24"/>
          <w:szCs w:val="24"/>
        </w:rPr>
        <w:t>Legal Practitioner</w:t>
      </w:r>
      <w:r>
        <w:rPr>
          <w:rFonts w:ascii="Trebuchet MS" w:hAnsi="Trebuchet MS"/>
          <w:sz w:val="24"/>
          <w:szCs w:val="24"/>
        </w:rPr>
        <w:t xml:space="preserve">.  At the outset, Applicant’s counsel objected to the hearing, saying the hearing was likely to be unfair because the </w:t>
      </w:r>
      <w:r w:rsidR="00EC33C4">
        <w:rPr>
          <w:rFonts w:ascii="Trebuchet MS" w:hAnsi="Trebuchet MS"/>
          <w:sz w:val="24"/>
          <w:szCs w:val="24"/>
        </w:rPr>
        <w:t xml:space="preserve">Acting </w:t>
      </w:r>
      <w:r w:rsidR="00F850F8">
        <w:rPr>
          <w:rFonts w:ascii="Trebuchet MS" w:hAnsi="Trebuchet MS"/>
          <w:sz w:val="24"/>
          <w:szCs w:val="24"/>
        </w:rPr>
        <w:t>Managing Director had written an</w:t>
      </w:r>
      <w:r w:rsidR="009D630F">
        <w:rPr>
          <w:rFonts w:ascii="Trebuchet MS" w:hAnsi="Trebuchet MS"/>
          <w:sz w:val="24"/>
          <w:szCs w:val="24"/>
        </w:rPr>
        <w:t xml:space="preserve"> e</w:t>
      </w:r>
      <w:r w:rsidR="00F850F8">
        <w:rPr>
          <w:rFonts w:ascii="Trebuchet MS" w:hAnsi="Trebuchet MS"/>
          <w:sz w:val="24"/>
          <w:szCs w:val="24"/>
        </w:rPr>
        <w:t xml:space="preserve">-mail saying his client would undergo a disciplinary hearing pending dismissal and since the </w:t>
      </w:r>
      <w:r w:rsidR="00EC33C4">
        <w:rPr>
          <w:rFonts w:ascii="Trebuchet MS" w:hAnsi="Trebuchet MS"/>
          <w:sz w:val="24"/>
          <w:szCs w:val="24"/>
        </w:rPr>
        <w:t xml:space="preserve">Acting </w:t>
      </w:r>
      <w:r w:rsidR="00F850F8">
        <w:rPr>
          <w:rFonts w:ascii="Trebuchet MS" w:hAnsi="Trebuchet MS"/>
          <w:sz w:val="24"/>
          <w:szCs w:val="24"/>
        </w:rPr>
        <w:t>Managing Director</w:t>
      </w:r>
      <w:r w:rsidR="00227876">
        <w:rPr>
          <w:rFonts w:ascii="Trebuchet MS" w:hAnsi="Trebuchet MS"/>
          <w:sz w:val="24"/>
          <w:szCs w:val="24"/>
        </w:rPr>
        <w:t xml:space="preserve"> is the last appeal authority, the internal procedures had already been tainted by the e-mail.</w:t>
      </w:r>
    </w:p>
    <w:p w:rsidR="00360882" w:rsidRDefault="000D4226" w:rsidP="000D4226">
      <w:pPr>
        <w:spacing w:line="360" w:lineRule="auto"/>
        <w:jc w:val="both"/>
        <w:rPr>
          <w:rFonts w:ascii="Trebuchet MS" w:hAnsi="Trebuchet MS"/>
          <w:sz w:val="24"/>
          <w:szCs w:val="24"/>
        </w:rPr>
      </w:pPr>
      <w:r>
        <w:rPr>
          <w:rFonts w:ascii="Trebuchet MS" w:hAnsi="Trebuchet MS"/>
          <w:sz w:val="24"/>
          <w:szCs w:val="24"/>
        </w:rPr>
        <w:tab/>
        <w:t>The Committe</w:t>
      </w:r>
      <w:r w:rsidR="00CE1ED8">
        <w:rPr>
          <w:rFonts w:ascii="Trebuchet MS" w:hAnsi="Trebuchet MS"/>
          <w:sz w:val="24"/>
          <w:szCs w:val="24"/>
        </w:rPr>
        <w:t xml:space="preserve">e deliberated on the objections and resolved to proceed.  </w:t>
      </w:r>
      <w:r w:rsidR="001F3D2C">
        <w:rPr>
          <w:rFonts w:ascii="Trebuchet MS" w:hAnsi="Trebuchet MS"/>
          <w:sz w:val="24"/>
          <w:szCs w:val="24"/>
        </w:rPr>
        <w:t xml:space="preserve">They asked the Applicant </w:t>
      </w:r>
      <w:r>
        <w:rPr>
          <w:rFonts w:ascii="Trebuchet MS" w:hAnsi="Trebuchet MS"/>
          <w:sz w:val="24"/>
          <w:szCs w:val="24"/>
        </w:rPr>
        <w:t xml:space="preserve">and his representative to return to the hearing.  </w:t>
      </w:r>
      <w:r w:rsidR="00CE1ED8">
        <w:rPr>
          <w:rFonts w:ascii="Trebuchet MS" w:hAnsi="Trebuchet MS"/>
          <w:sz w:val="24"/>
          <w:szCs w:val="24"/>
        </w:rPr>
        <w:t xml:space="preserve">The Committee chair announced its ruling; that it would proceed with the </w:t>
      </w:r>
      <w:r>
        <w:rPr>
          <w:rFonts w:ascii="Trebuchet MS" w:hAnsi="Trebuchet MS"/>
          <w:sz w:val="24"/>
          <w:szCs w:val="24"/>
        </w:rPr>
        <w:t>hearing.</w:t>
      </w:r>
      <w:r w:rsidR="00CE1ED8">
        <w:rPr>
          <w:rFonts w:ascii="Trebuchet MS" w:hAnsi="Trebuchet MS"/>
          <w:sz w:val="24"/>
          <w:szCs w:val="24"/>
        </w:rPr>
        <w:t xml:space="preserve">  Applicant’s counsel</w:t>
      </w:r>
      <w:r w:rsidR="00182067">
        <w:rPr>
          <w:rFonts w:ascii="Trebuchet MS" w:hAnsi="Trebuchet MS"/>
          <w:sz w:val="24"/>
          <w:szCs w:val="24"/>
        </w:rPr>
        <w:t xml:space="preserve"> </w:t>
      </w:r>
      <w:r w:rsidR="001F3D2C">
        <w:rPr>
          <w:rFonts w:ascii="Trebuchet MS" w:hAnsi="Trebuchet MS"/>
          <w:sz w:val="24"/>
          <w:szCs w:val="24"/>
        </w:rPr>
        <w:t xml:space="preserve">persisted with </w:t>
      </w:r>
      <w:r w:rsidR="00182067">
        <w:rPr>
          <w:rFonts w:ascii="Trebuchet MS" w:hAnsi="Trebuchet MS"/>
          <w:sz w:val="24"/>
          <w:szCs w:val="24"/>
        </w:rPr>
        <w:t xml:space="preserve">his assertion that the proceedings would be unfair.  </w:t>
      </w:r>
      <w:r>
        <w:rPr>
          <w:rFonts w:ascii="Trebuchet MS" w:hAnsi="Trebuchet MS"/>
          <w:sz w:val="24"/>
          <w:szCs w:val="24"/>
        </w:rPr>
        <w:t>Applicant</w:t>
      </w:r>
      <w:r w:rsidR="00360882">
        <w:rPr>
          <w:rFonts w:ascii="Trebuchet MS" w:hAnsi="Trebuchet MS"/>
          <w:sz w:val="24"/>
          <w:szCs w:val="24"/>
        </w:rPr>
        <w:t xml:space="preserve"> was </w:t>
      </w:r>
      <w:r>
        <w:rPr>
          <w:rFonts w:ascii="Trebuchet MS" w:hAnsi="Trebuchet MS"/>
          <w:sz w:val="24"/>
          <w:szCs w:val="24"/>
        </w:rPr>
        <w:t>asked</w:t>
      </w:r>
      <w:r w:rsidR="00360882">
        <w:rPr>
          <w:rFonts w:ascii="Trebuchet MS" w:hAnsi="Trebuchet MS"/>
          <w:sz w:val="24"/>
          <w:szCs w:val="24"/>
        </w:rPr>
        <w:t xml:space="preserve"> if replacing current committee members with others would </w:t>
      </w:r>
      <w:r>
        <w:rPr>
          <w:rFonts w:ascii="Trebuchet MS" w:hAnsi="Trebuchet MS"/>
          <w:sz w:val="24"/>
          <w:szCs w:val="24"/>
        </w:rPr>
        <w:t>satisfy</w:t>
      </w:r>
      <w:r w:rsidR="00360882">
        <w:rPr>
          <w:rFonts w:ascii="Trebuchet MS" w:hAnsi="Trebuchet MS"/>
          <w:sz w:val="24"/>
          <w:szCs w:val="24"/>
        </w:rPr>
        <w:t xml:space="preserve"> him and his </w:t>
      </w:r>
      <w:r>
        <w:rPr>
          <w:rFonts w:ascii="Trebuchet MS" w:hAnsi="Trebuchet MS"/>
          <w:sz w:val="24"/>
          <w:szCs w:val="24"/>
        </w:rPr>
        <w:t>representative</w:t>
      </w:r>
      <w:r w:rsidR="00360882">
        <w:rPr>
          <w:rFonts w:ascii="Trebuchet MS" w:hAnsi="Trebuchet MS"/>
          <w:sz w:val="24"/>
          <w:szCs w:val="24"/>
        </w:rPr>
        <w:t xml:space="preserve"> </w:t>
      </w:r>
      <w:r>
        <w:rPr>
          <w:rFonts w:ascii="Trebuchet MS" w:hAnsi="Trebuchet MS"/>
          <w:sz w:val="24"/>
          <w:szCs w:val="24"/>
        </w:rPr>
        <w:t>said replacing</w:t>
      </w:r>
      <w:r w:rsidR="00360882">
        <w:rPr>
          <w:rFonts w:ascii="Trebuchet MS" w:hAnsi="Trebuchet MS"/>
          <w:sz w:val="24"/>
          <w:szCs w:val="24"/>
        </w:rPr>
        <w:t xml:space="preserve"> the committee </w:t>
      </w:r>
      <w:r>
        <w:rPr>
          <w:rFonts w:ascii="Trebuchet MS" w:hAnsi="Trebuchet MS"/>
          <w:sz w:val="24"/>
          <w:szCs w:val="24"/>
        </w:rPr>
        <w:t>would</w:t>
      </w:r>
      <w:r w:rsidR="00360882">
        <w:rPr>
          <w:rFonts w:ascii="Trebuchet MS" w:hAnsi="Trebuchet MS"/>
          <w:sz w:val="24"/>
          <w:szCs w:val="24"/>
        </w:rPr>
        <w:t xml:space="preserve"> be a waste of resources and time because all the </w:t>
      </w:r>
      <w:r>
        <w:rPr>
          <w:rFonts w:ascii="Trebuchet MS" w:hAnsi="Trebuchet MS"/>
          <w:sz w:val="24"/>
          <w:szCs w:val="24"/>
        </w:rPr>
        <w:t>subordinates</w:t>
      </w:r>
      <w:r w:rsidR="00360882">
        <w:rPr>
          <w:rFonts w:ascii="Trebuchet MS" w:hAnsi="Trebuchet MS"/>
          <w:sz w:val="24"/>
          <w:szCs w:val="24"/>
        </w:rPr>
        <w:t xml:space="preserve"> would abide by their superior</w:t>
      </w:r>
      <w:r w:rsidR="006E2DBB">
        <w:rPr>
          <w:rFonts w:ascii="Trebuchet MS" w:hAnsi="Trebuchet MS"/>
          <w:sz w:val="24"/>
          <w:szCs w:val="24"/>
        </w:rPr>
        <w:t>’s</w:t>
      </w:r>
      <w:r w:rsidR="00360882">
        <w:rPr>
          <w:rFonts w:ascii="Trebuchet MS" w:hAnsi="Trebuchet MS"/>
          <w:sz w:val="24"/>
          <w:szCs w:val="24"/>
        </w:rPr>
        <w:t xml:space="preserve"> decision.  Counsel’s last statement was </w:t>
      </w:r>
      <w:r w:rsidR="00360882" w:rsidRPr="00431966">
        <w:rPr>
          <w:rFonts w:ascii="Bookman Old Style" w:hAnsi="Bookman Old Style"/>
          <w:i/>
          <w:sz w:val="20"/>
          <w:szCs w:val="20"/>
        </w:rPr>
        <w:t xml:space="preserve">“I feel we have </w:t>
      </w:r>
      <w:r w:rsidRPr="00431966">
        <w:rPr>
          <w:rFonts w:ascii="Bookman Old Style" w:hAnsi="Bookman Old Style"/>
          <w:i/>
          <w:sz w:val="20"/>
          <w:szCs w:val="20"/>
        </w:rPr>
        <w:t>stated</w:t>
      </w:r>
      <w:r w:rsidR="00360882" w:rsidRPr="00431966">
        <w:rPr>
          <w:rFonts w:ascii="Bookman Old Style" w:hAnsi="Bookman Old Style"/>
          <w:i/>
          <w:sz w:val="20"/>
          <w:szCs w:val="20"/>
        </w:rPr>
        <w:t xml:space="preserve"> it clearly that we have no confidence in this process as we deem it to be unfair and we will not be part of </w:t>
      </w:r>
      <w:r w:rsidRPr="00431966">
        <w:rPr>
          <w:rFonts w:ascii="Bookman Old Style" w:hAnsi="Bookman Old Style"/>
          <w:i/>
          <w:sz w:val="20"/>
          <w:szCs w:val="20"/>
        </w:rPr>
        <w:lastRenderedPageBreak/>
        <w:t>these proceedings</w:t>
      </w:r>
      <w:r w:rsidR="00360882" w:rsidRPr="00431966">
        <w:rPr>
          <w:rFonts w:ascii="Bookman Old Style" w:hAnsi="Bookman Old Style"/>
          <w:i/>
          <w:sz w:val="20"/>
          <w:szCs w:val="20"/>
        </w:rPr>
        <w:t>.”</w:t>
      </w:r>
      <w:r w:rsidR="00360882" w:rsidRPr="00471A07">
        <w:rPr>
          <w:rFonts w:ascii="Bookman Old Style" w:hAnsi="Bookman Old Style"/>
          <w:sz w:val="24"/>
          <w:szCs w:val="24"/>
        </w:rPr>
        <w:t xml:space="preserve"> </w:t>
      </w:r>
      <w:r w:rsidR="00E778AF">
        <w:rPr>
          <w:rFonts w:ascii="Bookman Old Style" w:hAnsi="Bookman Old Style"/>
          <w:sz w:val="24"/>
          <w:szCs w:val="24"/>
        </w:rPr>
        <w:t xml:space="preserve"> </w:t>
      </w:r>
      <w:r w:rsidR="00360882">
        <w:rPr>
          <w:rFonts w:ascii="Trebuchet MS" w:hAnsi="Trebuchet MS"/>
          <w:sz w:val="24"/>
          <w:szCs w:val="24"/>
        </w:rPr>
        <w:t>Counsel and the Applicant then left the room.</w:t>
      </w:r>
      <w:r>
        <w:rPr>
          <w:rFonts w:ascii="Trebuchet MS" w:hAnsi="Trebuchet MS"/>
          <w:sz w:val="24"/>
          <w:szCs w:val="24"/>
        </w:rPr>
        <w:t xml:space="preserve">  </w:t>
      </w:r>
      <w:r w:rsidR="00360882">
        <w:rPr>
          <w:rFonts w:ascii="Trebuchet MS" w:hAnsi="Trebuchet MS"/>
          <w:sz w:val="24"/>
          <w:szCs w:val="24"/>
        </w:rPr>
        <w:t>Thereafter the committee proceed</w:t>
      </w:r>
      <w:r w:rsidR="00B86F2B">
        <w:rPr>
          <w:rFonts w:ascii="Trebuchet MS" w:hAnsi="Trebuchet MS"/>
          <w:sz w:val="24"/>
          <w:szCs w:val="24"/>
        </w:rPr>
        <w:t>ed</w:t>
      </w:r>
      <w:r w:rsidR="00360882">
        <w:rPr>
          <w:rFonts w:ascii="Trebuchet MS" w:hAnsi="Trebuchet MS"/>
          <w:sz w:val="24"/>
          <w:szCs w:val="24"/>
        </w:rPr>
        <w:t xml:space="preserve"> with the hearing.</w:t>
      </w:r>
    </w:p>
    <w:p w:rsidR="00360882" w:rsidRDefault="00360882" w:rsidP="000D4226">
      <w:pPr>
        <w:spacing w:line="360" w:lineRule="auto"/>
        <w:jc w:val="both"/>
        <w:rPr>
          <w:rFonts w:ascii="Trebuchet MS" w:hAnsi="Trebuchet MS"/>
          <w:sz w:val="24"/>
          <w:szCs w:val="24"/>
        </w:rPr>
      </w:pPr>
      <w:r>
        <w:rPr>
          <w:rFonts w:ascii="Trebuchet MS" w:hAnsi="Trebuchet MS"/>
          <w:sz w:val="24"/>
          <w:szCs w:val="24"/>
        </w:rPr>
        <w:tab/>
        <w:t xml:space="preserve">The </w:t>
      </w:r>
      <w:r w:rsidR="005C26E2">
        <w:rPr>
          <w:rFonts w:ascii="Trebuchet MS" w:hAnsi="Trebuchet MS"/>
          <w:sz w:val="24"/>
          <w:szCs w:val="24"/>
        </w:rPr>
        <w:t>Complain</w:t>
      </w:r>
      <w:r>
        <w:rPr>
          <w:rFonts w:ascii="Trebuchet MS" w:hAnsi="Trebuchet MS"/>
          <w:sz w:val="24"/>
          <w:szCs w:val="24"/>
        </w:rPr>
        <w:t xml:space="preserve">ant, </w:t>
      </w:r>
      <w:proofErr w:type="spellStart"/>
      <w:r>
        <w:rPr>
          <w:rFonts w:ascii="Trebuchet MS" w:hAnsi="Trebuchet MS"/>
          <w:sz w:val="24"/>
          <w:szCs w:val="24"/>
        </w:rPr>
        <w:t>Mr</w:t>
      </w:r>
      <w:proofErr w:type="spellEnd"/>
      <w:r>
        <w:rPr>
          <w:rFonts w:ascii="Trebuchet MS" w:hAnsi="Trebuchet MS"/>
          <w:sz w:val="24"/>
          <w:szCs w:val="24"/>
        </w:rPr>
        <w:t xml:space="preserve"> </w:t>
      </w:r>
      <w:proofErr w:type="spellStart"/>
      <w:r>
        <w:rPr>
          <w:rFonts w:ascii="Trebuchet MS" w:hAnsi="Trebuchet MS"/>
          <w:sz w:val="24"/>
          <w:szCs w:val="24"/>
        </w:rPr>
        <w:t>Mupfawa</w:t>
      </w:r>
      <w:proofErr w:type="spellEnd"/>
      <w:r>
        <w:rPr>
          <w:rFonts w:ascii="Trebuchet MS" w:hAnsi="Trebuchet MS"/>
          <w:sz w:val="24"/>
          <w:szCs w:val="24"/>
        </w:rPr>
        <w:t xml:space="preserve"> was called to present the case against the Applicant.  He did so and the committee had occasion to put questions to him.  </w:t>
      </w:r>
      <w:r w:rsidR="00CA728B">
        <w:rPr>
          <w:rFonts w:ascii="Trebuchet MS" w:hAnsi="Trebuchet MS"/>
          <w:sz w:val="24"/>
          <w:szCs w:val="24"/>
        </w:rPr>
        <w:t>T</w:t>
      </w:r>
      <w:r>
        <w:rPr>
          <w:rFonts w:ascii="Trebuchet MS" w:hAnsi="Trebuchet MS"/>
          <w:sz w:val="24"/>
          <w:szCs w:val="24"/>
        </w:rPr>
        <w:t xml:space="preserve">he committee found the Applicant guilty as charged.  Thereafter, the committee wrote to the Applicant’s counsel, on 9 October, 2012, inviting him to mitigate before they pass the penalty.  They gave him </w:t>
      </w:r>
      <w:r w:rsidR="000D4226">
        <w:rPr>
          <w:rFonts w:ascii="Trebuchet MS" w:hAnsi="Trebuchet MS"/>
          <w:sz w:val="24"/>
          <w:szCs w:val="24"/>
        </w:rPr>
        <w:t>up</w:t>
      </w:r>
      <w:r>
        <w:rPr>
          <w:rFonts w:ascii="Trebuchet MS" w:hAnsi="Trebuchet MS"/>
          <w:sz w:val="24"/>
          <w:szCs w:val="24"/>
        </w:rPr>
        <w:t xml:space="preserve"> to 15 October</w:t>
      </w:r>
      <w:r w:rsidR="000D4226">
        <w:rPr>
          <w:rFonts w:ascii="Trebuchet MS" w:hAnsi="Trebuchet MS"/>
          <w:sz w:val="24"/>
          <w:szCs w:val="24"/>
        </w:rPr>
        <w:t>, 2012</w:t>
      </w:r>
      <w:r>
        <w:rPr>
          <w:rFonts w:ascii="Trebuchet MS" w:hAnsi="Trebuchet MS"/>
          <w:sz w:val="24"/>
          <w:szCs w:val="24"/>
        </w:rPr>
        <w:t xml:space="preserve"> to do so.  On 15 October Counsel replied disputing part of the minutes.</w:t>
      </w:r>
      <w:r w:rsidR="003E130A">
        <w:rPr>
          <w:rFonts w:ascii="Trebuchet MS" w:hAnsi="Trebuchet MS"/>
          <w:sz w:val="24"/>
          <w:szCs w:val="24"/>
        </w:rPr>
        <w:t xml:space="preserve">  The Committee proceeded to determine the appropriate penalty and they decided to dismiss the Applicant.  The Applica</w:t>
      </w:r>
      <w:r w:rsidR="00345395">
        <w:rPr>
          <w:rFonts w:ascii="Trebuchet MS" w:hAnsi="Trebuchet MS"/>
          <w:sz w:val="24"/>
          <w:szCs w:val="24"/>
        </w:rPr>
        <w:t>nt</w:t>
      </w:r>
      <w:r w:rsidR="003E130A">
        <w:rPr>
          <w:rFonts w:ascii="Trebuchet MS" w:hAnsi="Trebuchet MS"/>
          <w:sz w:val="24"/>
          <w:szCs w:val="24"/>
        </w:rPr>
        <w:t xml:space="preserve"> appealed to the Managing Director and the appeal was dismissed.</w:t>
      </w:r>
    </w:p>
    <w:p w:rsidR="003D58FE" w:rsidRDefault="003D58FE" w:rsidP="000D4226">
      <w:pPr>
        <w:spacing w:line="360" w:lineRule="auto"/>
        <w:jc w:val="both"/>
        <w:rPr>
          <w:rFonts w:ascii="Trebuchet MS" w:hAnsi="Trebuchet MS"/>
          <w:sz w:val="24"/>
          <w:szCs w:val="24"/>
        </w:rPr>
      </w:pPr>
      <w:r>
        <w:rPr>
          <w:rFonts w:ascii="Trebuchet MS" w:hAnsi="Trebuchet MS"/>
          <w:sz w:val="24"/>
          <w:szCs w:val="24"/>
        </w:rPr>
        <w:tab/>
        <w:t xml:space="preserve">The </w:t>
      </w:r>
      <w:r w:rsidR="003E130A">
        <w:rPr>
          <w:rFonts w:ascii="Trebuchet MS" w:hAnsi="Trebuchet MS"/>
          <w:sz w:val="24"/>
          <w:szCs w:val="24"/>
        </w:rPr>
        <w:t xml:space="preserve">Applicant has </w:t>
      </w:r>
      <w:r w:rsidR="00BC6745">
        <w:rPr>
          <w:rFonts w:ascii="Trebuchet MS" w:hAnsi="Trebuchet MS"/>
          <w:sz w:val="24"/>
          <w:szCs w:val="24"/>
        </w:rPr>
        <w:t>applie</w:t>
      </w:r>
      <w:r w:rsidR="003E130A">
        <w:rPr>
          <w:rFonts w:ascii="Trebuchet MS" w:hAnsi="Trebuchet MS"/>
          <w:sz w:val="24"/>
          <w:szCs w:val="24"/>
        </w:rPr>
        <w:t xml:space="preserve">d to this Court for a review </w:t>
      </w:r>
      <w:r w:rsidR="00BC6745">
        <w:rPr>
          <w:rFonts w:ascii="Trebuchet MS" w:hAnsi="Trebuchet MS"/>
          <w:sz w:val="24"/>
          <w:szCs w:val="24"/>
        </w:rPr>
        <w:t>of the</w:t>
      </w:r>
      <w:r w:rsidR="003E130A">
        <w:rPr>
          <w:rFonts w:ascii="Trebuchet MS" w:hAnsi="Trebuchet MS"/>
          <w:sz w:val="24"/>
          <w:szCs w:val="24"/>
        </w:rPr>
        <w:t xml:space="preserve"> </w:t>
      </w:r>
      <w:r w:rsidR="00BC6745">
        <w:rPr>
          <w:rFonts w:ascii="Trebuchet MS" w:hAnsi="Trebuchet MS"/>
          <w:sz w:val="24"/>
          <w:szCs w:val="24"/>
        </w:rPr>
        <w:t xml:space="preserve">proceedings.  The </w:t>
      </w:r>
      <w:r>
        <w:rPr>
          <w:rFonts w:ascii="Trebuchet MS" w:hAnsi="Trebuchet MS"/>
          <w:sz w:val="24"/>
          <w:szCs w:val="24"/>
        </w:rPr>
        <w:t>facts are common cause.  The only dispute which surfaces for the first time in the communication of 15 October</w:t>
      </w:r>
      <w:r w:rsidR="000D4226">
        <w:rPr>
          <w:rFonts w:ascii="Trebuchet MS" w:hAnsi="Trebuchet MS"/>
          <w:sz w:val="24"/>
          <w:szCs w:val="24"/>
        </w:rPr>
        <w:t>, 2012</w:t>
      </w:r>
      <w:r>
        <w:rPr>
          <w:rFonts w:ascii="Trebuchet MS" w:hAnsi="Trebuchet MS"/>
          <w:sz w:val="24"/>
          <w:szCs w:val="24"/>
        </w:rPr>
        <w:t xml:space="preserve"> is if Applicant’s </w:t>
      </w:r>
      <w:r w:rsidR="000D4226">
        <w:rPr>
          <w:rFonts w:ascii="Trebuchet MS" w:hAnsi="Trebuchet MS"/>
          <w:sz w:val="24"/>
          <w:szCs w:val="24"/>
        </w:rPr>
        <w:t xml:space="preserve">counsel said </w:t>
      </w:r>
      <w:r w:rsidR="000D4226" w:rsidRPr="00431966">
        <w:rPr>
          <w:rFonts w:ascii="Bookman Old Style" w:hAnsi="Bookman Old Style"/>
          <w:i/>
          <w:sz w:val="20"/>
          <w:szCs w:val="20"/>
        </w:rPr>
        <w:t>“we will not</w:t>
      </w:r>
      <w:r w:rsidR="000D4226" w:rsidRPr="0048110C">
        <w:rPr>
          <w:rFonts w:ascii="Bookman Old Style" w:hAnsi="Bookman Old Style"/>
          <w:i/>
        </w:rPr>
        <w:t xml:space="preserve"> </w:t>
      </w:r>
      <w:r w:rsidR="000D4226" w:rsidRPr="00431966">
        <w:rPr>
          <w:rFonts w:ascii="Bookman Old Style" w:hAnsi="Bookman Old Style"/>
          <w:i/>
          <w:sz w:val="20"/>
          <w:szCs w:val="20"/>
        </w:rPr>
        <w:t>participate in the proceedings”</w:t>
      </w:r>
      <w:r w:rsidR="000D4226">
        <w:rPr>
          <w:rFonts w:ascii="Trebuchet MS" w:hAnsi="Trebuchet MS"/>
          <w:sz w:val="24"/>
          <w:szCs w:val="24"/>
        </w:rPr>
        <w:t xml:space="preserve"> and if Applicant and co</w:t>
      </w:r>
      <w:r w:rsidR="00210907">
        <w:rPr>
          <w:rFonts w:ascii="Trebuchet MS" w:hAnsi="Trebuchet MS"/>
          <w:sz w:val="24"/>
          <w:szCs w:val="24"/>
        </w:rPr>
        <w:t>unsel walked out together or were</w:t>
      </w:r>
      <w:r w:rsidR="00807129">
        <w:rPr>
          <w:rFonts w:ascii="Trebuchet MS" w:hAnsi="Trebuchet MS"/>
          <w:sz w:val="24"/>
          <w:szCs w:val="24"/>
        </w:rPr>
        <w:t xml:space="preserve"> excused </w:t>
      </w:r>
      <w:r w:rsidR="0005751B">
        <w:rPr>
          <w:rFonts w:ascii="Trebuchet MS" w:hAnsi="Trebuchet MS"/>
          <w:sz w:val="24"/>
          <w:szCs w:val="24"/>
        </w:rPr>
        <w:t>and expected to be called back to participate</w:t>
      </w:r>
      <w:r w:rsidR="003F6414">
        <w:rPr>
          <w:rFonts w:ascii="Trebuchet MS" w:hAnsi="Trebuchet MS"/>
          <w:sz w:val="24"/>
          <w:szCs w:val="24"/>
        </w:rPr>
        <w:t xml:space="preserve"> in the hearing</w:t>
      </w:r>
      <w:r w:rsidR="0005751B">
        <w:rPr>
          <w:rFonts w:ascii="Trebuchet MS" w:hAnsi="Trebuchet MS"/>
          <w:sz w:val="24"/>
          <w:szCs w:val="24"/>
        </w:rPr>
        <w:t>.</w:t>
      </w:r>
    </w:p>
    <w:p w:rsidR="0005751B" w:rsidRDefault="0005751B" w:rsidP="000D4226">
      <w:pPr>
        <w:spacing w:line="360" w:lineRule="auto"/>
        <w:jc w:val="both"/>
        <w:rPr>
          <w:rFonts w:ascii="Trebuchet MS" w:hAnsi="Trebuchet MS"/>
          <w:sz w:val="24"/>
          <w:szCs w:val="24"/>
        </w:rPr>
      </w:pPr>
      <w:r>
        <w:rPr>
          <w:rFonts w:ascii="Trebuchet MS" w:hAnsi="Trebuchet MS"/>
          <w:sz w:val="24"/>
          <w:szCs w:val="24"/>
        </w:rPr>
        <w:tab/>
        <w:t>The Applicant’s grounds for review are as follows:</w:t>
      </w:r>
    </w:p>
    <w:p w:rsidR="0005751B" w:rsidRDefault="00641F0C" w:rsidP="00206154">
      <w:pPr>
        <w:pStyle w:val="ListParagraph"/>
        <w:numPr>
          <w:ilvl w:val="0"/>
          <w:numId w:val="1"/>
        </w:numPr>
        <w:spacing w:line="360" w:lineRule="auto"/>
        <w:jc w:val="both"/>
        <w:rPr>
          <w:rFonts w:ascii="Bookman Old Style" w:hAnsi="Bookman Old Style"/>
          <w:i/>
          <w:sz w:val="20"/>
          <w:szCs w:val="20"/>
        </w:rPr>
      </w:pPr>
      <w:r w:rsidRPr="00641F0C">
        <w:rPr>
          <w:rFonts w:ascii="Bookman Old Style" w:hAnsi="Bookman Old Style"/>
          <w:i/>
          <w:sz w:val="20"/>
          <w:szCs w:val="20"/>
        </w:rPr>
        <w:t xml:space="preserve">The Disciplinary Committee was biased against the Applicant in that its panel comprised of people who had received an e-mail from the Managing Director (Appeals Authority) emphasizing that the disciplinary hearing was “pending dismissal" hence the hearing was a mere formality.  </w:t>
      </w:r>
      <w:r w:rsidR="00206154" w:rsidRPr="00641F0C">
        <w:rPr>
          <w:rFonts w:ascii="Bookman Old Style" w:hAnsi="Bookman Old Style"/>
          <w:i/>
          <w:sz w:val="20"/>
          <w:szCs w:val="20"/>
        </w:rPr>
        <w:t xml:space="preserve">The disciplinary committee thus erred in not </w:t>
      </w:r>
      <w:proofErr w:type="spellStart"/>
      <w:r w:rsidRPr="00641F0C">
        <w:rPr>
          <w:rFonts w:ascii="Bookman Old Style" w:hAnsi="Bookman Old Style"/>
          <w:i/>
          <w:sz w:val="20"/>
          <w:szCs w:val="20"/>
        </w:rPr>
        <w:t>recusing</w:t>
      </w:r>
      <w:proofErr w:type="spellEnd"/>
      <w:r w:rsidR="00206154" w:rsidRPr="00641F0C">
        <w:rPr>
          <w:rFonts w:ascii="Bookman Old Style" w:hAnsi="Bookman Old Style"/>
          <w:i/>
          <w:sz w:val="20"/>
          <w:szCs w:val="20"/>
        </w:rPr>
        <w:t xml:space="preserve"> itself despite noting that they had </w:t>
      </w:r>
      <w:r w:rsidRPr="00641F0C">
        <w:rPr>
          <w:rFonts w:ascii="Bookman Old Style" w:hAnsi="Bookman Old Style"/>
          <w:i/>
          <w:sz w:val="20"/>
          <w:szCs w:val="20"/>
        </w:rPr>
        <w:t>received</w:t>
      </w:r>
      <w:r w:rsidR="00206154" w:rsidRPr="00641F0C">
        <w:rPr>
          <w:rFonts w:ascii="Bookman Old Style" w:hAnsi="Bookman Old Style"/>
          <w:i/>
          <w:sz w:val="20"/>
          <w:szCs w:val="20"/>
        </w:rPr>
        <w:t xml:space="preserve"> the communication.</w:t>
      </w:r>
    </w:p>
    <w:p w:rsidR="00AF1543" w:rsidRPr="00641F0C" w:rsidRDefault="00AF1543" w:rsidP="00AF1543">
      <w:pPr>
        <w:pStyle w:val="ListParagraph"/>
        <w:spacing w:line="360" w:lineRule="auto"/>
        <w:jc w:val="both"/>
        <w:rPr>
          <w:rFonts w:ascii="Bookman Old Style" w:hAnsi="Bookman Old Style"/>
          <w:i/>
          <w:sz w:val="20"/>
          <w:szCs w:val="20"/>
        </w:rPr>
      </w:pPr>
    </w:p>
    <w:p w:rsidR="00206154" w:rsidRDefault="00206154" w:rsidP="00206154">
      <w:pPr>
        <w:pStyle w:val="ListParagraph"/>
        <w:numPr>
          <w:ilvl w:val="0"/>
          <w:numId w:val="1"/>
        </w:numPr>
        <w:spacing w:line="360" w:lineRule="auto"/>
        <w:jc w:val="both"/>
        <w:rPr>
          <w:rFonts w:ascii="Bookman Old Style" w:hAnsi="Bookman Old Style"/>
          <w:i/>
          <w:sz w:val="20"/>
          <w:szCs w:val="20"/>
        </w:rPr>
      </w:pPr>
      <w:r w:rsidRPr="00641F0C">
        <w:rPr>
          <w:rFonts w:ascii="Bookman Old Style" w:hAnsi="Bookman Old Style"/>
          <w:i/>
          <w:sz w:val="20"/>
          <w:szCs w:val="20"/>
        </w:rPr>
        <w:t xml:space="preserve">The disciplinary committee’s proceedings were grossly irregular in that they proceeded to deal with the matter on the merits before making a substantive ruling on the point in </w:t>
      </w:r>
      <w:proofErr w:type="spellStart"/>
      <w:r w:rsidRPr="00641F0C">
        <w:rPr>
          <w:rFonts w:ascii="Bookman Old Style" w:hAnsi="Bookman Old Style"/>
          <w:i/>
          <w:sz w:val="20"/>
          <w:szCs w:val="20"/>
        </w:rPr>
        <w:t>limine</w:t>
      </w:r>
      <w:proofErr w:type="spellEnd"/>
      <w:r w:rsidRPr="00641F0C">
        <w:rPr>
          <w:rFonts w:ascii="Bookman Old Style" w:hAnsi="Bookman Old Style"/>
          <w:i/>
          <w:sz w:val="20"/>
          <w:szCs w:val="20"/>
        </w:rPr>
        <w:t xml:space="preserve"> which had been raised by the Applicant.</w:t>
      </w:r>
    </w:p>
    <w:p w:rsidR="00AF1543" w:rsidRPr="00641F0C" w:rsidRDefault="00AF1543" w:rsidP="00AF1543">
      <w:pPr>
        <w:pStyle w:val="ListParagraph"/>
        <w:spacing w:line="360" w:lineRule="auto"/>
        <w:jc w:val="both"/>
        <w:rPr>
          <w:rFonts w:ascii="Bookman Old Style" w:hAnsi="Bookman Old Style"/>
          <w:i/>
          <w:sz w:val="20"/>
          <w:szCs w:val="20"/>
        </w:rPr>
      </w:pPr>
    </w:p>
    <w:p w:rsidR="00206154" w:rsidRDefault="00206154" w:rsidP="00206154">
      <w:pPr>
        <w:pStyle w:val="ListParagraph"/>
        <w:numPr>
          <w:ilvl w:val="0"/>
          <w:numId w:val="1"/>
        </w:numPr>
        <w:spacing w:line="360" w:lineRule="auto"/>
        <w:jc w:val="both"/>
        <w:rPr>
          <w:rFonts w:ascii="Bookman Old Style" w:hAnsi="Bookman Old Style"/>
          <w:i/>
          <w:sz w:val="20"/>
          <w:szCs w:val="20"/>
        </w:rPr>
      </w:pPr>
      <w:r w:rsidRPr="00641F0C">
        <w:rPr>
          <w:rFonts w:ascii="Bookman Old Style" w:hAnsi="Bookman Old Style"/>
          <w:i/>
          <w:sz w:val="20"/>
          <w:szCs w:val="20"/>
        </w:rPr>
        <w:t xml:space="preserve">The disciplinary hearing was grossly irregular in that it was conducted in the absence of the Applicant when the Applicant had actually been excused and was not advised that it would </w:t>
      </w:r>
      <w:r w:rsidR="00641F0C" w:rsidRPr="00641F0C">
        <w:rPr>
          <w:rFonts w:ascii="Bookman Old Style" w:hAnsi="Bookman Old Style"/>
          <w:i/>
          <w:sz w:val="20"/>
          <w:szCs w:val="20"/>
        </w:rPr>
        <w:t>proceed</w:t>
      </w:r>
      <w:r w:rsidRPr="00641F0C">
        <w:rPr>
          <w:rFonts w:ascii="Bookman Old Style" w:hAnsi="Bookman Old Style"/>
          <w:i/>
          <w:sz w:val="20"/>
          <w:szCs w:val="20"/>
        </w:rPr>
        <w:t xml:space="preserve"> in his absence.</w:t>
      </w:r>
    </w:p>
    <w:p w:rsidR="00AF1543" w:rsidRPr="00AF1543" w:rsidRDefault="00AF1543" w:rsidP="00AF1543">
      <w:pPr>
        <w:spacing w:line="360" w:lineRule="auto"/>
        <w:jc w:val="both"/>
        <w:rPr>
          <w:rFonts w:ascii="Bookman Old Style" w:hAnsi="Bookman Old Style"/>
          <w:i/>
          <w:sz w:val="20"/>
          <w:szCs w:val="20"/>
        </w:rPr>
      </w:pPr>
    </w:p>
    <w:p w:rsidR="00206154" w:rsidRPr="00641F0C" w:rsidRDefault="00206154" w:rsidP="00206154">
      <w:pPr>
        <w:pStyle w:val="ListParagraph"/>
        <w:numPr>
          <w:ilvl w:val="0"/>
          <w:numId w:val="1"/>
        </w:numPr>
        <w:spacing w:line="360" w:lineRule="auto"/>
        <w:jc w:val="both"/>
        <w:rPr>
          <w:rFonts w:ascii="Bookman Old Style" w:hAnsi="Bookman Old Style"/>
          <w:i/>
          <w:sz w:val="20"/>
          <w:szCs w:val="20"/>
        </w:rPr>
      </w:pPr>
      <w:r w:rsidRPr="00641F0C">
        <w:rPr>
          <w:rFonts w:ascii="Bookman Old Style" w:hAnsi="Bookman Old Style"/>
          <w:i/>
          <w:sz w:val="20"/>
          <w:szCs w:val="20"/>
        </w:rPr>
        <w:lastRenderedPageBreak/>
        <w:t>The Appeals authority was equally biased against the Applicant in that he proceeded to deal with a matter which he already had first hand information and had actually given directive to the disciplinary Committee to dismiss the Appellant.</w:t>
      </w:r>
    </w:p>
    <w:p w:rsidR="0005751B" w:rsidRDefault="0005751B" w:rsidP="000D4226">
      <w:pPr>
        <w:spacing w:line="360" w:lineRule="auto"/>
        <w:jc w:val="both"/>
        <w:rPr>
          <w:rFonts w:ascii="Trebuchet MS" w:hAnsi="Trebuchet MS"/>
          <w:sz w:val="24"/>
          <w:szCs w:val="24"/>
        </w:rPr>
      </w:pPr>
    </w:p>
    <w:p w:rsidR="00897D11" w:rsidRPr="000F6C9F" w:rsidRDefault="009F1F5D" w:rsidP="000D4226">
      <w:pPr>
        <w:spacing w:line="360" w:lineRule="auto"/>
        <w:jc w:val="both"/>
        <w:rPr>
          <w:rFonts w:ascii="Bookman Old Style" w:hAnsi="Bookman Old Style"/>
          <w:sz w:val="20"/>
          <w:szCs w:val="20"/>
        </w:rPr>
      </w:pPr>
      <w:r>
        <w:rPr>
          <w:rFonts w:ascii="Trebuchet MS" w:hAnsi="Trebuchet MS"/>
          <w:sz w:val="24"/>
          <w:szCs w:val="24"/>
        </w:rPr>
        <w:tab/>
        <w:t xml:space="preserve">The Court has considered the grounds of review.  </w:t>
      </w:r>
      <w:r w:rsidR="00980303">
        <w:rPr>
          <w:rFonts w:ascii="Trebuchet MS" w:hAnsi="Trebuchet MS"/>
          <w:sz w:val="24"/>
          <w:szCs w:val="24"/>
        </w:rPr>
        <w:t>Regarding G</w:t>
      </w:r>
      <w:r>
        <w:rPr>
          <w:rFonts w:ascii="Trebuchet MS" w:hAnsi="Trebuchet MS"/>
          <w:sz w:val="24"/>
          <w:szCs w:val="24"/>
        </w:rPr>
        <w:t xml:space="preserve">round </w:t>
      </w:r>
      <w:r w:rsidR="00980303">
        <w:rPr>
          <w:rFonts w:ascii="Trebuchet MS" w:hAnsi="Trebuchet MS"/>
          <w:sz w:val="24"/>
          <w:szCs w:val="24"/>
        </w:rPr>
        <w:t xml:space="preserve">of </w:t>
      </w:r>
      <w:r>
        <w:rPr>
          <w:rFonts w:ascii="Trebuchet MS" w:hAnsi="Trebuchet MS"/>
          <w:sz w:val="24"/>
          <w:szCs w:val="24"/>
        </w:rPr>
        <w:t xml:space="preserve">Review </w:t>
      </w:r>
      <w:r w:rsidR="008D6E3E">
        <w:rPr>
          <w:rFonts w:ascii="Trebuchet MS" w:hAnsi="Trebuchet MS"/>
          <w:sz w:val="24"/>
          <w:szCs w:val="24"/>
        </w:rPr>
        <w:t>number</w:t>
      </w:r>
      <w:r>
        <w:rPr>
          <w:rFonts w:ascii="Trebuchet MS" w:hAnsi="Trebuchet MS"/>
          <w:sz w:val="24"/>
          <w:szCs w:val="24"/>
        </w:rPr>
        <w:t xml:space="preserve"> 1 of bias because of </w:t>
      </w:r>
      <w:r w:rsidR="00B2323D">
        <w:rPr>
          <w:rFonts w:ascii="Trebuchet MS" w:hAnsi="Trebuchet MS"/>
          <w:sz w:val="24"/>
          <w:szCs w:val="24"/>
        </w:rPr>
        <w:t xml:space="preserve">the </w:t>
      </w:r>
      <w:r>
        <w:rPr>
          <w:rFonts w:ascii="Trebuchet MS" w:hAnsi="Trebuchet MS"/>
          <w:sz w:val="24"/>
          <w:szCs w:val="24"/>
        </w:rPr>
        <w:t>e-mail, the Court found that this was an Acting managing Directo</w:t>
      </w:r>
      <w:r w:rsidR="00B2323D">
        <w:rPr>
          <w:rFonts w:ascii="Trebuchet MS" w:hAnsi="Trebuchet MS"/>
          <w:sz w:val="24"/>
          <w:szCs w:val="24"/>
        </w:rPr>
        <w:t xml:space="preserve">r, not even the substantive one, </w:t>
      </w:r>
      <w:r>
        <w:rPr>
          <w:rFonts w:ascii="Trebuchet MS" w:hAnsi="Trebuchet MS"/>
          <w:sz w:val="24"/>
          <w:szCs w:val="24"/>
        </w:rPr>
        <w:t>who was writing to an Auditor giving her opinion on the allegations against the Applicant.  That alone does not mean the panel was biased.  The Applicant has to point to other</w:t>
      </w:r>
      <w:r w:rsidR="00D023DA">
        <w:rPr>
          <w:rFonts w:ascii="Trebuchet MS" w:hAnsi="Trebuchet MS"/>
          <w:sz w:val="24"/>
          <w:szCs w:val="24"/>
        </w:rPr>
        <w:t xml:space="preserve"> factors to confirm the bias.  In </w:t>
      </w:r>
      <w:r w:rsidR="00D023DA" w:rsidRPr="00897D11">
        <w:rPr>
          <w:rFonts w:ascii="Trebuchet MS" w:hAnsi="Trebuchet MS"/>
          <w:b/>
          <w:sz w:val="24"/>
          <w:szCs w:val="24"/>
        </w:rPr>
        <w:t>Ra</w:t>
      </w:r>
      <w:r w:rsidR="009843CA" w:rsidRPr="00897D11">
        <w:rPr>
          <w:rFonts w:ascii="Trebuchet MS" w:hAnsi="Trebuchet MS"/>
          <w:b/>
          <w:sz w:val="24"/>
          <w:szCs w:val="24"/>
        </w:rPr>
        <w:t>j</w:t>
      </w:r>
      <w:r w:rsidR="00D023DA" w:rsidRPr="00897D11">
        <w:rPr>
          <w:rFonts w:ascii="Trebuchet MS" w:hAnsi="Trebuchet MS"/>
          <w:b/>
          <w:sz w:val="24"/>
          <w:szCs w:val="24"/>
        </w:rPr>
        <w:t xml:space="preserve">ah and Rajah </w:t>
      </w:r>
      <w:r w:rsidR="00897D11">
        <w:rPr>
          <w:rFonts w:ascii="Trebuchet MS" w:hAnsi="Trebuchet MS"/>
          <w:b/>
          <w:sz w:val="24"/>
          <w:szCs w:val="24"/>
        </w:rPr>
        <w:t>(</w:t>
      </w:r>
      <w:proofErr w:type="spellStart"/>
      <w:r w:rsidR="00897D11">
        <w:rPr>
          <w:rFonts w:ascii="Trebuchet MS" w:hAnsi="Trebuchet MS"/>
          <w:b/>
          <w:sz w:val="24"/>
          <w:szCs w:val="24"/>
        </w:rPr>
        <w:t>Pvt</w:t>
      </w:r>
      <w:proofErr w:type="spellEnd"/>
      <w:r w:rsidR="00897D11">
        <w:rPr>
          <w:rFonts w:ascii="Trebuchet MS" w:hAnsi="Trebuchet MS"/>
          <w:b/>
          <w:sz w:val="24"/>
          <w:szCs w:val="24"/>
        </w:rPr>
        <w:t xml:space="preserve">) Ltd and others </w:t>
      </w:r>
      <w:proofErr w:type="spellStart"/>
      <w:r w:rsidR="00897D11">
        <w:rPr>
          <w:rFonts w:ascii="Trebuchet MS" w:hAnsi="Trebuchet MS"/>
          <w:b/>
          <w:sz w:val="24"/>
          <w:szCs w:val="24"/>
        </w:rPr>
        <w:t>vs</w:t>
      </w:r>
      <w:proofErr w:type="spellEnd"/>
      <w:r w:rsidR="00897D11">
        <w:rPr>
          <w:rFonts w:ascii="Trebuchet MS" w:hAnsi="Trebuchet MS"/>
          <w:b/>
          <w:sz w:val="24"/>
          <w:szCs w:val="24"/>
        </w:rPr>
        <w:t xml:space="preserve"> </w:t>
      </w:r>
      <w:proofErr w:type="spellStart"/>
      <w:r w:rsidR="00897D11">
        <w:rPr>
          <w:rFonts w:ascii="Trebuchet MS" w:hAnsi="Trebuchet MS"/>
          <w:b/>
          <w:sz w:val="24"/>
          <w:szCs w:val="24"/>
        </w:rPr>
        <w:t>Ventersdrop</w:t>
      </w:r>
      <w:proofErr w:type="spellEnd"/>
      <w:r w:rsidR="00897D11">
        <w:rPr>
          <w:rFonts w:ascii="Trebuchet MS" w:hAnsi="Trebuchet MS"/>
          <w:b/>
          <w:sz w:val="24"/>
          <w:szCs w:val="24"/>
        </w:rPr>
        <w:t xml:space="preserve"> Municipality and O</w:t>
      </w:r>
      <w:r w:rsidR="00D023DA" w:rsidRPr="00897D11">
        <w:rPr>
          <w:rFonts w:ascii="Trebuchet MS" w:hAnsi="Trebuchet MS"/>
          <w:b/>
          <w:sz w:val="24"/>
          <w:szCs w:val="24"/>
        </w:rPr>
        <w:t>thers 1961 (4) 402 AD</w:t>
      </w:r>
      <w:r w:rsidR="00897D11" w:rsidRPr="00897D11">
        <w:rPr>
          <w:rFonts w:ascii="Trebuchet MS" w:hAnsi="Trebuchet MS"/>
          <w:b/>
          <w:sz w:val="24"/>
          <w:szCs w:val="24"/>
        </w:rPr>
        <w:t xml:space="preserve"> (407H to 408 B), Holmes J.A </w:t>
      </w:r>
      <w:r w:rsidR="00897D11">
        <w:rPr>
          <w:rFonts w:ascii="Trebuchet MS" w:hAnsi="Trebuchet MS"/>
          <w:sz w:val="24"/>
          <w:szCs w:val="24"/>
        </w:rPr>
        <w:t xml:space="preserve">said </w:t>
      </w:r>
      <w:r w:rsidR="00897D11" w:rsidRPr="00431966">
        <w:rPr>
          <w:rFonts w:ascii="Bookman Old Style" w:hAnsi="Bookman Old Style"/>
          <w:i/>
          <w:sz w:val="20"/>
          <w:szCs w:val="20"/>
        </w:rPr>
        <w:t>“Now I think it is clear that the Court will not interfere on review with the decision of a quasi-judicial tribunal where there has been an irregularity, if satisfied that the complaining</w:t>
      </w:r>
      <w:r w:rsidR="00897D11" w:rsidRPr="00431966">
        <w:rPr>
          <w:rFonts w:ascii="Bookman Old Style" w:hAnsi="Bookman Old Style"/>
          <w:sz w:val="20"/>
          <w:szCs w:val="20"/>
        </w:rPr>
        <w:t xml:space="preserve"> </w:t>
      </w:r>
      <w:r w:rsidR="00897D11" w:rsidRPr="00431966">
        <w:rPr>
          <w:rFonts w:ascii="Bookman Old Style" w:hAnsi="Bookman Old Style"/>
          <w:i/>
          <w:sz w:val="20"/>
          <w:szCs w:val="20"/>
        </w:rPr>
        <w:t>party has suffered no prejudice.”</w:t>
      </w:r>
      <w:r w:rsidR="000F6C9F">
        <w:rPr>
          <w:rFonts w:ascii="Bookman Old Style" w:hAnsi="Bookman Old Style"/>
          <w:sz w:val="20"/>
          <w:szCs w:val="20"/>
        </w:rPr>
        <w:t xml:space="preserve">  </w:t>
      </w:r>
      <w:r w:rsidR="00897D11">
        <w:rPr>
          <w:rFonts w:ascii="Trebuchet MS" w:hAnsi="Trebuchet MS"/>
          <w:sz w:val="24"/>
          <w:szCs w:val="24"/>
        </w:rPr>
        <w:t>So the law is that even if the e-mail created an irregularity for the Court to set aside the proceedings the Applicant has to show that he has suffered prejudice.  This means the Applicant, after the ruling should have participated in the hearing and be on the lookout for any bias to his prejudice and if it was there, then reveal it to the Court</w:t>
      </w:r>
      <w:r w:rsidR="00091813">
        <w:rPr>
          <w:rFonts w:ascii="Trebuchet MS" w:hAnsi="Trebuchet MS"/>
          <w:sz w:val="24"/>
          <w:szCs w:val="24"/>
        </w:rPr>
        <w:t xml:space="preserve"> now on appeal</w:t>
      </w:r>
      <w:r w:rsidR="00897D11">
        <w:rPr>
          <w:rFonts w:ascii="Trebuchet MS" w:hAnsi="Trebuchet MS"/>
          <w:sz w:val="24"/>
          <w:szCs w:val="24"/>
        </w:rPr>
        <w:t>.</w:t>
      </w:r>
    </w:p>
    <w:p w:rsidR="00AC0EA6" w:rsidRDefault="00897D11" w:rsidP="000D4226">
      <w:pPr>
        <w:spacing w:line="360" w:lineRule="auto"/>
        <w:jc w:val="both"/>
        <w:rPr>
          <w:rFonts w:ascii="Trebuchet MS" w:hAnsi="Trebuchet MS"/>
          <w:sz w:val="24"/>
          <w:szCs w:val="24"/>
        </w:rPr>
      </w:pPr>
      <w:r>
        <w:rPr>
          <w:rFonts w:ascii="Trebuchet MS" w:hAnsi="Trebuchet MS"/>
          <w:sz w:val="24"/>
          <w:szCs w:val="24"/>
        </w:rPr>
        <w:tab/>
        <w:t>In any event the Committee asked if the Applicant wanted the committee replaced by other members and the Applicant’s response was that the whole company was biased so he was suggesting that</w:t>
      </w:r>
      <w:r w:rsidR="000F6C9F">
        <w:rPr>
          <w:rFonts w:ascii="Trebuchet MS" w:hAnsi="Trebuchet MS"/>
          <w:sz w:val="24"/>
          <w:szCs w:val="24"/>
        </w:rPr>
        <w:t xml:space="preserve"> no one at t</w:t>
      </w:r>
      <w:r w:rsidR="0058444A">
        <w:rPr>
          <w:rFonts w:ascii="Trebuchet MS" w:hAnsi="Trebuchet MS"/>
          <w:sz w:val="24"/>
          <w:szCs w:val="24"/>
        </w:rPr>
        <w:t>he company could discipline him.</w:t>
      </w:r>
      <w:r w:rsidR="000F6C9F">
        <w:rPr>
          <w:rFonts w:ascii="Trebuchet MS" w:hAnsi="Trebuchet MS"/>
          <w:sz w:val="24"/>
          <w:szCs w:val="24"/>
        </w:rPr>
        <w:t xml:space="preserve">  The second ground is without merit because it is clear from the record that the committee ruled against the Applicant’s objections and said the hearing should </w:t>
      </w:r>
      <w:proofErr w:type="gramStart"/>
      <w:r w:rsidR="000F6C9F">
        <w:rPr>
          <w:rFonts w:ascii="Trebuchet MS" w:hAnsi="Trebuchet MS"/>
          <w:sz w:val="24"/>
          <w:szCs w:val="24"/>
        </w:rPr>
        <w:t>proceed</w:t>
      </w:r>
      <w:proofErr w:type="gramEnd"/>
      <w:r w:rsidR="000F6C9F">
        <w:rPr>
          <w:rFonts w:ascii="Trebuchet MS" w:hAnsi="Trebuchet MS"/>
          <w:sz w:val="24"/>
          <w:szCs w:val="24"/>
        </w:rPr>
        <w:t>.</w:t>
      </w:r>
      <w:r w:rsidR="006D7236">
        <w:rPr>
          <w:rFonts w:ascii="Trebuchet MS" w:hAnsi="Trebuchet MS"/>
          <w:sz w:val="24"/>
          <w:szCs w:val="24"/>
        </w:rPr>
        <w:t xml:space="preserve">  As regards the third ground of review</w:t>
      </w:r>
      <w:r w:rsidR="00B87F8F">
        <w:rPr>
          <w:rFonts w:ascii="Trebuchet MS" w:hAnsi="Trebuchet MS"/>
          <w:sz w:val="24"/>
          <w:szCs w:val="24"/>
        </w:rPr>
        <w:t>, t</w:t>
      </w:r>
      <w:r w:rsidR="000F6C9F">
        <w:rPr>
          <w:rFonts w:ascii="Trebuchet MS" w:hAnsi="Trebuchet MS"/>
          <w:sz w:val="24"/>
          <w:szCs w:val="24"/>
        </w:rPr>
        <w:t>here is a dispute on</w:t>
      </w:r>
      <w:r w:rsidR="00DC25E2">
        <w:rPr>
          <w:rFonts w:ascii="Trebuchet MS" w:hAnsi="Trebuchet MS"/>
          <w:sz w:val="24"/>
          <w:szCs w:val="24"/>
        </w:rPr>
        <w:t xml:space="preserve"> whether the Applicant and his Legal P</w:t>
      </w:r>
      <w:r w:rsidR="000F6C9F">
        <w:rPr>
          <w:rFonts w:ascii="Trebuchet MS" w:hAnsi="Trebuchet MS"/>
          <w:sz w:val="24"/>
          <w:szCs w:val="24"/>
        </w:rPr>
        <w:t>ractitioner were excused or they walked out and refused to participate.  The Applicant alleges that they were excused and were never told that the case would proc</w:t>
      </w:r>
      <w:r w:rsidR="00DC25E2">
        <w:rPr>
          <w:rFonts w:ascii="Trebuchet MS" w:hAnsi="Trebuchet MS"/>
          <w:sz w:val="24"/>
          <w:szCs w:val="24"/>
        </w:rPr>
        <w:t>eed in their absence while the R</w:t>
      </w:r>
      <w:r w:rsidR="000F6C9F">
        <w:rPr>
          <w:rFonts w:ascii="Trebuchet MS" w:hAnsi="Trebuchet MS"/>
          <w:sz w:val="24"/>
          <w:szCs w:val="24"/>
        </w:rPr>
        <w:t xml:space="preserve">espondent says when the committee ruled that it would </w:t>
      </w:r>
      <w:proofErr w:type="gramStart"/>
      <w:r w:rsidR="0058444A">
        <w:rPr>
          <w:rFonts w:ascii="Trebuchet MS" w:hAnsi="Trebuchet MS"/>
          <w:sz w:val="24"/>
          <w:szCs w:val="24"/>
        </w:rPr>
        <w:t>proceed</w:t>
      </w:r>
      <w:proofErr w:type="gramEnd"/>
      <w:r w:rsidR="000F6C9F">
        <w:rPr>
          <w:rFonts w:ascii="Trebuchet MS" w:hAnsi="Trebuchet MS"/>
          <w:sz w:val="24"/>
          <w:szCs w:val="24"/>
        </w:rPr>
        <w:t xml:space="preserve"> the Appellant and his lawyer refused to be involved and walked out.  The Court finds that the</w:t>
      </w:r>
      <w:r w:rsidR="00B9723E">
        <w:rPr>
          <w:rFonts w:ascii="Trebuchet MS" w:hAnsi="Trebuchet MS"/>
          <w:sz w:val="24"/>
          <w:szCs w:val="24"/>
        </w:rPr>
        <w:t xml:space="preserve"> Respondent’s explanation is more</w:t>
      </w:r>
      <w:r w:rsidR="000F6C9F">
        <w:rPr>
          <w:rFonts w:ascii="Trebuchet MS" w:hAnsi="Trebuchet MS"/>
          <w:sz w:val="24"/>
          <w:szCs w:val="24"/>
        </w:rPr>
        <w:t xml:space="preserve"> probable than the Applicant’s.  The hearing was on 28 September, 2012 and the Applicant appeared initially and objected to the composition of the committee, alleging bias.</w:t>
      </w:r>
      <w:r w:rsidR="00B7466E">
        <w:rPr>
          <w:rFonts w:ascii="Trebuchet MS" w:hAnsi="Trebuchet MS"/>
          <w:sz w:val="24"/>
          <w:szCs w:val="24"/>
        </w:rPr>
        <w:t xml:space="preserve">  </w:t>
      </w:r>
      <w:r w:rsidR="000F6C9F">
        <w:rPr>
          <w:rFonts w:ascii="Trebuchet MS" w:hAnsi="Trebuchet MS"/>
          <w:sz w:val="24"/>
          <w:szCs w:val="24"/>
        </w:rPr>
        <w:t xml:space="preserve">Thereafter, there was no follow up from him or his lawyer on the issue.  On 9 October, 2012 the committee then </w:t>
      </w:r>
      <w:r w:rsidR="000F6C9F">
        <w:rPr>
          <w:rFonts w:ascii="Trebuchet MS" w:hAnsi="Trebuchet MS"/>
          <w:sz w:val="24"/>
          <w:szCs w:val="24"/>
        </w:rPr>
        <w:lastRenderedPageBreak/>
        <w:t xml:space="preserve">wrote to his lawyers informing them of the guilty verdict and inviting mitigation.  </w:t>
      </w:r>
      <w:r w:rsidR="006C203B">
        <w:rPr>
          <w:rFonts w:ascii="Trebuchet MS" w:hAnsi="Trebuchet MS"/>
          <w:sz w:val="24"/>
          <w:szCs w:val="24"/>
        </w:rPr>
        <w:t>The lawyer h</w:t>
      </w:r>
      <w:r w:rsidR="000F6C9F">
        <w:rPr>
          <w:rFonts w:ascii="Trebuchet MS" w:hAnsi="Trebuchet MS"/>
          <w:sz w:val="24"/>
          <w:szCs w:val="24"/>
        </w:rPr>
        <w:t xml:space="preserve">e did not raise alarm or </w:t>
      </w:r>
      <w:r w:rsidR="002A2B8C">
        <w:rPr>
          <w:rFonts w:ascii="Trebuchet MS" w:hAnsi="Trebuchet MS"/>
          <w:sz w:val="24"/>
          <w:szCs w:val="24"/>
        </w:rPr>
        <w:t>immediately react</w:t>
      </w:r>
      <w:r w:rsidR="000F6C9F">
        <w:rPr>
          <w:rFonts w:ascii="Trebuchet MS" w:hAnsi="Trebuchet MS"/>
          <w:sz w:val="24"/>
          <w:szCs w:val="24"/>
        </w:rPr>
        <w:t>, until on 15 October, 2012, the deadline given by the committee.  All the Applicant did was to verbally request for the minutes of the hearing.</w:t>
      </w:r>
      <w:r w:rsidR="00982920">
        <w:rPr>
          <w:rFonts w:ascii="Trebuchet MS" w:hAnsi="Trebuchet MS"/>
          <w:sz w:val="24"/>
          <w:szCs w:val="24"/>
        </w:rPr>
        <w:t xml:space="preserve">  </w:t>
      </w:r>
      <w:r w:rsidR="008D6E3E">
        <w:rPr>
          <w:rFonts w:ascii="Trebuchet MS" w:hAnsi="Trebuchet MS"/>
          <w:sz w:val="24"/>
          <w:szCs w:val="24"/>
        </w:rPr>
        <w:t>The</w:t>
      </w:r>
      <w:r w:rsidR="00AC0EA6">
        <w:rPr>
          <w:rFonts w:ascii="Trebuchet MS" w:hAnsi="Trebuchet MS"/>
          <w:sz w:val="24"/>
          <w:szCs w:val="24"/>
        </w:rPr>
        <w:t xml:space="preserve"> request for the minutes is consistent with a party who know</w:t>
      </w:r>
      <w:r w:rsidR="00CC3FD6">
        <w:rPr>
          <w:rFonts w:ascii="Trebuchet MS" w:hAnsi="Trebuchet MS"/>
          <w:sz w:val="24"/>
          <w:szCs w:val="24"/>
        </w:rPr>
        <w:t>s</w:t>
      </w:r>
      <w:r w:rsidR="00AC0EA6">
        <w:rPr>
          <w:rFonts w:ascii="Trebuchet MS" w:hAnsi="Trebuchet MS"/>
          <w:sz w:val="24"/>
          <w:szCs w:val="24"/>
        </w:rPr>
        <w:t xml:space="preserve"> that a hearing took place </w:t>
      </w:r>
      <w:r w:rsidR="00CC3FD6">
        <w:rPr>
          <w:rFonts w:ascii="Trebuchet MS" w:hAnsi="Trebuchet MS"/>
          <w:sz w:val="24"/>
          <w:szCs w:val="24"/>
        </w:rPr>
        <w:t>although he was absent</w:t>
      </w:r>
      <w:r w:rsidR="00AC0EA6">
        <w:rPr>
          <w:rFonts w:ascii="Trebuchet MS" w:hAnsi="Trebuchet MS"/>
          <w:sz w:val="24"/>
          <w:szCs w:val="24"/>
        </w:rPr>
        <w:t xml:space="preserve"> and minutes were recorded.  In their letter of 15 October, 2012, the legal practitioner started disputing the minutes.  </w:t>
      </w:r>
      <w:r w:rsidR="00A9642F">
        <w:rPr>
          <w:rFonts w:ascii="Trebuchet MS" w:hAnsi="Trebuchet MS"/>
          <w:sz w:val="24"/>
          <w:szCs w:val="24"/>
        </w:rPr>
        <w:t xml:space="preserve">He denied saying they </w:t>
      </w:r>
      <w:r w:rsidR="00A9642F" w:rsidRPr="005F207D">
        <w:rPr>
          <w:rFonts w:ascii="Bookman Old Style" w:hAnsi="Bookman Old Style"/>
          <w:i/>
          <w:sz w:val="20"/>
          <w:szCs w:val="20"/>
        </w:rPr>
        <w:t xml:space="preserve">“will not be part of this </w:t>
      </w:r>
      <w:r w:rsidR="001D159E" w:rsidRPr="005F207D">
        <w:rPr>
          <w:rFonts w:ascii="Bookman Old Style" w:hAnsi="Bookman Old Style"/>
          <w:i/>
          <w:sz w:val="20"/>
          <w:szCs w:val="20"/>
        </w:rPr>
        <w:t>proceedings”</w:t>
      </w:r>
      <w:r w:rsidR="001D159E">
        <w:rPr>
          <w:rFonts w:ascii="Trebuchet MS" w:hAnsi="Trebuchet MS"/>
          <w:sz w:val="24"/>
          <w:szCs w:val="24"/>
        </w:rPr>
        <w:t xml:space="preserve"> but</w:t>
      </w:r>
      <w:r w:rsidR="00A9642F">
        <w:rPr>
          <w:rFonts w:ascii="Trebuchet MS" w:hAnsi="Trebuchet MS"/>
          <w:sz w:val="24"/>
          <w:szCs w:val="24"/>
        </w:rPr>
        <w:t xml:space="preserve"> </w:t>
      </w:r>
      <w:r w:rsidR="001D159E">
        <w:rPr>
          <w:rFonts w:ascii="Trebuchet MS" w:hAnsi="Trebuchet MS"/>
          <w:sz w:val="24"/>
          <w:szCs w:val="24"/>
        </w:rPr>
        <w:t>admitted</w:t>
      </w:r>
      <w:r w:rsidR="00A9642F">
        <w:rPr>
          <w:rFonts w:ascii="Trebuchet MS" w:hAnsi="Trebuchet MS"/>
          <w:sz w:val="24"/>
          <w:szCs w:val="24"/>
        </w:rPr>
        <w:t xml:space="preserve"> saying </w:t>
      </w:r>
      <w:r w:rsidR="00A9642F" w:rsidRPr="005F207D">
        <w:rPr>
          <w:rFonts w:ascii="Bookman Old Style" w:hAnsi="Bookman Old Style"/>
          <w:i/>
          <w:sz w:val="20"/>
          <w:szCs w:val="20"/>
        </w:rPr>
        <w:t>“they had</w:t>
      </w:r>
      <w:r w:rsidR="00A9642F">
        <w:rPr>
          <w:rFonts w:ascii="Trebuchet MS" w:hAnsi="Trebuchet MS"/>
          <w:sz w:val="24"/>
          <w:szCs w:val="24"/>
        </w:rPr>
        <w:t xml:space="preserve"> </w:t>
      </w:r>
      <w:r w:rsidR="00A9642F" w:rsidRPr="005F207D">
        <w:rPr>
          <w:rFonts w:ascii="Bookman Old Style" w:hAnsi="Bookman Old Style"/>
          <w:i/>
          <w:sz w:val="20"/>
          <w:szCs w:val="20"/>
        </w:rPr>
        <w:t>no confidence in the proceedings.”</w:t>
      </w:r>
      <w:r w:rsidR="00A9642F">
        <w:rPr>
          <w:rFonts w:ascii="Trebuchet MS" w:hAnsi="Trebuchet MS"/>
          <w:sz w:val="24"/>
          <w:szCs w:val="24"/>
        </w:rPr>
        <w:t xml:space="preserve">  But the legal practitioner does not dispute what is on the 2</w:t>
      </w:r>
      <w:r w:rsidR="00A9642F" w:rsidRPr="00A9642F">
        <w:rPr>
          <w:rFonts w:ascii="Trebuchet MS" w:hAnsi="Trebuchet MS"/>
          <w:sz w:val="24"/>
          <w:szCs w:val="24"/>
          <w:vertAlign w:val="superscript"/>
        </w:rPr>
        <w:t>nd</w:t>
      </w:r>
      <w:r w:rsidR="00A9642F">
        <w:rPr>
          <w:rFonts w:ascii="Trebuchet MS" w:hAnsi="Trebuchet MS"/>
          <w:sz w:val="24"/>
          <w:szCs w:val="24"/>
        </w:rPr>
        <w:t xml:space="preserve"> and 3</w:t>
      </w:r>
      <w:r w:rsidR="00A9642F" w:rsidRPr="00A9642F">
        <w:rPr>
          <w:rFonts w:ascii="Trebuchet MS" w:hAnsi="Trebuchet MS"/>
          <w:sz w:val="24"/>
          <w:szCs w:val="24"/>
          <w:vertAlign w:val="superscript"/>
        </w:rPr>
        <w:t>rd</w:t>
      </w:r>
      <w:r w:rsidR="00A9642F">
        <w:rPr>
          <w:rFonts w:ascii="Trebuchet MS" w:hAnsi="Trebuchet MS"/>
          <w:sz w:val="24"/>
          <w:szCs w:val="24"/>
        </w:rPr>
        <w:t xml:space="preserve"> page of the minutes where it is clearly recorded that Applicant and his lawyer were excused briefly, then called back and advised that the committee had </w:t>
      </w:r>
      <w:r w:rsidR="00B93C2A">
        <w:rPr>
          <w:rFonts w:ascii="Trebuchet MS" w:hAnsi="Trebuchet MS"/>
          <w:sz w:val="24"/>
          <w:szCs w:val="24"/>
        </w:rPr>
        <w:t xml:space="preserve">resolved to </w:t>
      </w:r>
      <w:r w:rsidR="008D6E3E">
        <w:rPr>
          <w:rFonts w:ascii="Trebuchet MS" w:hAnsi="Trebuchet MS"/>
          <w:sz w:val="24"/>
          <w:szCs w:val="24"/>
        </w:rPr>
        <w:t>proceed</w:t>
      </w:r>
      <w:r w:rsidR="00B93C2A">
        <w:rPr>
          <w:rFonts w:ascii="Trebuchet MS" w:hAnsi="Trebuchet MS"/>
          <w:sz w:val="24"/>
          <w:szCs w:val="24"/>
        </w:rPr>
        <w:t xml:space="preserve"> with the hearing.  It appears </w:t>
      </w:r>
      <w:r w:rsidR="008D6E3E">
        <w:rPr>
          <w:rFonts w:ascii="Trebuchet MS" w:hAnsi="Trebuchet MS"/>
          <w:sz w:val="24"/>
          <w:szCs w:val="24"/>
        </w:rPr>
        <w:t>Applicant’s</w:t>
      </w:r>
      <w:r w:rsidR="00B93C2A">
        <w:rPr>
          <w:rFonts w:ascii="Trebuchet MS" w:hAnsi="Trebuchet MS"/>
          <w:sz w:val="24"/>
          <w:szCs w:val="24"/>
        </w:rPr>
        <w:t xml:space="preserve"> </w:t>
      </w:r>
      <w:r w:rsidR="006529E4">
        <w:rPr>
          <w:rFonts w:ascii="Trebuchet MS" w:hAnsi="Trebuchet MS"/>
          <w:sz w:val="24"/>
          <w:szCs w:val="24"/>
        </w:rPr>
        <w:t xml:space="preserve">legal practitioner wanted to force the Committee to rule in his </w:t>
      </w:r>
      <w:proofErr w:type="spellStart"/>
      <w:r w:rsidR="006529E4">
        <w:rPr>
          <w:rFonts w:ascii="Trebuchet MS" w:hAnsi="Trebuchet MS"/>
          <w:sz w:val="24"/>
          <w:szCs w:val="24"/>
        </w:rPr>
        <w:t>favour</w:t>
      </w:r>
      <w:proofErr w:type="spellEnd"/>
      <w:r w:rsidR="006529E4">
        <w:rPr>
          <w:rFonts w:ascii="Trebuchet MS" w:hAnsi="Trebuchet MS"/>
          <w:sz w:val="24"/>
          <w:szCs w:val="24"/>
        </w:rPr>
        <w:t xml:space="preserve"> and when the Committee stood its ground, they left the room, but that was long after the committee had ruled on the Applicant’s objection and said they would proceed.  The Court therefore accepts the </w:t>
      </w:r>
      <w:r w:rsidR="008D6E3E">
        <w:rPr>
          <w:rFonts w:ascii="Trebuchet MS" w:hAnsi="Trebuchet MS"/>
          <w:sz w:val="24"/>
          <w:szCs w:val="24"/>
        </w:rPr>
        <w:t>committee’s</w:t>
      </w:r>
      <w:r w:rsidR="006529E4">
        <w:rPr>
          <w:rFonts w:ascii="Trebuchet MS" w:hAnsi="Trebuchet MS"/>
          <w:sz w:val="24"/>
          <w:szCs w:val="24"/>
        </w:rPr>
        <w:t xml:space="preserve"> version of events as correct and </w:t>
      </w:r>
      <w:r w:rsidR="008D6E3E">
        <w:rPr>
          <w:rFonts w:ascii="Trebuchet MS" w:hAnsi="Trebuchet MS"/>
          <w:sz w:val="24"/>
          <w:szCs w:val="24"/>
        </w:rPr>
        <w:t>finds</w:t>
      </w:r>
      <w:r w:rsidR="006529E4">
        <w:rPr>
          <w:rFonts w:ascii="Trebuchet MS" w:hAnsi="Trebuchet MS"/>
          <w:sz w:val="24"/>
          <w:szCs w:val="24"/>
        </w:rPr>
        <w:t xml:space="preserve"> that the Applicant and his legal practitioner left the hearing of their own accord, </w:t>
      </w:r>
      <w:r w:rsidR="00876CB8">
        <w:rPr>
          <w:rFonts w:ascii="Trebuchet MS" w:hAnsi="Trebuchet MS"/>
          <w:sz w:val="24"/>
          <w:szCs w:val="24"/>
        </w:rPr>
        <w:t>knowing that the hearing would proceed</w:t>
      </w:r>
      <w:r w:rsidR="006529E4">
        <w:rPr>
          <w:rFonts w:ascii="Trebuchet MS" w:hAnsi="Trebuchet MS"/>
          <w:sz w:val="24"/>
          <w:szCs w:val="24"/>
        </w:rPr>
        <w:t xml:space="preserve"> in their absence.  </w:t>
      </w:r>
      <w:r w:rsidR="00876CB8">
        <w:rPr>
          <w:rFonts w:ascii="Trebuchet MS" w:hAnsi="Trebuchet MS"/>
          <w:sz w:val="24"/>
          <w:szCs w:val="24"/>
        </w:rPr>
        <w:t>The Applicant</w:t>
      </w:r>
      <w:r w:rsidR="006529E4">
        <w:rPr>
          <w:rFonts w:ascii="Trebuchet MS" w:hAnsi="Trebuchet MS"/>
          <w:sz w:val="24"/>
          <w:szCs w:val="24"/>
        </w:rPr>
        <w:t xml:space="preserve"> was given the right to be heard but he chose to exercise his right to remain silent to the allegations against him.</w:t>
      </w:r>
    </w:p>
    <w:p w:rsidR="006529E4" w:rsidRDefault="006529E4" w:rsidP="000D4226">
      <w:pPr>
        <w:spacing w:line="360" w:lineRule="auto"/>
        <w:jc w:val="both"/>
        <w:rPr>
          <w:rFonts w:ascii="Trebuchet MS" w:hAnsi="Trebuchet MS"/>
          <w:sz w:val="24"/>
          <w:szCs w:val="24"/>
        </w:rPr>
      </w:pPr>
      <w:r>
        <w:rPr>
          <w:rFonts w:ascii="Trebuchet MS" w:hAnsi="Trebuchet MS"/>
          <w:sz w:val="24"/>
          <w:szCs w:val="24"/>
        </w:rPr>
        <w:tab/>
        <w:t xml:space="preserve">The fourth ground of appeal has no merit because as stated in the Respondent’s Heads of Argument in paragraph 12, the Appeals Authority was not the author of the e-mail, but superior to the author of the e-mail.  It was not copied the e-mail and no evidence was adduced to show that it too would </w:t>
      </w:r>
      <w:r w:rsidR="00E57207">
        <w:rPr>
          <w:rFonts w:ascii="Trebuchet MS" w:hAnsi="Trebuchet MS"/>
          <w:sz w:val="24"/>
          <w:szCs w:val="24"/>
        </w:rPr>
        <w:t xml:space="preserve">have </w:t>
      </w:r>
      <w:r>
        <w:rPr>
          <w:rFonts w:ascii="Trebuchet MS" w:hAnsi="Trebuchet MS"/>
          <w:sz w:val="24"/>
          <w:szCs w:val="24"/>
        </w:rPr>
        <w:t>be</w:t>
      </w:r>
      <w:r w:rsidR="00E57207">
        <w:rPr>
          <w:rFonts w:ascii="Trebuchet MS" w:hAnsi="Trebuchet MS"/>
          <w:sz w:val="24"/>
          <w:szCs w:val="24"/>
        </w:rPr>
        <w:t>en</w:t>
      </w:r>
      <w:r>
        <w:rPr>
          <w:rFonts w:ascii="Trebuchet MS" w:hAnsi="Trebuchet MS"/>
          <w:sz w:val="24"/>
          <w:szCs w:val="24"/>
        </w:rPr>
        <w:t xml:space="preserve"> biased.</w:t>
      </w:r>
    </w:p>
    <w:p w:rsidR="006529E4" w:rsidRDefault="006529E4" w:rsidP="000D4226">
      <w:pPr>
        <w:spacing w:line="360" w:lineRule="auto"/>
        <w:jc w:val="both"/>
        <w:rPr>
          <w:rFonts w:ascii="Trebuchet MS" w:hAnsi="Trebuchet MS"/>
          <w:sz w:val="24"/>
          <w:szCs w:val="24"/>
        </w:rPr>
      </w:pPr>
      <w:r>
        <w:rPr>
          <w:rFonts w:ascii="Trebuchet MS" w:hAnsi="Trebuchet MS"/>
          <w:sz w:val="24"/>
          <w:szCs w:val="24"/>
        </w:rPr>
        <w:tab/>
        <w:t>The application for review is therefore dismissed, with each party paying its own costs.</w:t>
      </w:r>
    </w:p>
    <w:p w:rsidR="006529E4" w:rsidRDefault="006529E4" w:rsidP="000D4226">
      <w:pPr>
        <w:spacing w:line="360" w:lineRule="auto"/>
        <w:jc w:val="both"/>
        <w:rPr>
          <w:rFonts w:ascii="Trebuchet MS" w:hAnsi="Trebuchet MS"/>
          <w:sz w:val="24"/>
          <w:szCs w:val="24"/>
        </w:rPr>
      </w:pPr>
    </w:p>
    <w:p w:rsidR="006529E4" w:rsidRDefault="006529E4" w:rsidP="000D4226">
      <w:pPr>
        <w:spacing w:line="360" w:lineRule="auto"/>
        <w:jc w:val="both"/>
        <w:rPr>
          <w:rFonts w:ascii="Trebuchet MS" w:hAnsi="Trebuchet MS"/>
          <w:sz w:val="24"/>
          <w:szCs w:val="24"/>
        </w:rPr>
      </w:pPr>
    </w:p>
    <w:p w:rsidR="00070588" w:rsidRDefault="00070588" w:rsidP="000D4226">
      <w:pPr>
        <w:spacing w:line="360" w:lineRule="auto"/>
        <w:jc w:val="both"/>
        <w:rPr>
          <w:rFonts w:ascii="Trebuchet MS" w:hAnsi="Trebuchet MS"/>
          <w:sz w:val="24"/>
          <w:szCs w:val="24"/>
        </w:rPr>
      </w:pPr>
    </w:p>
    <w:p w:rsidR="00AF1543" w:rsidRDefault="00AF1543" w:rsidP="000D4226">
      <w:pPr>
        <w:spacing w:line="360" w:lineRule="auto"/>
        <w:jc w:val="both"/>
        <w:rPr>
          <w:rFonts w:ascii="Trebuchet MS" w:hAnsi="Trebuchet MS"/>
          <w:sz w:val="24"/>
          <w:szCs w:val="24"/>
        </w:rPr>
      </w:pPr>
    </w:p>
    <w:p w:rsidR="00AF1543" w:rsidRDefault="00AF1543" w:rsidP="000D4226">
      <w:pPr>
        <w:spacing w:line="360" w:lineRule="auto"/>
        <w:jc w:val="both"/>
        <w:rPr>
          <w:rFonts w:ascii="Trebuchet MS" w:hAnsi="Trebuchet MS"/>
          <w:sz w:val="24"/>
          <w:szCs w:val="24"/>
        </w:rPr>
      </w:pPr>
    </w:p>
    <w:p w:rsidR="0000745F" w:rsidRDefault="0000745F" w:rsidP="000D4226">
      <w:pPr>
        <w:spacing w:line="360" w:lineRule="auto"/>
        <w:jc w:val="both"/>
        <w:rPr>
          <w:rFonts w:ascii="Trebuchet MS" w:hAnsi="Trebuchet MS"/>
          <w:sz w:val="24"/>
          <w:szCs w:val="24"/>
        </w:rPr>
      </w:pPr>
    </w:p>
    <w:p w:rsidR="0000745F" w:rsidRDefault="0000745F" w:rsidP="000D4226">
      <w:pPr>
        <w:spacing w:line="360" w:lineRule="auto"/>
        <w:jc w:val="both"/>
        <w:rPr>
          <w:rFonts w:ascii="Trebuchet MS" w:hAnsi="Trebuchet MS"/>
          <w:sz w:val="24"/>
          <w:szCs w:val="24"/>
        </w:rPr>
      </w:pPr>
    </w:p>
    <w:p w:rsidR="0000745F" w:rsidRDefault="0000745F" w:rsidP="000D4226">
      <w:pPr>
        <w:spacing w:line="360" w:lineRule="auto"/>
        <w:jc w:val="both"/>
        <w:rPr>
          <w:rFonts w:ascii="Trebuchet MS" w:hAnsi="Trebuchet MS"/>
          <w:sz w:val="24"/>
          <w:szCs w:val="24"/>
        </w:rPr>
      </w:pPr>
    </w:p>
    <w:p w:rsidR="006529E4" w:rsidRDefault="006529E4" w:rsidP="000D4226">
      <w:pPr>
        <w:spacing w:line="360" w:lineRule="auto"/>
        <w:jc w:val="both"/>
        <w:rPr>
          <w:rFonts w:ascii="Trebuchet MS" w:hAnsi="Trebuchet MS"/>
          <w:sz w:val="24"/>
          <w:szCs w:val="24"/>
        </w:rPr>
      </w:pPr>
      <w:r>
        <w:rPr>
          <w:rFonts w:ascii="Trebuchet MS" w:hAnsi="Trebuchet MS"/>
          <w:sz w:val="24"/>
          <w:szCs w:val="24"/>
        </w:rPr>
        <w:t>E.F. NDEWERE</w:t>
      </w:r>
    </w:p>
    <w:p w:rsidR="006529E4" w:rsidRPr="00FC1196" w:rsidRDefault="006529E4" w:rsidP="000D4226">
      <w:pPr>
        <w:spacing w:line="360" w:lineRule="auto"/>
        <w:jc w:val="both"/>
        <w:rPr>
          <w:rFonts w:ascii="Trebuchet MS" w:hAnsi="Trebuchet MS"/>
          <w:b/>
          <w:sz w:val="24"/>
          <w:szCs w:val="24"/>
          <w:u w:val="single"/>
        </w:rPr>
      </w:pPr>
      <w:r w:rsidRPr="00FC1196">
        <w:rPr>
          <w:rFonts w:ascii="Trebuchet MS" w:hAnsi="Trebuchet MS"/>
          <w:b/>
          <w:sz w:val="24"/>
          <w:szCs w:val="24"/>
          <w:u w:val="single"/>
        </w:rPr>
        <w:t>PRESIDENT</w:t>
      </w:r>
    </w:p>
    <w:p w:rsidR="006529E4" w:rsidRDefault="006529E4" w:rsidP="000D4226">
      <w:pPr>
        <w:spacing w:line="360" w:lineRule="auto"/>
        <w:jc w:val="both"/>
        <w:rPr>
          <w:rFonts w:ascii="Trebuchet MS" w:hAnsi="Trebuchet MS"/>
          <w:sz w:val="24"/>
          <w:szCs w:val="24"/>
        </w:rPr>
      </w:pPr>
    </w:p>
    <w:p w:rsidR="006529E4" w:rsidRDefault="006529E4" w:rsidP="000D4226">
      <w:pPr>
        <w:spacing w:line="360" w:lineRule="auto"/>
        <w:jc w:val="both"/>
        <w:rPr>
          <w:rFonts w:ascii="Trebuchet MS" w:hAnsi="Trebuchet MS"/>
          <w:sz w:val="24"/>
          <w:szCs w:val="24"/>
        </w:rPr>
      </w:pPr>
    </w:p>
    <w:p w:rsidR="006529E4" w:rsidRPr="006529E4" w:rsidRDefault="006529E4" w:rsidP="000D4226">
      <w:pPr>
        <w:spacing w:line="360" w:lineRule="auto"/>
        <w:jc w:val="both"/>
        <w:rPr>
          <w:rFonts w:ascii="Trebuchet MS" w:hAnsi="Trebuchet MS"/>
          <w:b/>
          <w:i/>
          <w:sz w:val="20"/>
          <w:szCs w:val="20"/>
        </w:rPr>
      </w:pPr>
      <w:r w:rsidRPr="006529E4">
        <w:rPr>
          <w:rFonts w:ascii="Trebuchet MS" w:hAnsi="Trebuchet MS"/>
          <w:b/>
          <w:i/>
          <w:sz w:val="20"/>
          <w:szCs w:val="20"/>
        </w:rPr>
        <w:t>MAVHUNGA AND SIGAUKE LEAGL PRACTITIONERS – APPLICANT’S LEGAL REPRESENTANTIVES</w:t>
      </w:r>
    </w:p>
    <w:p w:rsidR="006529E4" w:rsidRPr="006529E4" w:rsidRDefault="006529E4" w:rsidP="000D4226">
      <w:pPr>
        <w:spacing w:line="360" w:lineRule="auto"/>
        <w:jc w:val="both"/>
        <w:rPr>
          <w:rFonts w:ascii="Trebuchet MS" w:hAnsi="Trebuchet MS"/>
          <w:b/>
          <w:i/>
          <w:sz w:val="20"/>
          <w:szCs w:val="20"/>
        </w:rPr>
      </w:pPr>
      <w:r w:rsidRPr="006529E4">
        <w:rPr>
          <w:rFonts w:ascii="Trebuchet MS" w:hAnsi="Trebuchet MS"/>
          <w:b/>
          <w:i/>
          <w:sz w:val="20"/>
          <w:szCs w:val="20"/>
        </w:rPr>
        <w:t>MAUNGA MAANDA AND ASSOCIATES – RESPONDENT’S LEGAL PRACTITIONERS</w:t>
      </w:r>
    </w:p>
    <w:sectPr w:rsidR="006529E4" w:rsidRPr="006529E4" w:rsidSect="00F751C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8AC" w:rsidRDefault="00EC48AC" w:rsidP="00F751C7">
      <w:pPr>
        <w:spacing w:after="0" w:line="240" w:lineRule="auto"/>
      </w:pPr>
      <w:r>
        <w:separator/>
      </w:r>
    </w:p>
  </w:endnote>
  <w:endnote w:type="continuationSeparator" w:id="1">
    <w:p w:rsidR="00EC48AC" w:rsidRDefault="00EC48AC" w:rsidP="00F75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6602"/>
      <w:docPartObj>
        <w:docPartGallery w:val="Page Numbers (Bottom of Page)"/>
        <w:docPartUnique/>
      </w:docPartObj>
    </w:sdtPr>
    <w:sdtContent>
      <w:p w:rsidR="00641F0C" w:rsidRDefault="00A84106">
        <w:pPr>
          <w:pStyle w:val="Footer"/>
          <w:jc w:val="right"/>
        </w:pPr>
        <w:fldSimple w:instr=" PAGE   \* MERGEFORMAT ">
          <w:r w:rsidR="00C14958">
            <w:rPr>
              <w:noProof/>
            </w:rPr>
            <w:t>6</w:t>
          </w:r>
        </w:fldSimple>
      </w:p>
    </w:sdtContent>
  </w:sdt>
  <w:p w:rsidR="00641F0C" w:rsidRDefault="00641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8AC" w:rsidRDefault="00EC48AC" w:rsidP="00F751C7">
      <w:pPr>
        <w:spacing w:after="0" w:line="240" w:lineRule="auto"/>
      </w:pPr>
      <w:r>
        <w:separator/>
      </w:r>
    </w:p>
  </w:footnote>
  <w:footnote w:type="continuationSeparator" w:id="1">
    <w:p w:rsidR="00EC48AC" w:rsidRDefault="00EC48AC" w:rsidP="00F751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C" w:rsidRDefault="00641F0C" w:rsidP="00F751C7">
    <w:pPr>
      <w:pStyle w:val="Header"/>
      <w:jc w:val="right"/>
    </w:pPr>
    <w:r w:rsidRPr="00DF07BD">
      <w:rPr>
        <w:rFonts w:ascii="Trebuchet MS" w:hAnsi="Trebuchet MS"/>
        <w:b/>
        <w:sz w:val="24"/>
        <w:szCs w:val="24"/>
      </w:rPr>
      <w:t>JUDGMENT LC/H/</w:t>
    </w:r>
    <w:r>
      <w:rPr>
        <w:rFonts w:ascii="Trebuchet MS" w:hAnsi="Trebuchet MS"/>
        <w:b/>
        <w:sz w:val="24"/>
        <w:szCs w:val="24"/>
      </w:rPr>
      <w:t>90</w:t>
    </w:r>
    <w:r w:rsidRPr="00DF07BD">
      <w:rPr>
        <w:rFonts w:ascii="Trebuchet MS" w:hAnsi="Trebuchet MS"/>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A050F"/>
    <w:multiLevelType w:val="hybridMultilevel"/>
    <w:tmpl w:val="6BA4054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5641"/>
    <w:rsid w:val="0000745F"/>
    <w:rsid w:val="0005751B"/>
    <w:rsid w:val="00070588"/>
    <w:rsid w:val="00076CC7"/>
    <w:rsid w:val="00091813"/>
    <w:rsid w:val="000A474E"/>
    <w:rsid w:val="000D4226"/>
    <w:rsid w:val="000F6C9F"/>
    <w:rsid w:val="001405F9"/>
    <w:rsid w:val="00141D81"/>
    <w:rsid w:val="00170320"/>
    <w:rsid w:val="00182067"/>
    <w:rsid w:val="001D159E"/>
    <w:rsid w:val="001F3D2C"/>
    <w:rsid w:val="002028C5"/>
    <w:rsid w:val="00203663"/>
    <w:rsid w:val="00206154"/>
    <w:rsid w:val="00210907"/>
    <w:rsid w:val="00227876"/>
    <w:rsid w:val="002A2B8C"/>
    <w:rsid w:val="002A6396"/>
    <w:rsid w:val="002B5641"/>
    <w:rsid w:val="002D0F8C"/>
    <w:rsid w:val="00336DE7"/>
    <w:rsid w:val="00340901"/>
    <w:rsid w:val="00345395"/>
    <w:rsid w:val="00347C7B"/>
    <w:rsid w:val="00360882"/>
    <w:rsid w:val="003D58FE"/>
    <w:rsid w:val="003E130A"/>
    <w:rsid w:val="003F6414"/>
    <w:rsid w:val="00425FBE"/>
    <w:rsid w:val="00431966"/>
    <w:rsid w:val="00471A07"/>
    <w:rsid w:val="004768FB"/>
    <w:rsid w:val="0048110C"/>
    <w:rsid w:val="004D2662"/>
    <w:rsid w:val="004D48A9"/>
    <w:rsid w:val="0058444A"/>
    <w:rsid w:val="005C26E2"/>
    <w:rsid w:val="005D716A"/>
    <w:rsid w:val="005F207D"/>
    <w:rsid w:val="005F283C"/>
    <w:rsid w:val="00624629"/>
    <w:rsid w:val="00641F0C"/>
    <w:rsid w:val="006529E4"/>
    <w:rsid w:val="0067734F"/>
    <w:rsid w:val="006C203B"/>
    <w:rsid w:val="006D569B"/>
    <w:rsid w:val="006D7236"/>
    <w:rsid w:val="006E2DBB"/>
    <w:rsid w:val="007B319B"/>
    <w:rsid w:val="007E4374"/>
    <w:rsid w:val="00807129"/>
    <w:rsid w:val="00834B23"/>
    <w:rsid w:val="00863224"/>
    <w:rsid w:val="00864C09"/>
    <w:rsid w:val="00876CB8"/>
    <w:rsid w:val="00897D11"/>
    <w:rsid w:val="008D6E3E"/>
    <w:rsid w:val="00957C96"/>
    <w:rsid w:val="00977539"/>
    <w:rsid w:val="00980303"/>
    <w:rsid w:val="00982920"/>
    <w:rsid w:val="009843CA"/>
    <w:rsid w:val="009A4202"/>
    <w:rsid w:val="009D630F"/>
    <w:rsid w:val="009F1F5D"/>
    <w:rsid w:val="00A154C6"/>
    <w:rsid w:val="00A213C9"/>
    <w:rsid w:val="00A47649"/>
    <w:rsid w:val="00A62C43"/>
    <w:rsid w:val="00A84106"/>
    <w:rsid w:val="00A9642F"/>
    <w:rsid w:val="00AB3E72"/>
    <w:rsid w:val="00AC0EA6"/>
    <w:rsid w:val="00AC70F3"/>
    <w:rsid w:val="00AD5F47"/>
    <w:rsid w:val="00AF1543"/>
    <w:rsid w:val="00B2323D"/>
    <w:rsid w:val="00B2406A"/>
    <w:rsid w:val="00B474FC"/>
    <w:rsid w:val="00B7466E"/>
    <w:rsid w:val="00B8664E"/>
    <w:rsid w:val="00B86F2B"/>
    <w:rsid w:val="00B87F8F"/>
    <w:rsid w:val="00B93C2A"/>
    <w:rsid w:val="00B9723E"/>
    <w:rsid w:val="00BB372C"/>
    <w:rsid w:val="00BC6745"/>
    <w:rsid w:val="00C14958"/>
    <w:rsid w:val="00CA631C"/>
    <w:rsid w:val="00CA728B"/>
    <w:rsid w:val="00CC3FD6"/>
    <w:rsid w:val="00CE1ED8"/>
    <w:rsid w:val="00D023DA"/>
    <w:rsid w:val="00D15DEF"/>
    <w:rsid w:val="00DA709B"/>
    <w:rsid w:val="00DC25E2"/>
    <w:rsid w:val="00DE1F41"/>
    <w:rsid w:val="00DE2BFF"/>
    <w:rsid w:val="00E57207"/>
    <w:rsid w:val="00E778AF"/>
    <w:rsid w:val="00EB1076"/>
    <w:rsid w:val="00EC33C4"/>
    <w:rsid w:val="00EC48AC"/>
    <w:rsid w:val="00F13796"/>
    <w:rsid w:val="00F751C7"/>
    <w:rsid w:val="00F850F8"/>
    <w:rsid w:val="00FC1196"/>
    <w:rsid w:val="00FE302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51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51C7"/>
    <w:rPr>
      <w:lang w:val="en-US"/>
    </w:rPr>
  </w:style>
  <w:style w:type="paragraph" w:styleId="Footer">
    <w:name w:val="footer"/>
    <w:basedOn w:val="Normal"/>
    <w:link w:val="FooterChar"/>
    <w:uiPriority w:val="99"/>
    <w:unhideWhenUsed/>
    <w:rsid w:val="00F75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1C7"/>
    <w:rPr>
      <w:lang w:val="en-US"/>
    </w:rPr>
  </w:style>
  <w:style w:type="paragraph" w:styleId="ListParagraph">
    <w:name w:val="List Paragraph"/>
    <w:basedOn w:val="Normal"/>
    <w:uiPriority w:val="34"/>
    <w:qFormat/>
    <w:rsid w:val="002061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cp:lastPrinted>2013-04-02T10:47:00Z</cp:lastPrinted>
  <dcterms:created xsi:type="dcterms:W3CDTF">2014-08-01T07:39:00Z</dcterms:created>
  <dcterms:modified xsi:type="dcterms:W3CDTF">2014-08-01T07:39:00Z</dcterms:modified>
</cp:coreProperties>
</file>