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BC" w:rsidRPr="00D10188" w:rsidRDefault="006F33BC" w:rsidP="006F33BC">
      <w:pPr>
        <w:pStyle w:val="NoSpacing"/>
        <w:jc w:val="both"/>
        <w:rPr>
          <w:b/>
          <w:szCs w:val="24"/>
        </w:rPr>
      </w:pPr>
      <w:bookmarkStart w:id="0" w:name="_GoBack"/>
      <w:bookmarkEnd w:id="0"/>
      <w:r>
        <w:rPr>
          <w:b/>
          <w:szCs w:val="24"/>
        </w:rPr>
        <w:t xml:space="preserve">MARY MHLANGA </w:t>
      </w:r>
    </w:p>
    <w:p w:rsidR="006F33BC" w:rsidRPr="00D10188" w:rsidRDefault="006F33BC" w:rsidP="006F33BC">
      <w:pPr>
        <w:pStyle w:val="NoSpacing"/>
        <w:jc w:val="both"/>
        <w:rPr>
          <w:b/>
          <w:szCs w:val="24"/>
        </w:rPr>
      </w:pPr>
    </w:p>
    <w:p w:rsidR="006F33BC" w:rsidRPr="00D10188" w:rsidRDefault="006F33BC" w:rsidP="006F33BC">
      <w:pPr>
        <w:pStyle w:val="NoSpacing"/>
        <w:jc w:val="both"/>
        <w:rPr>
          <w:b/>
          <w:szCs w:val="24"/>
        </w:rPr>
      </w:pPr>
      <w:r w:rsidRPr="00D10188">
        <w:rPr>
          <w:b/>
          <w:szCs w:val="24"/>
        </w:rPr>
        <w:t>Versus</w:t>
      </w:r>
    </w:p>
    <w:p w:rsidR="006F33BC" w:rsidRPr="00D10188" w:rsidRDefault="006F33BC" w:rsidP="006F33BC">
      <w:pPr>
        <w:pStyle w:val="NoSpacing"/>
        <w:jc w:val="both"/>
        <w:rPr>
          <w:b/>
          <w:szCs w:val="24"/>
        </w:rPr>
      </w:pPr>
    </w:p>
    <w:p w:rsidR="006F33BC" w:rsidRPr="00D10188" w:rsidRDefault="00D57A46" w:rsidP="006F33BC">
      <w:pPr>
        <w:pStyle w:val="NoSpacing"/>
        <w:jc w:val="both"/>
        <w:rPr>
          <w:b/>
          <w:szCs w:val="24"/>
        </w:rPr>
      </w:pPr>
      <w:r>
        <w:rPr>
          <w:b/>
          <w:szCs w:val="24"/>
        </w:rPr>
        <w:t xml:space="preserve">HAWFLIGHT ENTERPRISES (PVT) LTD </w:t>
      </w:r>
    </w:p>
    <w:p w:rsidR="006F33BC" w:rsidRPr="00D10188" w:rsidRDefault="006F33BC" w:rsidP="006F33BC">
      <w:pPr>
        <w:pStyle w:val="NoSpacing"/>
        <w:jc w:val="both"/>
        <w:rPr>
          <w:b/>
          <w:szCs w:val="24"/>
        </w:rPr>
      </w:pPr>
    </w:p>
    <w:p w:rsidR="006F33BC" w:rsidRPr="00D10188" w:rsidRDefault="006F33BC" w:rsidP="006F33BC">
      <w:pPr>
        <w:pStyle w:val="NoSpacing"/>
        <w:jc w:val="both"/>
        <w:rPr>
          <w:szCs w:val="24"/>
        </w:rPr>
      </w:pPr>
      <w:r w:rsidRPr="00D10188">
        <w:rPr>
          <w:szCs w:val="24"/>
        </w:rPr>
        <w:t>IN THE HIGH COURT OF ZIMBABWE</w:t>
      </w:r>
    </w:p>
    <w:p w:rsidR="006F33BC" w:rsidRPr="00D10188" w:rsidRDefault="00D57A46" w:rsidP="006F33BC">
      <w:pPr>
        <w:pStyle w:val="NoSpacing"/>
        <w:jc w:val="both"/>
        <w:rPr>
          <w:szCs w:val="24"/>
        </w:rPr>
      </w:pPr>
      <w:r>
        <w:rPr>
          <w:szCs w:val="24"/>
        </w:rPr>
        <w:t xml:space="preserve">TAKUVA &amp; DUBE-BANDA JJ </w:t>
      </w:r>
    </w:p>
    <w:p w:rsidR="006F33BC" w:rsidRPr="00D10188" w:rsidRDefault="00402CF2" w:rsidP="006F33BC">
      <w:pPr>
        <w:pStyle w:val="NoSpacing"/>
        <w:jc w:val="both"/>
        <w:rPr>
          <w:szCs w:val="24"/>
        </w:rPr>
      </w:pPr>
      <w:r>
        <w:rPr>
          <w:szCs w:val="24"/>
        </w:rPr>
        <w:t xml:space="preserve">BULAWAYO </w:t>
      </w:r>
      <w:r w:rsidR="00594084">
        <w:rPr>
          <w:szCs w:val="24"/>
        </w:rPr>
        <w:t>FEBRUARY 2022 &amp; 24 FEBRUARY 2022</w:t>
      </w:r>
    </w:p>
    <w:p w:rsidR="006F33BC" w:rsidRPr="00D10188" w:rsidRDefault="006F33BC" w:rsidP="006F33BC">
      <w:pPr>
        <w:pStyle w:val="NoSpacing"/>
        <w:jc w:val="both"/>
        <w:rPr>
          <w:szCs w:val="24"/>
        </w:rPr>
      </w:pPr>
    </w:p>
    <w:p w:rsidR="006F33BC" w:rsidRPr="00D10188" w:rsidRDefault="00402CF2" w:rsidP="006F33BC">
      <w:pPr>
        <w:pStyle w:val="NoSpacing"/>
        <w:jc w:val="both"/>
        <w:rPr>
          <w:b/>
          <w:szCs w:val="24"/>
        </w:rPr>
      </w:pPr>
      <w:r>
        <w:rPr>
          <w:b/>
          <w:szCs w:val="24"/>
        </w:rPr>
        <w:t xml:space="preserve">Civil appeal </w:t>
      </w:r>
    </w:p>
    <w:p w:rsidR="006F33BC" w:rsidRPr="00D10188" w:rsidRDefault="006F33BC" w:rsidP="006F33BC">
      <w:pPr>
        <w:pStyle w:val="NoSpacing"/>
        <w:jc w:val="both"/>
        <w:rPr>
          <w:szCs w:val="24"/>
        </w:rPr>
      </w:pPr>
    </w:p>
    <w:p w:rsidR="006F33BC" w:rsidRPr="00D10188" w:rsidRDefault="00402CF2" w:rsidP="006F33BC">
      <w:pPr>
        <w:pStyle w:val="NoSpacing"/>
        <w:jc w:val="both"/>
        <w:rPr>
          <w:szCs w:val="24"/>
        </w:rPr>
      </w:pPr>
      <w:r>
        <w:rPr>
          <w:i/>
          <w:szCs w:val="24"/>
        </w:rPr>
        <w:t xml:space="preserve">V. </w:t>
      </w:r>
      <w:proofErr w:type="spellStart"/>
      <w:r>
        <w:rPr>
          <w:i/>
          <w:szCs w:val="24"/>
        </w:rPr>
        <w:t>Majoko</w:t>
      </w:r>
      <w:proofErr w:type="spellEnd"/>
      <w:r>
        <w:rPr>
          <w:i/>
          <w:szCs w:val="24"/>
        </w:rPr>
        <w:t xml:space="preserve"> </w:t>
      </w:r>
      <w:r>
        <w:rPr>
          <w:szCs w:val="24"/>
        </w:rPr>
        <w:t xml:space="preserve">for the appellant </w:t>
      </w:r>
    </w:p>
    <w:p w:rsidR="006F33BC" w:rsidRPr="001A4954" w:rsidRDefault="001A4954" w:rsidP="001A4954">
      <w:pPr>
        <w:pStyle w:val="NoSpacing"/>
        <w:tabs>
          <w:tab w:val="left" w:pos="3585"/>
        </w:tabs>
        <w:jc w:val="both"/>
        <w:rPr>
          <w:szCs w:val="24"/>
        </w:rPr>
      </w:pPr>
      <w:r>
        <w:rPr>
          <w:i/>
          <w:szCs w:val="24"/>
        </w:rPr>
        <w:t xml:space="preserve">S. </w:t>
      </w:r>
      <w:proofErr w:type="spellStart"/>
      <w:r>
        <w:rPr>
          <w:i/>
          <w:szCs w:val="24"/>
        </w:rPr>
        <w:t>Siziba</w:t>
      </w:r>
      <w:proofErr w:type="spellEnd"/>
      <w:r w:rsidR="006F33BC" w:rsidRPr="00D10188">
        <w:rPr>
          <w:szCs w:val="24"/>
        </w:rPr>
        <w:t xml:space="preserve"> for the respondent</w:t>
      </w:r>
      <w:r>
        <w:rPr>
          <w:szCs w:val="24"/>
        </w:rPr>
        <w:tab/>
      </w:r>
    </w:p>
    <w:p w:rsidR="00FD0F4A" w:rsidRDefault="001C249E" w:rsidP="002022C3">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A4954" w:rsidRPr="001A4954">
        <w:rPr>
          <w:rFonts w:ascii="Times New Roman" w:hAnsi="Times New Roman" w:cs="Times New Roman"/>
          <w:b/>
          <w:sz w:val="24"/>
          <w:szCs w:val="24"/>
        </w:rPr>
        <w:t>DUBE-BANDA J:</w:t>
      </w:r>
      <w:r w:rsidR="001A4954">
        <w:rPr>
          <w:rFonts w:ascii="Times New Roman" w:hAnsi="Times New Roman" w:cs="Times New Roman"/>
          <w:sz w:val="24"/>
          <w:szCs w:val="24"/>
        </w:rPr>
        <w:t xml:space="preserve"> </w:t>
      </w:r>
      <w:r w:rsidR="000578D6">
        <w:rPr>
          <w:rFonts w:ascii="Times New Roman" w:hAnsi="Times New Roman" w:cs="Times New Roman"/>
          <w:sz w:val="24"/>
          <w:szCs w:val="24"/>
        </w:rPr>
        <w:t xml:space="preserve">This is an appeal against the </w:t>
      </w:r>
      <w:r w:rsidR="0035627C">
        <w:rPr>
          <w:rFonts w:ascii="Times New Roman" w:hAnsi="Times New Roman" w:cs="Times New Roman"/>
          <w:sz w:val="24"/>
          <w:szCs w:val="24"/>
        </w:rPr>
        <w:t xml:space="preserve">whole </w:t>
      </w:r>
      <w:r w:rsidR="000578D6">
        <w:rPr>
          <w:rFonts w:ascii="Times New Roman" w:hAnsi="Times New Roman" w:cs="Times New Roman"/>
          <w:sz w:val="24"/>
          <w:szCs w:val="24"/>
        </w:rPr>
        <w:t>judgment of the Magistrates’ Court sitting in Bul</w:t>
      </w:r>
      <w:r w:rsidR="0035627C">
        <w:rPr>
          <w:rFonts w:ascii="Times New Roman" w:hAnsi="Times New Roman" w:cs="Times New Roman"/>
          <w:sz w:val="24"/>
          <w:szCs w:val="24"/>
        </w:rPr>
        <w:t xml:space="preserve">awayo, dated 13 August 2020. </w:t>
      </w:r>
      <w:r w:rsidR="008F56A7" w:rsidRPr="00151C39">
        <w:rPr>
          <w:rFonts w:ascii="Times New Roman" w:hAnsi="Times New Roman" w:cs="Times New Roman"/>
          <w:sz w:val="24"/>
          <w:szCs w:val="24"/>
        </w:rPr>
        <w:t xml:space="preserve">The court </w:t>
      </w:r>
      <w:r w:rsidR="008F56A7" w:rsidRPr="00151C39">
        <w:rPr>
          <w:rFonts w:ascii="Times New Roman" w:hAnsi="Times New Roman" w:cs="Times New Roman"/>
          <w:i/>
          <w:sz w:val="24"/>
          <w:szCs w:val="24"/>
        </w:rPr>
        <w:t>a quo</w:t>
      </w:r>
      <w:r w:rsidR="008F56A7" w:rsidRPr="00151C39">
        <w:rPr>
          <w:rFonts w:ascii="Times New Roman" w:hAnsi="Times New Roman" w:cs="Times New Roman"/>
          <w:sz w:val="24"/>
          <w:szCs w:val="24"/>
        </w:rPr>
        <w:t xml:space="preserve"> granted the following order:</w:t>
      </w:r>
      <w:r w:rsidR="00E00100">
        <w:rPr>
          <w:rFonts w:ascii="Times New Roman" w:hAnsi="Times New Roman" w:cs="Times New Roman"/>
          <w:sz w:val="24"/>
          <w:szCs w:val="24"/>
        </w:rPr>
        <w:t xml:space="preserve"> c</w:t>
      </w:r>
      <w:r w:rsidR="00E00100" w:rsidRPr="00E00100">
        <w:rPr>
          <w:rFonts w:ascii="Times New Roman" w:hAnsi="Times New Roman" w:cs="Times New Roman"/>
          <w:sz w:val="24"/>
          <w:szCs w:val="24"/>
        </w:rPr>
        <w:t xml:space="preserve">ancellation of the </w:t>
      </w:r>
      <w:r w:rsidR="00E00100">
        <w:rPr>
          <w:rFonts w:ascii="Times New Roman" w:hAnsi="Times New Roman" w:cs="Times New Roman"/>
          <w:sz w:val="24"/>
          <w:szCs w:val="24"/>
        </w:rPr>
        <w:t xml:space="preserve">agreement; the deposits and part payment made by defendant to be forfeited by plaintiff </w:t>
      </w:r>
      <w:r w:rsidR="009D20C7">
        <w:rPr>
          <w:rFonts w:ascii="Times New Roman" w:hAnsi="Times New Roman" w:cs="Times New Roman"/>
          <w:sz w:val="24"/>
          <w:szCs w:val="24"/>
        </w:rPr>
        <w:t>as rentals; ejectment of defendant and all those claiming occupation through them (</w:t>
      </w:r>
      <w:r w:rsidR="009D20C7" w:rsidRPr="009D20C7">
        <w:rPr>
          <w:rFonts w:ascii="Times New Roman" w:hAnsi="Times New Roman" w:cs="Times New Roman"/>
          <w:i/>
          <w:sz w:val="24"/>
          <w:szCs w:val="24"/>
        </w:rPr>
        <w:t>sic</w:t>
      </w:r>
      <w:r w:rsidR="009D20C7">
        <w:rPr>
          <w:rFonts w:ascii="Times New Roman" w:hAnsi="Times New Roman" w:cs="Times New Roman"/>
          <w:sz w:val="24"/>
          <w:szCs w:val="24"/>
        </w:rPr>
        <w:t xml:space="preserve">) </w:t>
      </w:r>
      <w:r w:rsidR="00EB64B4">
        <w:rPr>
          <w:rFonts w:ascii="Times New Roman" w:hAnsi="Times New Roman" w:cs="Times New Roman"/>
          <w:sz w:val="24"/>
          <w:szCs w:val="24"/>
        </w:rPr>
        <w:t xml:space="preserve">from stand No. 70 </w:t>
      </w:r>
      <w:proofErr w:type="spellStart"/>
      <w:r w:rsidR="00EB64B4">
        <w:rPr>
          <w:rFonts w:ascii="Times New Roman" w:hAnsi="Times New Roman" w:cs="Times New Roman"/>
          <w:sz w:val="24"/>
          <w:szCs w:val="24"/>
        </w:rPr>
        <w:t>Emthunzini</w:t>
      </w:r>
      <w:proofErr w:type="spellEnd"/>
      <w:r w:rsidR="00EB64B4">
        <w:rPr>
          <w:rFonts w:ascii="Times New Roman" w:hAnsi="Times New Roman" w:cs="Times New Roman"/>
          <w:sz w:val="24"/>
          <w:szCs w:val="24"/>
        </w:rPr>
        <w:t xml:space="preserve"> Township, Bulawayo; and costs of suit. </w:t>
      </w:r>
    </w:p>
    <w:p w:rsidR="00D20F5E" w:rsidRDefault="008460A0" w:rsidP="008460A0">
      <w:pPr>
        <w:spacing w:line="360" w:lineRule="auto"/>
        <w:jc w:val="both"/>
        <w:rPr>
          <w:rFonts w:ascii="Times New Roman" w:hAnsi="Times New Roman" w:cs="Times New Roman"/>
          <w:b/>
          <w:sz w:val="24"/>
          <w:szCs w:val="24"/>
        </w:rPr>
      </w:pPr>
      <w:r w:rsidRPr="008460A0">
        <w:rPr>
          <w:rFonts w:ascii="Times New Roman" w:hAnsi="Times New Roman" w:cs="Times New Roman"/>
          <w:b/>
          <w:sz w:val="24"/>
          <w:szCs w:val="24"/>
        </w:rPr>
        <w:t xml:space="preserve">The facts </w:t>
      </w:r>
    </w:p>
    <w:p w:rsidR="00F964D7" w:rsidRDefault="008460A0" w:rsidP="008460A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A90CEA" w:rsidRPr="00A90CEA">
        <w:rPr>
          <w:rFonts w:ascii="Times New Roman" w:hAnsi="Times New Roman" w:cs="Times New Roman"/>
          <w:sz w:val="24"/>
          <w:szCs w:val="24"/>
        </w:rPr>
        <w:t>T</w:t>
      </w:r>
      <w:r w:rsidR="00A90CEA">
        <w:rPr>
          <w:rFonts w:ascii="Times New Roman" w:hAnsi="Times New Roman" w:cs="Times New Roman"/>
          <w:sz w:val="24"/>
          <w:szCs w:val="24"/>
        </w:rPr>
        <w:t xml:space="preserve">he facts giving rise to this appeal </w:t>
      </w:r>
      <w:r w:rsidR="00F964D7">
        <w:rPr>
          <w:rFonts w:ascii="Times New Roman" w:hAnsi="Times New Roman" w:cs="Times New Roman"/>
          <w:sz w:val="24"/>
          <w:szCs w:val="24"/>
        </w:rPr>
        <w:t xml:space="preserve">are that </w:t>
      </w:r>
      <w:r w:rsidR="00507403">
        <w:rPr>
          <w:rFonts w:ascii="Times New Roman" w:hAnsi="Times New Roman" w:cs="Times New Roman"/>
          <w:sz w:val="24"/>
          <w:szCs w:val="24"/>
        </w:rPr>
        <w:t>on the 19</w:t>
      </w:r>
      <w:r w:rsidR="00507403" w:rsidRPr="00507403">
        <w:rPr>
          <w:rFonts w:ascii="Times New Roman" w:hAnsi="Times New Roman" w:cs="Times New Roman"/>
          <w:sz w:val="24"/>
          <w:szCs w:val="24"/>
          <w:vertAlign w:val="superscript"/>
        </w:rPr>
        <w:t>th</w:t>
      </w:r>
      <w:r w:rsidR="00507403">
        <w:rPr>
          <w:rFonts w:ascii="Times New Roman" w:hAnsi="Times New Roman" w:cs="Times New Roman"/>
          <w:sz w:val="24"/>
          <w:szCs w:val="24"/>
        </w:rPr>
        <w:t xml:space="preserve"> April 2011, </w:t>
      </w:r>
      <w:r w:rsidR="00F964D7">
        <w:rPr>
          <w:rFonts w:ascii="Times New Roman" w:hAnsi="Times New Roman" w:cs="Times New Roman"/>
          <w:sz w:val="24"/>
          <w:szCs w:val="24"/>
        </w:rPr>
        <w:t xml:space="preserve">the parties </w:t>
      </w:r>
      <w:r w:rsidR="00CF2AD4">
        <w:rPr>
          <w:rFonts w:ascii="Times New Roman" w:hAnsi="Times New Roman" w:cs="Times New Roman"/>
          <w:sz w:val="24"/>
          <w:szCs w:val="24"/>
        </w:rPr>
        <w:t xml:space="preserve">entered </w:t>
      </w:r>
      <w:proofErr w:type="gramStart"/>
      <w:r w:rsidR="00CF2AD4">
        <w:rPr>
          <w:rFonts w:ascii="Times New Roman" w:hAnsi="Times New Roman" w:cs="Times New Roman"/>
          <w:sz w:val="24"/>
          <w:szCs w:val="24"/>
        </w:rPr>
        <w:t>into</w:t>
      </w:r>
      <w:proofErr w:type="gramEnd"/>
      <w:r w:rsidR="00CF2AD4">
        <w:rPr>
          <w:rFonts w:ascii="Times New Roman" w:hAnsi="Times New Roman" w:cs="Times New Roman"/>
          <w:sz w:val="24"/>
          <w:szCs w:val="24"/>
        </w:rPr>
        <w:t xml:space="preserve"> a written memorandum of agreemen</w:t>
      </w:r>
      <w:r w:rsidR="00241502">
        <w:rPr>
          <w:rFonts w:ascii="Times New Roman" w:hAnsi="Times New Roman" w:cs="Times New Roman"/>
          <w:sz w:val="24"/>
          <w:szCs w:val="24"/>
        </w:rPr>
        <w:t xml:space="preserve">t. Respondent sold </w:t>
      </w:r>
      <w:r w:rsidR="0053277F">
        <w:rPr>
          <w:rFonts w:ascii="Times New Roman" w:hAnsi="Times New Roman" w:cs="Times New Roman"/>
          <w:sz w:val="24"/>
          <w:szCs w:val="24"/>
        </w:rPr>
        <w:t xml:space="preserve">to the appellant stand number 70 </w:t>
      </w:r>
      <w:proofErr w:type="spellStart"/>
      <w:r w:rsidR="0053277F">
        <w:rPr>
          <w:rFonts w:ascii="Times New Roman" w:hAnsi="Times New Roman" w:cs="Times New Roman"/>
          <w:sz w:val="24"/>
          <w:szCs w:val="24"/>
        </w:rPr>
        <w:t>Emthunzini</w:t>
      </w:r>
      <w:proofErr w:type="spellEnd"/>
      <w:r w:rsidR="0053277F">
        <w:rPr>
          <w:rFonts w:ascii="Times New Roman" w:hAnsi="Times New Roman" w:cs="Times New Roman"/>
          <w:sz w:val="24"/>
          <w:szCs w:val="24"/>
        </w:rPr>
        <w:t xml:space="preserve"> Township, Bulawayo (house). </w:t>
      </w:r>
      <w:r w:rsidR="00507403">
        <w:rPr>
          <w:rFonts w:ascii="Times New Roman" w:hAnsi="Times New Roman" w:cs="Times New Roman"/>
          <w:sz w:val="24"/>
          <w:szCs w:val="24"/>
        </w:rPr>
        <w:t xml:space="preserve">The agreed purchase price was US$48 960.00 </w:t>
      </w:r>
      <w:r w:rsidR="00622D0A">
        <w:rPr>
          <w:rFonts w:ascii="Times New Roman" w:hAnsi="Times New Roman" w:cs="Times New Roman"/>
          <w:sz w:val="24"/>
          <w:szCs w:val="24"/>
        </w:rPr>
        <w:t xml:space="preserve">which was to be paid with a deposit of US$1 400.00 upon signing of the agreement and the balance in monthly instalments of US$357.20, which instalment was later reduced to </w:t>
      </w:r>
      <w:r w:rsidR="008251CD">
        <w:rPr>
          <w:rFonts w:ascii="Times New Roman" w:hAnsi="Times New Roman" w:cs="Times New Roman"/>
          <w:sz w:val="24"/>
          <w:szCs w:val="24"/>
        </w:rPr>
        <w:t xml:space="preserve">US$290.00. </w:t>
      </w:r>
      <w:r w:rsidR="006B1740">
        <w:rPr>
          <w:rFonts w:ascii="Times New Roman" w:hAnsi="Times New Roman" w:cs="Times New Roman"/>
          <w:sz w:val="24"/>
          <w:szCs w:val="24"/>
        </w:rPr>
        <w:t xml:space="preserve">Respondent sued out a summons in the court </w:t>
      </w:r>
      <w:r w:rsidR="006B1740" w:rsidRPr="008460A0">
        <w:rPr>
          <w:rFonts w:ascii="Times New Roman" w:hAnsi="Times New Roman" w:cs="Times New Roman"/>
          <w:i/>
          <w:sz w:val="24"/>
          <w:szCs w:val="24"/>
        </w:rPr>
        <w:t>a quo</w:t>
      </w:r>
      <w:r w:rsidR="006B1740">
        <w:rPr>
          <w:rFonts w:ascii="Times New Roman" w:hAnsi="Times New Roman" w:cs="Times New Roman"/>
          <w:sz w:val="24"/>
          <w:szCs w:val="24"/>
        </w:rPr>
        <w:t xml:space="preserve"> and</w:t>
      </w:r>
      <w:r w:rsidR="00782F0C">
        <w:rPr>
          <w:rFonts w:ascii="Times New Roman" w:hAnsi="Times New Roman" w:cs="Times New Roman"/>
          <w:sz w:val="24"/>
          <w:szCs w:val="24"/>
        </w:rPr>
        <w:t xml:space="preserve"> pleaded that appellant</w:t>
      </w:r>
      <w:r w:rsidR="007810C4">
        <w:rPr>
          <w:rFonts w:ascii="Times New Roman" w:hAnsi="Times New Roman" w:cs="Times New Roman"/>
          <w:sz w:val="24"/>
          <w:szCs w:val="24"/>
        </w:rPr>
        <w:t xml:space="preserve"> defaulted in monthly instalments, thus breaching the agreement</w:t>
      </w:r>
      <w:r w:rsidR="00782F0C">
        <w:rPr>
          <w:rFonts w:ascii="Times New Roman" w:hAnsi="Times New Roman" w:cs="Times New Roman"/>
          <w:sz w:val="24"/>
          <w:szCs w:val="24"/>
        </w:rPr>
        <w:t xml:space="preserve"> and sought an order (a) cancelling the agreement of sale; (b) the deposits and part payments made by </w:t>
      </w:r>
      <w:r w:rsidR="005F2D65">
        <w:rPr>
          <w:rFonts w:ascii="Times New Roman" w:hAnsi="Times New Roman" w:cs="Times New Roman"/>
          <w:sz w:val="24"/>
          <w:szCs w:val="24"/>
        </w:rPr>
        <w:t>defendant be forfeited as rentals; (c) ejectment of appellant and all those claiming the right of occupation through her</w:t>
      </w:r>
      <w:r w:rsidR="002D42DB">
        <w:rPr>
          <w:rFonts w:ascii="Times New Roman" w:hAnsi="Times New Roman" w:cs="Times New Roman"/>
          <w:sz w:val="24"/>
          <w:szCs w:val="24"/>
        </w:rPr>
        <w:t xml:space="preserve"> from the house; and costs of suit. </w:t>
      </w:r>
    </w:p>
    <w:p w:rsidR="00F44DFE" w:rsidRDefault="00F44DFE" w:rsidP="008460A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plea appellant contended that respondent </w:t>
      </w:r>
      <w:r w:rsidR="00437594">
        <w:rPr>
          <w:rFonts w:ascii="Times New Roman" w:hAnsi="Times New Roman" w:cs="Times New Roman"/>
          <w:sz w:val="24"/>
          <w:szCs w:val="24"/>
        </w:rPr>
        <w:t>insisted on payment in United States dollars and</w:t>
      </w:r>
      <w:r>
        <w:rPr>
          <w:rFonts w:ascii="Times New Roman" w:hAnsi="Times New Roman" w:cs="Times New Roman"/>
          <w:sz w:val="24"/>
          <w:szCs w:val="24"/>
        </w:rPr>
        <w:t xml:space="preserve"> refused to accept payment by way of </w:t>
      </w:r>
      <w:r w:rsidR="00437594">
        <w:rPr>
          <w:rFonts w:ascii="Times New Roman" w:hAnsi="Times New Roman" w:cs="Times New Roman"/>
          <w:sz w:val="24"/>
          <w:szCs w:val="24"/>
        </w:rPr>
        <w:t xml:space="preserve">RTGS, </w:t>
      </w:r>
      <w:proofErr w:type="spellStart"/>
      <w:r w:rsidR="00437594">
        <w:rPr>
          <w:rFonts w:ascii="Times New Roman" w:hAnsi="Times New Roman" w:cs="Times New Roman"/>
          <w:sz w:val="24"/>
          <w:szCs w:val="24"/>
        </w:rPr>
        <w:t>ecocash</w:t>
      </w:r>
      <w:proofErr w:type="spellEnd"/>
      <w:r w:rsidR="00437594">
        <w:rPr>
          <w:rFonts w:ascii="Times New Roman" w:hAnsi="Times New Roman" w:cs="Times New Roman"/>
          <w:sz w:val="24"/>
          <w:szCs w:val="24"/>
        </w:rPr>
        <w:t xml:space="preserve"> and bond notes</w:t>
      </w:r>
      <w:r w:rsidR="009735F8">
        <w:rPr>
          <w:rFonts w:ascii="Times New Roman" w:hAnsi="Times New Roman" w:cs="Times New Roman"/>
          <w:sz w:val="24"/>
          <w:szCs w:val="24"/>
        </w:rPr>
        <w:t xml:space="preserve">. </w:t>
      </w:r>
      <w:r w:rsidR="003A4E97">
        <w:rPr>
          <w:rFonts w:ascii="Times New Roman" w:hAnsi="Times New Roman" w:cs="Times New Roman"/>
          <w:sz w:val="24"/>
          <w:szCs w:val="24"/>
        </w:rPr>
        <w:t xml:space="preserve">Appellant averred that respondent </w:t>
      </w:r>
      <w:r w:rsidR="00C24AE4">
        <w:rPr>
          <w:rFonts w:ascii="Times New Roman" w:hAnsi="Times New Roman" w:cs="Times New Roman"/>
          <w:sz w:val="24"/>
          <w:szCs w:val="24"/>
        </w:rPr>
        <w:t xml:space="preserve">“literally forced” her to be in breach of the agreement by refusing to accept payment. </w:t>
      </w:r>
      <w:r w:rsidR="00AB667E">
        <w:rPr>
          <w:rFonts w:ascii="Times New Roman" w:hAnsi="Times New Roman" w:cs="Times New Roman"/>
          <w:sz w:val="24"/>
          <w:szCs w:val="24"/>
        </w:rPr>
        <w:t xml:space="preserve">The trial court was urged to invoke the provisions of section 9 of the </w:t>
      </w:r>
      <w:r w:rsidR="00AB667E">
        <w:rPr>
          <w:rFonts w:ascii="Times New Roman" w:hAnsi="Times New Roman" w:cs="Times New Roman"/>
          <w:sz w:val="24"/>
          <w:szCs w:val="24"/>
        </w:rPr>
        <w:lastRenderedPageBreak/>
        <w:t xml:space="preserve">Contractual penalties Act [Chapter 8:04] </w:t>
      </w:r>
      <w:r w:rsidR="004037B9">
        <w:rPr>
          <w:rFonts w:ascii="Times New Roman" w:hAnsi="Times New Roman" w:cs="Times New Roman"/>
          <w:sz w:val="24"/>
          <w:szCs w:val="24"/>
        </w:rPr>
        <w:t xml:space="preserve">and dismiss the claim. Appellant filed a counter claim and nothing turns on it </w:t>
      </w:r>
      <w:r w:rsidR="00455895">
        <w:rPr>
          <w:rFonts w:ascii="Times New Roman" w:hAnsi="Times New Roman" w:cs="Times New Roman"/>
          <w:sz w:val="24"/>
          <w:szCs w:val="24"/>
        </w:rPr>
        <w:t xml:space="preserve">in this appeal </w:t>
      </w:r>
      <w:r w:rsidR="004037B9">
        <w:rPr>
          <w:rFonts w:ascii="Times New Roman" w:hAnsi="Times New Roman" w:cs="Times New Roman"/>
          <w:sz w:val="24"/>
          <w:szCs w:val="24"/>
        </w:rPr>
        <w:t xml:space="preserve">and no further reference shall be made to it. </w:t>
      </w:r>
    </w:p>
    <w:p w:rsidR="00163802" w:rsidRDefault="00163802" w:rsidP="008460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41350">
        <w:rPr>
          <w:rFonts w:ascii="Times New Roman" w:hAnsi="Times New Roman" w:cs="Times New Roman"/>
          <w:sz w:val="24"/>
          <w:szCs w:val="24"/>
        </w:rPr>
        <w:t xml:space="preserve">The court </w:t>
      </w:r>
      <w:r w:rsidR="00F41350" w:rsidRPr="00F41350">
        <w:rPr>
          <w:rFonts w:ascii="Times New Roman" w:hAnsi="Times New Roman" w:cs="Times New Roman"/>
          <w:i/>
          <w:sz w:val="24"/>
          <w:szCs w:val="24"/>
        </w:rPr>
        <w:t>a quo</w:t>
      </w:r>
      <w:r w:rsidR="00F41350">
        <w:rPr>
          <w:rFonts w:ascii="Times New Roman" w:hAnsi="Times New Roman" w:cs="Times New Roman"/>
          <w:sz w:val="24"/>
          <w:szCs w:val="24"/>
        </w:rPr>
        <w:t xml:space="preserve"> held that before it was a case of breach of contract of cession. </w:t>
      </w:r>
      <w:r w:rsidR="0041328B">
        <w:rPr>
          <w:rFonts w:ascii="Times New Roman" w:hAnsi="Times New Roman" w:cs="Times New Roman"/>
          <w:sz w:val="24"/>
          <w:szCs w:val="24"/>
        </w:rPr>
        <w:t xml:space="preserve">It </w:t>
      </w:r>
      <w:r w:rsidR="00A90D32">
        <w:rPr>
          <w:rFonts w:ascii="Times New Roman" w:hAnsi="Times New Roman" w:cs="Times New Roman"/>
          <w:sz w:val="24"/>
          <w:szCs w:val="24"/>
        </w:rPr>
        <w:t>noted that it was clear from the</w:t>
      </w:r>
      <w:r w:rsidR="0041328B">
        <w:rPr>
          <w:rFonts w:ascii="Times New Roman" w:hAnsi="Times New Roman" w:cs="Times New Roman"/>
          <w:sz w:val="24"/>
          <w:szCs w:val="24"/>
        </w:rPr>
        <w:t xml:space="preserve"> agreement that respondent was not the holder of </w:t>
      </w:r>
      <w:r w:rsidR="00A90D32">
        <w:rPr>
          <w:rFonts w:ascii="Times New Roman" w:hAnsi="Times New Roman" w:cs="Times New Roman"/>
          <w:sz w:val="24"/>
          <w:szCs w:val="24"/>
        </w:rPr>
        <w:t xml:space="preserve">real rights in the property. </w:t>
      </w:r>
      <w:r w:rsidR="00EE0456">
        <w:rPr>
          <w:rFonts w:ascii="Times New Roman" w:hAnsi="Times New Roman" w:cs="Times New Roman"/>
          <w:sz w:val="24"/>
          <w:szCs w:val="24"/>
        </w:rPr>
        <w:t>The court further noted that the agreement states tha</w:t>
      </w:r>
      <w:r w:rsidR="003262EA">
        <w:rPr>
          <w:rFonts w:ascii="Times New Roman" w:hAnsi="Times New Roman" w:cs="Times New Roman"/>
          <w:sz w:val="24"/>
          <w:szCs w:val="24"/>
        </w:rPr>
        <w:t xml:space="preserve">t the seller is a lease holder, which shows that respondent had no real rights in the property. </w:t>
      </w:r>
      <w:r w:rsidR="003A4711">
        <w:rPr>
          <w:rFonts w:ascii="Times New Roman" w:hAnsi="Times New Roman" w:cs="Times New Roman"/>
          <w:sz w:val="24"/>
          <w:szCs w:val="24"/>
        </w:rPr>
        <w:t>Relying on the case of</w:t>
      </w:r>
      <w:r w:rsidR="003A4711" w:rsidRPr="008560CE">
        <w:rPr>
          <w:rFonts w:ascii="Times New Roman" w:hAnsi="Times New Roman" w:cs="Times New Roman"/>
          <w:i/>
          <w:sz w:val="24"/>
          <w:szCs w:val="24"/>
        </w:rPr>
        <w:t xml:space="preserve"> </w:t>
      </w:r>
      <w:proofErr w:type="spellStart"/>
      <w:r w:rsidR="003A4711" w:rsidRPr="008560CE">
        <w:rPr>
          <w:rFonts w:ascii="Times New Roman" w:hAnsi="Times New Roman" w:cs="Times New Roman"/>
          <w:i/>
          <w:sz w:val="24"/>
          <w:szCs w:val="24"/>
        </w:rPr>
        <w:t>Khumalo</w:t>
      </w:r>
      <w:proofErr w:type="spellEnd"/>
      <w:r w:rsidR="003A4711" w:rsidRPr="008560CE">
        <w:rPr>
          <w:rFonts w:ascii="Times New Roman" w:hAnsi="Times New Roman" w:cs="Times New Roman"/>
          <w:i/>
          <w:sz w:val="24"/>
          <w:szCs w:val="24"/>
        </w:rPr>
        <w:t xml:space="preserve"> </w:t>
      </w:r>
      <w:r w:rsidR="008560CE" w:rsidRPr="008560CE">
        <w:rPr>
          <w:rFonts w:ascii="Times New Roman" w:hAnsi="Times New Roman" w:cs="Times New Roman"/>
          <w:i/>
          <w:sz w:val="24"/>
          <w:szCs w:val="24"/>
        </w:rPr>
        <w:t xml:space="preserve">v </w:t>
      </w:r>
      <w:proofErr w:type="spellStart"/>
      <w:r w:rsidR="008560CE" w:rsidRPr="008560CE">
        <w:rPr>
          <w:rFonts w:ascii="Times New Roman" w:hAnsi="Times New Roman" w:cs="Times New Roman"/>
          <w:i/>
          <w:sz w:val="24"/>
          <w:szCs w:val="24"/>
        </w:rPr>
        <w:t>Mandeya</w:t>
      </w:r>
      <w:proofErr w:type="spellEnd"/>
      <w:r w:rsidR="003A4711" w:rsidRPr="008560CE">
        <w:rPr>
          <w:rFonts w:ascii="Times New Roman" w:hAnsi="Times New Roman" w:cs="Times New Roman"/>
          <w:i/>
          <w:sz w:val="24"/>
          <w:szCs w:val="24"/>
        </w:rPr>
        <w:t xml:space="preserve"> </w:t>
      </w:r>
      <w:r w:rsidR="008560CE" w:rsidRPr="008560CE">
        <w:rPr>
          <w:rFonts w:ascii="Times New Roman" w:hAnsi="Times New Roman" w:cs="Times New Roman"/>
          <w:i/>
          <w:sz w:val="24"/>
          <w:szCs w:val="24"/>
        </w:rPr>
        <w:t xml:space="preserve">&amp; </w:t>
      </w:r>
      <w:proofErr w:type="spellStart"/>
      <w:r w:rsidR="008560CE" w:rsidRPr="008560CE">
        <w:rPr>
          <w:rFonts w:ascii="Times New Roman" w:hAnsi="Times New Roman" w:cs="Times New Roman"/>
          <w:i/>
          <w:sz w:val="24"/>
          <w:szCs w:val="24"/>
        </w:rPr>
        <w:t>Anor</w:t>
      </w:r>
      <w:proofErr w:type="spellEnd"/>
      <w:r w:rsidR="008560CE" w:rsidRPr="008560CE">
        <w:rPr>
          <w:rFonts w:ascii="Times New Roman" w:hAnsi="Times New Roman" w:cs="Times New Roman"/>
          <w:i/>
          <w:sz w:val="24"/>
          <w:szCs w:val="24"/>
        </w:rPr>
        <w:t>.</w:t>
      </w:r>
      <w:r w:rsidR="008560CE">
        <w:rPr>
          <w:rFonts w:ascii="Times New Roman" w:hAnsi="Times New Roman" w:cs="Times New Roman"/>
          <w:sz w:val="24"/>
          <w:szCs w:val="24"/>
        </w:rPr>
        <w:t xml:space="preserve"> 2008 (2) ZLR 203 (S) the trial court held that </w:t>
      </w:r>
      <w:r w:rsidR="00805019">
        <w:rPr>
          <w:rFonts w:ascii="Times New Roman" w:hAnsi="Times New Roman" w:cs="Times New Roman"/>
          <w:sz w:val="24"/>
          <w:szCs w:val="24"/>
        </w:rPr>
        <w:t>in spite of the language used by the parties in the agreement, what was in effect sold and purchased were r</w:t>
      </w:r>
      <w:r w:rsidR="00137CCB">
        <w:rPr>
          <w:rFonts w:ascii="Times New Roman" w:hAnsi="Times New Roman" w:cs="Times New Roman"/>
          <w:sz w:val="24"/>
          <w:szCs w:val="24"/>
        </w:rPr>
        <w:t xml:space="preserve">ights and interests in the land, not the </w:t>
      </w:r>
      <w:r w:rsidR="00137CCB" w:rsidRPr="00137CCB">
        <w:rPr>
          <w:rFonts w:ascii="Times New Roman" w:hAnsi="Times New Roman" w:cs="Times New Roman"/>
          <w:i/>
          <w:sz w:val="24"/>
          <w:szCs w:val="24"/>
        </w:rPr>
        <w:t>dominium</w:t>
      </w:r>
      <w:r w:rsidR="00137CCB">
        <w:rPr>
          <w:rFonts w:ascii="Times New Roman" w:hAnsi="Times New Roman" w:cs="Times New Roman"/>
          <w:sz w:val="24"/>
          <w:szCs w:val="24"/>
        </w:rPr>
        <w:t xml:space="preserve"> in the land. </w:t>
      </w:r>
      <w:r w:rsidR="00363546">
        <w:rPr>
          <w:rFonts w:ascii="Times New Roman" w:hAnsi="Times New Roman" w:cs="Times New Roman"/>
          <w:sz w:val="24"/>
          <w:szCs w:val="24"/>
        </w:rPr>
        <w:t xml:space="preserve">The court granted the claim in convention and dismissed the claim in reconvention. </w:t>
      </w:r>
    </w:p>
    <w:p w:rsidR="00571ADA" w:rsidRPr="00571ADA" w:rsidRDefault="00571ADA" w:rsidP="00571ADA">
      <w:pPr>
        <w:tabs>
          <w:tab w:val="left" w:pos="2385"/>
        </w:tabs>
        <w:spacing w:line="360" w:lineRule="auto"/>
        <w:jc w:val="both"/>
        <w:rPr>
          <w:rFonts w:ascii="Times New Roman" w:hAnsi="Times New Roman" w:cs="Times New Roman"/>
          <w:b/>
          <w:sz w:val="24"/>
          <w:szCs w:val="24"/>
        </w:rPr>
      </w:pPr>
      <w:r w:rsidRPr="00571ADA">
        <w:rPr>
          <w:rFonts w:ascii="Times New Roman" w:hAnsi="Times New Roman" w:cs="Times New Roman"/>
          <w:b/>
          <w:sz w:val="24"/>
          <w:szCs w:val="24"/>
        </w:rPr>
        <w:t xml:space="preserve">Grounds of appeal </w:t>
      </w:r>
      <w:r w:rsidR="00E62439">
        <w:rPr>
          <w:rFonts w:ascii="Times New Roman" w:hAnsi="Times New Roman" w:cs="Times New Roman"/>
          <w:b/>
          <w:sz w:val="24"/>
          <w:szCs w:val="24"/>
        </w:rPr>
        <w:t xml:space="preserve">and the relief sought </w:t>
      </w:r>
    </w:p>
    <w:p w:rsidR="00571ADA" w:rsidRDefault="00B15CD8" w:rsidP="00571A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D4A68">
        <w:rPr>
          <w:rFonts w:ascii="Times New Roman" w:hAnsi="Times New Roman" w:cs="Times New Roman"/>
          <w:sz w:val="24"/>
          <w:szCs w:val="24"/>
        </w:rPr>
        <w:t xml:space="preserve">Aggrieved by the judgment of the court </w:t>
      </w:r>
      <w:r w:rsidR="001D4A68" w:rsidRPr="001D4A68">
        <w:rPr>
          <w:rFonts w:ascii="Times New Roman" w:hAnsi="Times New Roman" w:cs="Times New Roman"/>
          <w:i/>
          <w:sz w:val="24"/>
          <w:szCs w:val="24"/>
        </w:rPr>
        <w:t>a quo</w:t>
      </w:r>
      <w:r w:rsidR="001D4A68">
        <w:rPr>
          <w:rFonts w:ascii="Times New Roman" w:hAnsi="Times New Roman" w:cs="Times New Roman"/>
          <w:sz w:val="24"/>
          <w:szCs w:val="24"/>
        </w:rPr>
        <w:t xml:space="preserve"> appellant noted an appeal to this court. </w:t>
      </w:r>
      <w:r w:rsidR="00571ADA" w:rsidRPr="00151C39">
        <w:rPr>
          <w:rFonts w:ascii="Times New Roman" w:hAnsi="Times New Roman" w:cs="Times New Roman"/>
          <w:sz w:val="24"/>
          <w:szCs w:val="24"/>
        </w:rPr>
        <w:t>The appellant initially raised</w:t>
      </w:r>
      <w:r w:rsidR="00571ADA">
        <w:rPr>
          <w:rFonts w:ascii="Times New Roman" w:hAnsi="Times New Roman" w:cs="Times New Roman"/>
          <w:sz w:val="24"/>
          <w:szCs w:val="24"/>
        </w:rPr>
        <w:t xml:space="preserve"> three</w:t>
      </w:r>
      <w:r w:rsidR="00571ADA" w:rsidRPr="00151C39">
        <w:rPr>
          <w:rFonts w:ascii="Times New Roman" w:hAnsi="Times New Roman" w:cs="Times New Roman"/>
          <w:sz w:val="24"/>
          <w:szCs w:val="24"/>
        </w:rPr>
        <w:t xml:space="preserve"> grounds of appeal. At the commencement of the appeal hearing</w:t>
      </w:r>
      <w:r w:rsidR="00571ADA">
        <w:rPr>
          <w:rFonts w:ascii="Times New Roman" w:hAnsi="Times New Roman" w:cs="Times New Roman"/>
          <w:sz w:val="24"/>
          <w:szCs w:val="24"/>
        </w:rPr>
        <w:t xml:space="preserve">, Mr </w:t>
      </w:r>
      <w:proofErr w:type="spellStart"/>
      <w:r w:rsidR="00571ADA" w:rsidRPr="002B0778">
        <w:rPr>
          <w:rFonts w:ascii="Times New Roman" w:hAnsi="Times New Roman" w:cs="Times New Roman"/>
          <w:i/>
          <w:sz w:val="24"/>
          <w:szCs w:val="24"/>
        </w:rPr>
        <w:t>Majoko</w:t>
      </w:r>
      <w:proofErr w:type="spellEnd"/>
      <w:r w:rsidR="00571ADA">
        <w:rPr>
          <w:rFonts w:ascii="Times New Roman" w:hAnsi="Times New Roman" w:cs="Times New Roman"/>
          <w:sz w:val="24"/>
          <w:szCs w:val="24"/>
        </w:rPr>
        <w:t xml:space="preserve"> for the appellant</w:t>
      </w:r>
      <w:r w:rsidR="00571ADA" w:rsidRPr="00151C39">
        <w:rPr>
          <w:rFonts w:ascii="Times New Roman" w:hAnsi="Times New Roman" w:cs="Times New Roman"/>
          <w:sz w:val="24"/>
          <w:szCs w:val="24"/>
        </w:rPr>
        <w:t xml:space="preserve"> move</w:t>
      </w:r>
      <w:r w:rsidR="00571ADA">
        <w:rPr>
          <w:rFonts w:ascii="Times New Roman" w:hAnsi="Times New Roman" w:cs="Times New Roman"/>
          <w:sz w:val="24"/>
          <w:szCs w:val="24"/>
        </w:rPr>
        <w:t>d for the amendment of the notice of appeal by deletion of three</w:t>
      </w:r>
      <w:r w:rsidR="00571ADA" w:rsidRPr="00151C39">
        <w:rPr>
          <w:rFonts w:ascii="Times New Roman" w:hAnsi="Times New Roman" w:cs="Times New Roman"/>
          <w:sz w:val="24"/>
          <w:szCs w:val="24"/>
        </w:rPr>
        <w:t xml:space="preserve"> ground</w:t>
      </w:r>
      <w:r w:rsidR="00571ADA">
        <w:rPr>
          <w:rFonts w:ascii="Times New Roman" w:hAnsi="Times New Roman" w:cs="Times New Roman"/>
          <w:sz w:val="24"/>
          <w:szCs w:val="24"/>
        </w:rPr>
        <w:t>s of appeal and the introduction</w:t>
      </w:r>
      <w:r w:rsidR="00571ADA" w:rsidRPr="00151C39">
        <w:rPr>
          <w:rFonts w:ascii="Times New Roman" w:hAnsi="Times New Roman" w:cs="Times New Roman"/>
          <w:sz w:val="24"/>
          <w:szCs w:val="24"/>
        </w:rPr>
        <w:t xml:space="preserve"> of the fourth ground. Advocate </w:t>
      </w:r>
      <w:proofErr w:type="spellStart"/>
      <w:r w:rsidR="00571ADA">
        <w:rPr>
          <w:rFonts w:ascii="Times New Roman" w:hAnsi="Times New Roman" w:cs="Times New Roman"/>
          <w:i/>
          <w:sz w:val="24"/>
          <w:szCs w:val="24"/>
        </w:rPr>
        <w:t>Siziba</w:t>
      </w:r>
      <w:proofErr w:type="spellEnd"/>
      <w:r w:rsidR="00571ADA" w:rsidRPr="00151C39">
        <w:rPr>
          <w:rFonts w:ascii="Times New Roman" w:hAnsi="Times New Roman" w:cs="Times New Roman"/>
          <w:sz w:val="24"/>
          <w:szCs w:val="24"/>
        </w:rPr>
        <w:t xml:space="preserve"> for the respondent did not oppose the amendments. We, accordingly, granted the amendments by consent of the parties. Resultantly, t</w:t>
      </w:r>
      <w:r w:rsidR="00571ADA">
        <w:rPr>
          <w:rFonts w:ascii="Times New Roman" w:hAnsi="Times New Roman" w:cs="Times New Roman"/>
          <w:sz w:val="24"/>
          <w:szCs w:val="24"/>
        </w:rPr>
        <w:t>here remained one ground</w:t>
      </w:r>
      <w:r w:rsidR="00571ADA" w:rsidRPr="00151C39">
        <w:rPr>
          <w:rFonts w:ascii="Times New Roman" w:hAnsi="Times New Roman" w:cs="Times New Roman"/>
          <w:sz w:val="24"/>
          <w:szCs w:val="24"/>
        </w:rPr>
        <w:t xml:space="preserve"> o</w:t>
      </w:r>
      <w:r w:rsidR="00571ADA">
        <w:rPr>
          <w:rFonts w:ascii="Times New Roman" w:hAnsi="Times New Roman" w:cs="Times New Roman"/>
          <w:sz w:val="24"/>
          <w:szCs w:val="24"/>
        </w:rPr>
        <w:t xml:space="preserve">f appeal. It is this: </w:t>
      </w:r>
    </w:p>
    <w:p w:rsidR="00571ADA" w:rsidRPr="00151C39" w:rsidRDefault="00571ADA" w:rsidP="00571ADA">
      <w:pPr>
        <w:tabs>
          <w:tab w:val="left" w:pos="1134"/>
        </w:tabs>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The court</w:t>
      </w:r>
      <w:r w:rsidRPr="00F75DD2">
        <w:rPr>
          <w:rFonts w:ascii="Times New Roman" w:hAnsi="Times New Roman" w:cs="Times New Roman"/>
          <w:i/>
          <w:sz w:val="24"/>
          <w:szCs w:val="24"/>
        </w:rPr>
        <w:t xml:space="preserve"> a quo erred </w:t>
      </w:r>
      <w:r>
        <w:rPr>
          <w:rFonts w:ascii="Times New Roman" w:hAnsi="Times New Roman" w:cs="Times New Roman"/>
          <w:sz w:val="24"/>
          <w:szCs w:val="24"/>
        </w:rPr>
        <w:t xml:space="preserve">and misdirected itself in finding for the respondent on the grounds that the agreement entered into between the parties was an agreement of cession when the respondent had pleaded a contract of sale and led evidence based on an agreement of sale and when no amendment had been sought to the summons and particulars of claim to allege a cession. </w:t>
      </w:r>
    </w:p>
    <w:p w:rsidR="001F0D93" w:rsidRDefault="00571ADA" w:rsidP="0091448B">
      <w:pPr>
        <w:spacing w:line="360" w:lineRule="auto"/>
        <w:ind w:firstLine="720"/>
        <w:jc w:val="both"/>
        <w:rPr>
          <w:rFonts w:ascii="Times New Roman" w:hAnsi="Times New Roman" w:cs="Times New Roman"/>
          <w:sz w:val="24"/>
          <w:szCs w:val="24"/>
        </w:rPr>
      </w:pPr>
      <w:r w:rsidRPr="00151C39">
        <w:rPr>
          <w:rFonts w:ascii="Times New Roman" w:hAnsi="Times New Roman" w:cs="Times New Roman"/>
          <w:sz w:val="24"/>
          <w:szCs w:val="24"/>
        </w:rPr>
        <w:t>The relief sought</w:t>
      </w:r>
      <w:r>
        <w:rPr>
          <w:rFonts w:ascii="Times New Roman" w:hAnsi="Times New Roman" w:cs="Times New Roman"/>
          <w:sz w:val="24"/>
          <w:szCs w:val="24"/>
        </w:rPr>
        <w:t xml:space="preserve"> on</w:t>
      </w:r>
      <w:r w:rsidRPr="00151C39">
        <w:rPr>
          <w:rFonts w:ascii="Times New Roman" w:hAnsi="Times New Roman" w:cs="Times New Roman"/>
          <w:sz w:val="24"/>
          <w:szCs w:val="24"/>
        </w:rPr>
        <w:t xml:space="preserve"> appeal was, firstly, that the appeal succeeds with costs. Secondly,</w:t>
      </w:r>
      <w:r>
        <w:rPr>
          <w:rFonts w:ascii="Times New Roman" w:hAnsi="Times New Roman" w:cs="Times New Roman"/>
          <w:sz w:val="24"/>
          <w:szCs w:val="24"/>
        </w:rPr>
        <w:t xml:space="preserve"> that the judgment of the court </w:t>
      </w:r>
      <w:r w:rsidRPr="0091448B">
        <w:rPr>
          <w:rFonts w:ascii="Times New Roman" w:hAnsi="Times New Roman" w:cs="Times New Roman"/>
          <w:i/>
          <w:sz w:val="24"/>
          <w:szCs w:val="24"/>
        </w:rPr>
        <w:t>a quo</w:t>
      </w:r>
      <w:r>
        <w:rPr>
          <w:rFonts w:ascii="Times New Roman" w:hAnsi="Times New Roman" w:cs="Times New Roman"/>
          <w:sz w:val="24"/>
          <w:szCs w:val="24"/>
        </w:rPr>
        <w:t xml:space="preserve"> be wholly set aside and substituted with the following: (a) plaintiff’s claim be and is hereby dismissed with costs; (b) defendant’s counter claim be and is hereby upheld; and (c) plaintiff be and is hereby ordered to pay the sum of $13 000 to the defendant.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850E7">
        <w:rPr>
          <w:rFonts w:ascii="Times New Roman" w:hAnsi="Times New Roman" w:cs="Times New Roman"/>
          <w:i/>
          <w:sz w:val="24"/>
          <w:szCs w:val="24"/>
        </w:rPr>
        <w:t>Majoko</w:t>
      </w:r>
      <w:proofErr w:type="spellEnd"/>
      <w:r w:rsidRPr="004850E7">
        <w:rPr>
          <w:rFonts w:ascii="Times New Roman" w:hAnsi="Times New Roman" w:cs="Times New Roman"/>
          <w:i/>
          <w:sz w:val="24"/>
          <w:szCs w:val="24"/>
        </w:rPr>
        <w:t xml:space="preserve"> </w:t>
      </w:r>
      <w:r>
        <w:rPr>
          <w:rFonts w:ascii="Times New Roman" w:hAnsi="Times New Roman" w:cs="Times New Roman"/>
          <w:sz w:val="24"/>
          <w:szCs w:val="24"/>
        </w:rPr>
        <w:t xml:space="preserve">moved for the deletion of </w:t>
      </w:r>
      <w:r w:rsidR="005B6452" w:rsidRPr="005B6452">
        <w:rPr>
          <w:rFonts w:ascii="Times New Roman" w:hAnsi="Times New Roman" w:cs="Times New Roman"/>
          <w:i/>
          <w:sz w:val="24"/>
          <w:szCs w:val="24"/>
        </w:rPr>
        <w:t xml:space="preserve">para </w:t>
      </w:r>
      <w:r>
        <w:rPr>
          <w:rFonts w:ascii="Times New Roman" w:hAnsi="Times New Roman" w:cs="Times New Roman"/>
          <w:sz w:val="24"/>
          <w:szCs w:val="24"/>
        </w:rPr>
        <w:t xml:space="preserve">(b) that </w:t>
      </w:r>
      <w:r w:rsidR="003A3CD9">
        <w:rPr>
          <w:rFonts w:ascii="Times New Roman" w:hAnsi="Times New Roman" w:cs="Times New Roman"/>
          <w:sz w:val="24"/>
          <w:szCs w:val="24"/>
        </w:rPr>
        <w:t>“</w:t>
      </w:r>
      <w:r>
        <w:rPr>
          <w:rFonts w:ascii="Times New Roman" w:hAnsi="Times New Roman" w:cs="Times New Roman"/>
          <w:sz w:val="24"/>
          <w:szCs w:val="24"/>
        </w:rPr>
        <w:t>defendant’s counter claim be and is hereby upheld.</w:t>
      </w:r>
      <w:r w:rsidR="003A3CD9">
        <w:rPr>
          <w:rFonts w:ascii="Times New Roman" w:hAnsi="Times New Roman" w:cs="Times New Roman"/>
          <w:sz w:val="24"/>
          <w:szCs w:val="24"/>
        </w:rPr>
        <w:t>”</w:t>
      </w:r>
      <w:r>
        <w:rPr>
          <w:rFonts w:ascii="Times New Roman" w:hAnsi="Times New Roman" w:cs="Times New Roman"/>
          <w:sz w:val="24"/>
          <w:szCs w:val="24"/>
        </w:rPr>
        <w:t xml:space="preserve"> It was so deleted.</w:t>
      </w:r>
    </w:p>
    <w:p w:rsidR="001C0216" w:rsidRDefault="001C0216" w:rsidP="001C0216">
      <w:pPr>
        <w:spacing w:line="360" w:lineRule="auto"/>
        <w:jc w:val="both"/>
        <w:rPr>
          <w:rFonts w:ascii="Times New Roman" w:hAnsi="Times New Roman" w:cs="Times New Roman"/>
          <w:b/>
          <w:sz w:val="24"/>
          <w:szCs w:val="24"/>
        </w:rPr>
      </w:pPr>
      <w:r w:rsidRPr="001C0216">
        <w:rPr>
          <w:rFonts w:ascii="Times New Roman" w:hAnsi="Times New Roman" w:cs="Times New Roman"/>
          <w:b/>
          <w:sz w:val="24"/>
          <w:szCs w:val="24"/>
        </w:rPr>
        <w:t xml:space="preserve">The parties’ submissions </w:t>
      </w:r>
    </w:p>
    <w:p w:rsidR="0029257A" w:rsidRDefault="001C0216" w:rsidP="00AD5EE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480CBF" w:rsidRPr="00151C39">
        <w:rPr>
          <w:rFonts w:ascii="Times New Roman" w:hAnsi="Times New Roman" w:cs="Times New Roman"/>
          <w:sz w:val="24"/>
          <w:szCs w:val="24"/>
        </w:rPr>
        <w:t xml:space="preserve">Counsel for the appellant made the following submissions. That the court </w:t>
      </w:r>
      <w:r w:rsidR="00480CBF" w:rsidRPr="00151C39">
        <w:rPr>
          <w:rFonts w:ascii="Times New Roman" w:hAnsi="Times New Roman" w:cs="Times New Roman"/>
          <w:i/>
          <w:sz w:val="24"/>
          <w:szCs w:val="24"/>
        </w:rPr>
        <w:t>a quo</w:t>
      </w:r>
      <w:r w:rsidR="00480CBF" w:rsidRPr="00151C39">
        <w:rPr>
          <w:rFonts w:ascii="Times New Roman" w:hAnsi="Times New Roman" w:cs="Times New Roman"/>
          <w:sz w:val="24"/>
          <w:szCs w:val="24"/>
        </w:rPr>
        <w:t xml:space="preserve"> erred in</w:t>
      </w:r>
      <w:r w:rsidR="00480CBF">
        <w:rPr>
          <w:rFonts w:ascii="Times New Roman" w:hAnsi="Times New Roman" w:cs="Times New Roman"/>
          <w:sz w:val="24"/>
          <w:szCs w:val="24"/>
        </w:rPr>
        <w:t xml:space="preserve"> </w:t>
      </w:r>
      <w:r w:rsidR="000912DA">
        <w:rPr>
          <w:rFonts w:ascii="Times New Roman" w:hAnsi="Times New Roman" w:cs="Times New Roman"/>
          <w:sz w:val="24"/>
          <w:szCs w:val="24"/>
        </w:rPr>
        <w:t xml:space="preserve">finding for the respondent on a ground </w:t>
      </w:r>
      <w:r w:rsidR="002E016E">
        <w:rPr>
          <w:rFonts w:ascii="Times New Roman" w:hAnsi="Times New Roman" w:cs="Times New Roman"/>
          <w:sz w:val="24"/>
          <w:szCs w:val="24"/>
        </w:rPr>
        <w:t xml:space="preserve">that was </w:t>
      </w:r>
      <w:r w:rsidR="000912DA">
        <w:rPr>
          <w:rFonts w:ascii="Times New Roman" w:hAnsi="Times New Roman" w:cs="Times New Roman"/>
          <w:sz w:val="24"/>
          <w:szCs w:val="24"/>
        </w:rPr>
        <w:t xml:space="preserve">not pleaded and a ground in respect of which </w:t>
      </w:r>
      <w:r w:rsidR="000912DA">
        <w:rPr>
          <w:rFonts w:ascii="Times New Roman" w:hAnsi="Times New Roman" w:cs="Times New Roman"/>
          <w:sz w:val="24"/>
          <w:szCs w:val="24"/>
        </w:rPr>
        <w:lastRenderedPageBreak/>
        <w:t xml:space="preserve">no evidence had been </w:t>
      </w:r>
      <w:r w:rsidR="002E016E">
        <w:rPr>
          <w:rFonts w:ascii="Times New Roman" w:hAnsi="Times New Roman" w:cs="Times New Roman"/>
          <w:sz w:val="24"/>
          <w:szCs w:val="24"/>
        </w:rPr>
        <w:t xml:space="preserve">adduced. No amendment of the pleadings </w:t>
      </w:r>
      <w:r w:rsidR="00C12CD6">
        <w:rPr>
          <w:rFonts w:ascii="Times New Roman" w:hAnsi="Times New Roman" w:cs="Times New Roman"/>
          <w:sz w:val="24"/>
          <w:szCs w:val="24"/>
        </w:rPr>
        <w:t xml:space="preserve">was sought </w:t>
      </w:r>
      <w:r w:rsidR="002E016E">
        <w:rPr>
          <w:rFonts w:ascii="Times New Roman" w:hAnsi="Times New Roman" w:cs="Times New Roman"/>
          <w:sz w:val="24"/>
          <w:szCs w:val="24"/>
        </w:rPr>
        <w:t xml:space="preserve">nor granted. </w:t>
      </w:r>
      <w:r w:rsidR="00D76054">
        <w:rPr>
          <w:rFonts w:ascii="Times New Roman" w:hAnsi="Times New Roman" w:cs="Times New Roman"/>
          <w:sz w:val="24"/>
          <w:szCs w:val="24"/>
        </w:rPr>
        <w:t xml:space="preserve">Mr </w:t>
      </w:r>
      <w:proofErr w:type="spellStart"/>
      <w:r w:rsidR="00D76054" w:rsidRPr="009B330F">
        <w:rPr>
          <w:rFonts w:ascii="Times New Roman" w:hAnsi="Times New Roman" w:cs="Times New Roman"/>
          <w:i/>
          <w:sz w:val="24"/>
          <w:szCs w:val="24"/>
        </w:rPr>
        <w:t>Majoko</w:t>
      </w:r>
      <w:proofErr w:type="spellEnd"/>
      <w:r w:rsidR="00D76054">
        <w:rPr>
          <w:rFonts w:ascii="Times New Roman" w:hAnsi="Times New Roman" w:cs="Times New Roman"/>
          <w:sz w:val="24"/>
          <w:szCs w:val="24"/>
        </w:rPr>
        <w:t xml:space="preserve"> argued that the respondent pleaded a case that the parties entered into an agreement of sale. Counsel directed the attention of this court to the summons, particulars of claim and to the prayer where reference was made to the “agreement of sale.” </w:t>
      </w:r>
      <w:r w:rsidR="0029257A">
        <w:rPr>
          <w:rFonts w:ascii="Times New Roman" w:hAnsi="Times New Roman" w:cs="Times New Roman"/>
          <w:sz w:val="24"/>
          <w:szCs w:val="24"/>
        </w:rPr>
        <w:t>This</w:t>
      </w:r>
      <w:r w:rsidR="00A95C83">
        <w:rPr>
          <w:rFonts w:ascii="Times New Roman" w:hAnsi="Times New Roman" w:cs="Times New Roman"/>
          <w:sz w:val="24"/>
          <w:szCs w:val="24"/>
        </w:rPr>
        <w:t xml:space="preserve"> court was further directed to parts of the evidence where there was reference to an agreement of sale.</w:t>
      </w:r>
      <w:r w:rsidR="0029257A">
        <w:rPr>
          <w:rFonts w:ascii="Times New Roman" w:hAnsi="Times New Roman" w:cs="Times New Roman"/>
          <w:sz w:val="24"/>
          <w:szCs w:val="24"/>
        </w:rPr>
        <w:t xml:space="preserve"> Counsel argued that respondent for the first time in its written closing submissions departed from its pleadings and started to refer to a cession. </w:t>
      </w:r>
    </w:p>
    <w:p w:rsidR="00013584" w:rsidRDefault="00013584" w:rsidP="00AD5EE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argued that respondent must as a rule of pleading stand or fall by its summons. </w:t>
      </w:r>
      <w:r w:rsidR="00AA33E5">
        <w:rPr>
          <w:rFonts w:ascii="Times New Roman" w:hAnsi="Times New Roman" w:cs="Times New Roman"/>
          <w:sz w:val="24"/>
          <w:szCs w:val="24"/>
        </w:rPr>
        <w:t xml:space="preserve">Not only should respondent stand by its summons, it must stand by the agreement of sale it crafted and by the evidence led on its behalf in </w:t>
      </w:r>
      <w:r w:rsidR="00194032">
        <w:rPr>
          <w:rFonts w:ascii="Times New Roman" w:hAnsi="Times New Roman" w:cs="Times New Roman"/>
          <w:sz w:val="24"/>
          <w:szCs w:val="24"/>
        </w:rPr>
        <w:t xml:space="preserve">court </w:t>
      </w:r>
      <w:r w:rsidR="00194032" w:rsidRPr="00194032">
        <w:rPr>
          <w:rFonts w:ascii="Times New Roman" w:hAnsi="Times New Roman" w:cs="Times New Roman"/>
          <w:i/>
          <w:sz w:val="24"/>
          <w:szCs w:val="24"/>
        </w:rPr>
        <w:t>a quo.</w:t>
      </w:r>
      <w:r w:rsidR="00194032">
        <w:rPr>
          <w:rFonts w:ascii="Times New Roman" w:hAnsi="Times New Roman" w:cs="Times New Roman"/>
          <w:sz w:val="24"/>
          <w:szCs w:val="24"/>
        </w:rPr>
        <w:t xml:space="preserve"> It is contended that in everything respondent placed before the court, in writing and in oral evidence its case was that it sold </w:t>
      </w:r>
      <w:r w:rsidR="00FD2A7B">
        <w:rPr>
          <w:rFonts w:ascii="Times New Roman" w:hAnsi="Times New Roman" w:cs="Times New Roman"/>
          <w:sz w:val="24"/>
          <w:szCs w:val="24"/>
        </w:rPr>
        <w:t xml:space="preserve">land to the appellant. </w:t>
      </w:r>
      <w:r w:rsidR="00855EB6">
        <w:rPr>
          <w:rFonts w:ascii="Times New Roman" w:hAnsi="Times New Roman" w:cs="Times New Roman"/>
          <w:sz w:val="24"/>
          <w:szCs w:val="24"/>
        </w:rPr>
        <w:t xml:space="preserve">It is contended that respondent described itself as a seller of land, and if it sold land in instalments then it cannot avoid the provisions of the Contractual Penalties Act. </w:t>
      </w:r>
      <w:r w:rsidR="0018523B">
        <w:rPr>
          <w:rFonts w:ascii="Times New Roman" w:hAnsi="Times New Roman" w:cs="Times New Roman"/>
          <w:sz w:val="24"/>
          <w:szCs w:val="24"/>
        </w:rPr>
        <w:t xml:space="preserve">It was bound by the Contractual Penalties Act. </w:t>
      </w:r>
    </w:p>
    <w:p w:rsidR="00632138" w:rsidRDefault="00AD5EED" w:rsidP="003A7FA3">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DD571E">
        <w:rPr>
          <w:rFonts w:ascii="Times New Roman" w:hAnsi="Times New Roman" w:cs="Times New Roman"/>
          <w:i/>
          <w:sz w:val="24"/>
          <w:szCs w:val="24"/>
        </w:rPr>
        <w:t>Majoko</w:t>
      </w:r>
      <w:proofErr w:type="spellEnd"/>
      <w:r>
        <w:rPr>
          <w:rFonts w:ascii="Times New Roman" w:hAnsi="Times New Roman" w:cs="Times New Roman"/>
          <w:sz w:val="24"/>
          <w:szCs w:val="24"/>
        </w:rPr>
        <w:t xml:space="preserve"> further argued that the court </w:t>
      </w:r>
      <w:r w:rsidRPr="00AD5EED">
        <w:rPr>
          <w:rFonts w:ascii="Times New Roman" w:hAnsi="Times New Roman" w:cs="Times New Roman"/>
          <w:i/>
          <w:sz w:val="24"/>
          <w:szCs w:val="24"/>
        </w:rPr>
        <w:t>a quo</w:t>
      </w:r>
      <w:r>
        <w:rPr>
          <w:rFonts w:ascii="Times New Roman" w:hAnsi="Times New Roman" w:cs="Times New Roman"/>
          <w:sz w:val="24"/>
          <w:szCs w:val="24"/>
        </w:rPr>
        <w:t xml:space="preserve"> started on track by referring to the agreement as an agreement of sale, and later changed and referred to it as a cession. </w:t>
      </w:r>
      <w:r w:rsidR="00227391">
        <w:rPr>
          <w:rFonts w:ascii="Times New Roman" w:hAnsi="Times New Roman" w:cs="Times New Roman"/>
          <w:sz w:val="24"/>
          <w:szCs w:val="24"/>
        </w:rPr>
        <w:t xml:space="preserve">Counsel argued that it is trite that a plaintiff’s case stands or falls on the pleaded case. </w:t>
      </w:r>
      <w:r>
        <w:rPr>
          <w:rFonts w:ascii="Times New Roman" w:hAnsi="Times New Roman" w:cs="Times New Roman"/>
          <w:sz w:val="24"/>
          <w:szCs w:val="24"/>
        </w:rPr>
        <w:t xml:space="preserve">The court </w:t>
      </w:r>
      <w:r w:rsidRPr="00CA14AC">
        <w:rPr>
          <w:rFonts w:ascii="Times New Roman" w:hAnsi="Times New Roman" w:cs="Times New Roman"/>
          <w:i/>
          <w:sz w:val="24"/>
          <w:szCs w:val="24"/>
        </w:rPr>
        <w:t xml:space="preserve">a quo </w:t>
      </w:r>
      <w:r>
        <w:rPr>
          <w:rFonts w:ascii="Times New Roman" w:hAnsi="Times New Roman" w:cs="Times New Roman"/>
          <w:sz w:val="24"/>
          <w:szCs w:val="24"/>
        </w:rPr>
        <w:t>is criticised for finding t</w:t>
      </w:r>
      <w:r w:rsidR="00374721">
        <w:rPr>
          <w:rFonts w:ascii="Times New Roman" w:hAnsi="Times New Roman" w:cs="Times New Roman"/>
          <w:sz w:val="24"/>
          <w:szCs w:val="24"/>
        </w:rPr>
        <w:t>hat the rights of the parties are</w:t>
      </w:r>
      <w:r>
        <w:rPr>
          <w:rFonts w:ascii="Times New Roman" w:hAnsi="Times New Roman" w:cs="Times New Roman"/>
          <w:sz w:val="24"/>
          <w:szCs w:val="24"/>
        </w:rPr>
        <w:t xml:space="preserve"> similar to the rights of the parties who are purchasing properties from local authorities under a </w:t>
      </w:r>
      <w:proofErr w:type="spellStart"/>
      <w:r>
        <w:rPr>
          <w:rFonts w:ascii="Times New Roman" w:hAnsi="Times New Roman" w:cs="Times New Roman"/>
          <w:sz w:val="24"/>
          <w:szCs w:val="24"/>
        </w:rPr>
        <w:t>suspensive</w:t>
      </w:r>
      <w:proofErr w:type="spellEnd"/>
      <w:r>
        <w:rPr>
          <w:rFonts w:ascii="Times New Roman" w:hAnsi="Times New Roman" w:cs="Times New Roman"/>
          <w:sz w:val="24"/>
          <w:szCs w:val="24"/>
        </w:rPr>
        <w:t xml:space="preserve"> agreement of sale. </w:t>
      </w:r>
      <w:r w:rsidR="00632138">
        <w:rPr>
          <w:rFonts w:ascii="Times New Roman" w:hAnsi="Times New Roman" w:cs="Times New Roman"/>
          <w:sz w:val="24"/>
          <w:szCs w:val="24"/>
        </w:rPr>
        <w:t xml:space="preserve">It is argued that court </w:t>
      </w:r>
      <w:r w:rsidR="00632138" w:rsidRPr="00227391">
        <w:rPr>
          <w:rFonts w:ascii="Times New Roman" w:hAnsi="Times New Roman" w:cs="Times New Roman"/>
          <w:i/>
          <w:sz w:val="24"/>
          <w:szCs w:val="24"/>
        </w:rPr>
        <w:t>a quo</w:t>
      </w:r>
      <w:r w:rsidR="00632138">
        <w:rPr>
          <w:rFonts w:ascii="Times New Roman" w:hAnsi="Times New Roman" w:cs="Times New Roman"/>
          <w:sz w:val="24"/>
          <w:szCs w:val="24"/>
        </w:rPr>
        <w:t xml:space="preserve"> misdirected itself in finding that what was in effect sold and purchased were rights and interests in the land, not the </w:t>
      </w:r>
      <w:r w:rsidR="00632138" w:rsidRPr="00137CCB">
        <w:rPr>
          <w:rFonts w:ascii="Times New Roman" w:hAnsi="Times New Roman" w:cs="Times New Roman"/>
          <w:i/>
          <w:sz w:val="24"/>
          <w:szCs w:val="24"/>
        </w:rPr>
        <w:t>dominium</w:t>
      </w:r>
      <w:r w:rsidR="00227391">
        <w:rPr>
          <w:rFonts w:ascii="Times New Roman" w:hAnsi="Times New Roman" w:cs="Times New Roman"/>
          <w:sz w:val="24"/>
          <w:szCs w:val="24"/>
        </w:rPr>
        <w:t xml:space="preserve"> in the land, when the pleaded case is that what was sold is </w:t>
      </w:r>
      <w:r w:rsidR="003A7FA3">
        <w:rPr>
          <w:rFonts w:ascii="Times New Roman" w:hAnsi="Times New Roman" w:cs="Times New Roman"/>
          <w:sz w:val="24"/>
          <w:szCs w:val="24"/>
        </w:rPr>
        <w:t xml:space="preserve">land. </w:t>
      </w:r>
    </w:p>
    <w:p w:rsidR="0044080E" w:rsidRDefault="00F61ECE" w:rsidP="0054365B">
      <w:pPr>
        <w:spacing w:line="360" w:lineRule="auto"/>
        <w:ind w:firstLine="720"/>
        <w:jc w:val="both"/>
        <w:rPr>
          <w:rFonts w:ascii="Times New Roman" w:hAnsi="Times New Roman" w:cs="Times New Roman"/>
          <w:sz w:val="24"/>
          <w:szCs w:val="24"/>
        </w:rPr>
      </w:pPr>
      <w:r w:rsidRPr="00151C39">
        <w:rPr>
          <w:rFonts w:ascii="Times New Roman" w:hAnsi="Times New Roman" w:cs="Times New Roman"/>
          <w:sz w:val="24"/>
          <w:szCs w:val="24"/>
        </w:rPr>
        <w:t xml:space="preserve">Mr </w:t>
      </w:r>
      <w:proofErr w:type="spellStart"/>
      <w:r>
        <w:rPr>
          <w:rFonts w:ascii="Times New Roman" w:hAnsi="Times New Roman" w:cs="Times New Roman"/>
          <w:i/>
          <w:sz w:val="24"/>
          <w:szCs w:val="24"/>
        </w:rPr>
        <w:t>Siziba</w:t>
      </w:r>
      <w:proofErr w:type="spellEnd"/>
      <w:r w:rsidRPr="00151C39">
        <w:rPr>
          <w:rFonts w:ascii="Times New Roman" w:hAnsi="Times New Roman" w:cs="Times New Roman"/>
          <w:sz w:val="24"/>
          <w:szCs w:val="24"/>
        </w:rPr>
        <w:t xml:space="preserve"> made contrary submissions.</w:t>
      </w:r>
      <w:r>
        <w:rPr>
          <w:rFonts w:ascii="Times New Roman" w:hAnsi="Times New Roman" w:cs="Times New Roman"/>
          <w:sz w:val="24"/>
          <w:szCs w:val="24"/>
        </w:rPr>
        <w:t xml:space="preserve"> </w:t>
      </w:r>
      <w:r w:rsidR="00F429C9">
        <w:rPr>
          <w:rFonts w:ascii="Times New Roman" w:hAnsi="Times New Roman" w:cs="Times New Roman"/>
          <w:sz w:val="24"/>
          <w:szCs w:val="24"/>
        </w:rPr>
        <w:t xml:space="preserve">Counsel argued that </w:t>
      </w:r>
      <w:r w:rsidR="00DA4547">
        <w:rPr>
          <w:rFonts w:ascii="Times New Roman" w:hAnsi="Times New Roman" w:cs="Times New Roman"/>
          <w:sz w:val="24"/>
          <w:szCs w:val="24"/>
        </w:rPr>
        <w:t xml:space="preserve">notwithstanding that in its pleadings respondent sought to cancel an agreement of sale. </w:t>
      </w:r>
      <w:r w:rsidR="00AC0462">
        <w:rPr>
          <w:rFonts w:ascii="Times New Roman" w:hAnsi="Times New Roman" w:cs="Times New Roman"/>
          <w:sz w:val="24"/>
          <w:szCs w:val="24"/>
        </w:rPr>
        <w:t>Howe</w:t>
      </w:r>
      <w:r w:rsidR="00DB64D1">
        <w:rPr>
          <w:rFonts w:ascii="Times New Roman" w:hAnsi="Times New Roman" w:cs="Times New Roman"/>
          <w:sz w:val="24"/>
          <w:szCs w:val="24"/>
        </w:rPr>
        <w:t>ver the court applied the law to</w:t>
      </w:r>
      <w:r w:rsidR="00AC0462">
        <w:rPr>
          <w:rFonts w:ascii="Times New Roman" w:hAnsi="Times New Roman" w:cs="Times New Roman"/>
          <w:sz w:val="24"/>
          <w:szCs w:val="24"/>
        </w:rPr>
        <w:t xml:space="preserve"> the commo</w:t>
      </w:r>
      <w:r w:rsidR="00136BEB">
        <w:rPr>
          <w:rFonts w:ascii="Times New Roman" w:hAnsi="Times New Roman" w:cs="Times New Roman"/>
          <w:sz w:val="24"/>
          <w:szCs w:val="24"/>
        </w:rPr>
        <w:t xml:space="preserve">n cause facts and the evidence, which are said to be that </w:t>
      </w:r>
      <w:r w:rsidR="005C32A5">
        <w:rPr>
          <w:rFonts w:ascii="Times New Roman" w:hAnsi="Times New Roman" w:cs="Times New Roman"/>
          <w:sz w:val="24"/>
          <w:szCs w:val="24"/>
        </w:rPr>
        <w:t xml:space="preserve">respondent is not the registered owner of the property and has no title to the property. </w:t>
      </w:r>
      <w:r w:rsidR="000E10BD">
        <w:rPr>
          <w:rFonts w:ascii="Times New Roman" w:hAnsi="Times New Roman" w:cs="Times New Roman"/>
          <w:sz w:val="24"/>
          <w:szCs w:val="24"/>
        </w:rPr>
        <w:t xml:space="preserve">Counsel contended that on the facts and the evidence </w:t>
      </w:r>
      <w:r w:rsidR="00553A5E">
        <w:rPr>
          <w:rFonts w:ascii="Times New Roman" w:hAnsi="Times New Roman" w:cs="Times New Roman"/>
          <w:sz w:val="24"/>
          <w:szCs w:val="24"/>
        </w:rPr>
        <w:t xml:space="preserve">it was not an agreement of sale but of cession, and the court </w:t>
      </w:r>
      <w:r w:rsidR="00553A5E" w:rsidRPr="00553A5E">
        <w:rPr>
          <w:rFonts w:ascii="Times New Roman" w:hAnsi="Times New Roman" w:cs="Times New Roman"/>
          <w:i/>
          <w:sz w:val="24"/>
          <w:szCs w:val="24"/>
        </w:rPr>
        <w:t xml:space="preserve">a quo </w:t>
      </w:r>
      <w:r w:rsidR="00553A5E">
        <w:rPr>
          <w:rFonts w:ascii="Times New Roman" w:hAnsi="Times New Roman" w:cs="Times New Roman"/>
          <w:sz w:val="24"/>
          <w:szCs w:val="24"/>
        </w:rPr>
        <w:t xml:space="preserve">could not ignore the common cause facts supported by the evidence. </w:t>
      </w:r>
      <w:r w:rsidR="0020561E">
        <w:rPr>
          <w:rFonts w:ascii="Times New Roman" w:hAnsi="Times New Roman" w:cs="Times New Roman"/>
          <w:sz w:val="24"/>
          <w:szCs w:val="24"/>
        </w:rPr>
        <w:t>Counsel argued that a</w:t>
      </w:r>
      <w:r w:rsidR="00D24FEA">
        <w:rPr>
          <w:rFonts w:ascii="Times New Roman" w:hAnsi="Times New Roman" w:cs="Times New Roman"/>
          <w:sz w:val="24"/>
          <w:szCs w:val="24"/>
        </w:rPr>
        <w:t xml:space="preserve">ppellant is trying to make up </w:t>
      </w:r>
      <w:r w:rsidR="0020561E">
        <w:rPr>
          <w:rFonts w:ascii="Times New Roman" w:hAnsi="Times New Roman" w:cs="Times New Roman"/>
          <w:sz w:val="24"/>
          <w:szCs w:val="24"/>
        </w:rPr>
        <w:t xml:space="preserve">a new case on appeal which is said to be impermissible. </w:t>
      </w:r>
      <w:r w:rsidR="0044080E">
        <w:rPr>
          <w:rFonts w:ascii="Times New Roman" w:hAnsi="Times New Roman" w:cs="Times New Roman"/>
          <w:sz w:val="24"/>
          <w:szCs w:val="24"/>
        </w:rPr>
        <w:t xml:space="preserve">Counsel argued respondent </w:t>
      </w:r>
      <w:r w:rsidR="008E3A5B">
        <w:rPr>
          <w:rFonts w:ascii="Times New Roman" w:hAnsi="Times New Roman" w:cs="Times New Roman"/>
          <w:sz w:val="24"/>
          <w:szCs w:val="24"/>
        </w:rPr>
        <w:t>not being the owner of the property, it had no real rights but only personal rights over the property which</w:t>
      </w:r>
      <w:r w:rsidR="00A51013">
        <w:rPr>
          <w:rFonts w:ascii="Times New Roman" w:hAnsi="Times New Roman" w:cs="Times New Roman"/>
          <w:sz w:val="24"/>
          <w:szCs w:val="24"/>
        </w:rPr>
        <w:t xml:space="preserve"> can</w:t>
      </w:r>
      <w:r w:rsidR="008E3A5B">
        <w:rPr>
          <w:rFonts w:ascii="Times New Roman" w:hAnsi="Times New Roman" w:cs="Times New Roman"/>
          <w:sz w:val="24"/>
          <w:szCs w:val="24"/>
        </w:rPr>
        <w:t xml:space="preserve"> only be ceded </w:t>
      </w:r>
      <w:r w:rsidR="0054365B">
        <w:rPr>
          <w:rFonts w:ascii="Times New Roman" w:hAnsi="Times New Roman" w:cs="Times New Roman"/>
          <w:sz w:val="24"/>
          <w:szCs w:val="24"/>
        </w:rPr>
        <w:t xml:space="preserve">to the appellant. </w:t>
      </w:r>
      <w:r w:rsidR="009D7715">
        <w:rPr>
          <w:rFonts w:ascii="Times New Roman" w:hAnsi="Times New Roman" w:cs="Times New Roman"/>
          <w:sz w:val="24"/>
          <w:szCs w:val="24"/>
        </w:rPr>
        <w:t xml:space="preserve">Counsel cited </w:t>
      </w:r>
      <w:proofErr w:type="spellStart"/>
      <w:r w:rsidR="009D7715" w:rsidRPr="00B67333">
        <w:rPr>
          <w:rFonts w:ascii="Times New Roman" w:hAnsi="Times New Roman" w:cs="Times New Roman"/>
          <w:i/>
          <w:sz w:val="24"/>
          <w:szCs w:val="24"/>
        </w:rPr>
        <w:t>Khumalo</w:t>
      </w:r>
      <w:proofErr w:type="spellEnd"/>
      <w:r w:rsidR="009D7715" w:rsidRPr="00B67333">
        <w:rPr>
          <w:rFonts w:ascii="Times New Roman" w:hAnsi="Times New Roman" w:cs="Times New Roman"/>
          <w:i/>
          <w:sz w:val="24"/>
          <w:szCs w:val="24"/>
        </w:rPr>
        <w:t xml:space="preserve"> v </w:t>
      </w:r>
      <w:proofErr w:type="spellStart"/>
      <w:r w:rsidR="009D7715" w:rsidRPr="00B67333">
        <w:rPr>
          <w:rFonts w:ascii="Times New Roman" w:hAnsi="Times New Roman" w:cs="Times New Roman"/>
          <w:i/>
          <w:sz w:val="24"/>
          <w:szCs w:val="24"/>
        </w:rPr>
        <w:t>Mandeya</w:t>
      </w:r>
      <w:proofErr w:type="spellEnd"/>
      <w:r w:rsidR="009D7715" w:rsidRPr="00B67333">
        <w:rPr>
          <w:rFonts w:ascii="Times New Roman" w:hAnsi="Times New Roman" w:cs="Times New Roman"/>
          <w:i/>
          <w:sz w:val="24"/>
          <w:szCs w:val="24"/>
        </w:rPr>
        <w:t xml:space="preserve"> </w:t>
      </w:r>
      <w:r w:rsidR="00B67333">
        <w:rPr>
          <w:rFonts w:ascii="Times New Roman" w:hAnsi="Times New Roman" w:cs="Times New Roman"/>
          <w:sz w:val="24"/>
          <w:szCs w:val="24"/>
        </w:rPr>
        <w:t xml:space="preserve">SC 23/08 in support of its argument. </w:t>
      </w:r>
    </w:p>
    <w:p w:rsidR="00EE350E" w:rsidRDefault="00EE350E" w:rsidP="0054365B">
      <w:pPr>
        <w:spacing w:line="360" w:lineRule="auto"/>
        <w:ind w:firstLine="720"/>
        <w:jc w:val="both"/>
        <w:rPr>
          <w:rFonts w:ascii="Times New Roman" w:hAnsi="Times New Roman" w:cs="Times New Roman"/>
          <w:sz w:val="24"/>
          <w:szCs w:val="24"/>
        </w:rPr>
      </w:pPr>
    </w:p>
    <w:p w:rsidR="007566CE" w:rsidRDefault="007566CE" w:rsidP="00EE350E">
      <w:pPr>
        <w:spacing w:line="240" w:lineRule="auto"/>
        <w:jc w:val="both"/>
        <w:rPr>
          <w:rFonts w:ascii="Times New Roman" w:hAnsi="Times New Roman" w:cs="Times New Roman"/>
          <w:b/>
          <w:sz w:val="24"/>
          <w:szCs w:val="24"/>
        </w:rPr>
      </w:pPr>
    </w:p>
    <w:p w:rsidR="00EE350E" w:rsidRDefault="00EE350E" w:rsidP="00EE350E">
      <w:pPr>
        <w:spacing w:line="240" w:lineRule="auto"/>
        <w:jc w:val="both"/>
        <w:rPr>
          <w:rFonts w:ascii="Times New Roman" w:hAnsi="Times New Roman" w:cs="Times New Roman"/>
          <w:b/>
          <w:sz w:val="24"/>
          <w:szCs w:val="24"/>
        </w:rPr>
      </w:pPr>
      <w:r>
        <w:rPr>
          <w:rFonts w:ascii="Times New Roman" w:hAnsi="Times New Roman" w:cs="Times New Roman"/>
          <w:b/>
          <w:sz w:val="24"/>
          <w:szCs w:val="24"/>
        </w:rPr>
        <w:t>Analysis and application of the law to the f</w:t>
      </w:r>
      <w:r w:rsidRPr="00EE350E">
        <w:rPr>
          <w:rFonts w:ascii="Times New Roman" w:hAnsi="Times New Roman" w:cs="Times New Roman"/>
          <w:b/>
          <w:sz w:val="24"/>
          <w:szCs w:val="24"/>
        </w:rPr>
        <w:t>acts</w:t>
      </w:r>
    </w:p>
    <w:p w:rsidR="006812F8" w:rsidRDefault="006812F8" w:rsidP="00EE350E">
      <w:pPr>
        <w:spacing w:line="240" w:lineRule="auto"/>
        <w:jc w:val="both"/>
        <w:rPr>
          <w:rFonts w:ascii="Times New Roman" w:hAnsi="Times New Roman" w:cs="Times New Roman"/>
          <w:b/>
          <w:sz w:val="24"/>
          <w:szCs w:val="24"/>
        </w:rPr>
      </w:pPr>
    </w:p>
    <w:p w:rsidR="006812F8" w:rsidRDefault="006812F8" w:rsidP="008A04A4">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A04A4">
        <w:rPr>
          <w:rFonts w:ascii="Times New Roman" w:hAnsi="Times New Roman" w:cs="Times New Roman"/>
          <w:sz w:val="24"/>
          <w:szCs w:val="24"/>
        </w:rPr>
        <w:t xml:space="preserve">It is not in dispute that respondent pleaded an agreement of sale. </w:t>
      </w:r>
      <w:r w:rsidR="008A04A4" w:rsidRPr="008A04A4">
        <w:rPr>
          <w:rFonts w:ascii="Times New Roman" w:hAnsi="Times New Roman" w:cs="Times New Roman"/>
          <w:sz w:val="24"/>
          <w:szCs w:val="24"/>
        </w:rPr>
        <w:t>There is nowhere in the pl</w:t>
      </w:r>
      <w:r w:rsidR="00C10F24">
        <w:rPr>
          <w:rFonts w:ascii="Times New Roman" w:hAnsi="Times New Roman" w:cs="Times New Roman"/>
          <w:sz w:val="24"/>
          <w:szCs w:val="24"/>
        </w:rPr>
        <w:t>eading where respondent refers</w:t>
      </w:r>
      <w:r w:rsidR="008A04A4" w:rsidRPr="008A04A4">
        <w:rPr>
          <w:rFonts w:ascii="Times New Roman" w:hAnsi="Times New Roman" w:cs="Times New Roman"/>
          <w:sz w:val="24"/>
          <w:szCs w:val="24"/>
        </w:rPr>
        <w:t xml:space="preserve"> to a cession. </w:t>
      </w:r>
      <w:r w:rsidR="00567A5E">
        <w:rPr>
          <w:rFonts w:ascii="Times New Roman" w:hAnsi="Times New Roman" w:cs="Times New Roman"/>
          <w:sz w:val="24"/>
          <w:szCs w:val="24"/>
        </w:rPr>
        <w:t xml:space="preserve">Even in the prayer respondent seeks cancellation of an agreement of sale. </w:t>
      </w:r>
      <w:r w:rsidR="002C2898">
        <w:rPr>
          <w:rFonts w:ascii="Times New Roman" w:hAnsi="Times New Roman" w:cs="Times New Roman"/>
          <w:sz w:val="24"/>
          <w:szCs w:val="24"/>
        </w:rPr>
        <w:t xml:space="preserve">The evidence adduced in the court </w:t>
      </w:r>
      <w:r w:rsidR="002C2898" w:rsidRPr="002C2898">
        <w:rPr>
          <w:rFonts w:ascii="Times New Roman" w:hAnsi="Times New Roman" w:cs="Times New Roman"/>
          <w:i/>
          <w:sz w:val="24"/>
          <w:szCs w:val="24"/>
        </w:rPr>
        <w:t>a quo</w:t>
      </w:r>
      <w:r w:rsidR="002C2898">
        <w:rPr>
          <w:rFonts w:ascii="Times New Roman" w:hAnsi="Times New Roman" w:cs="Times New Roman"/>
          <w:sz w:val="24"/>
          <w:szCs w:val="24"/>
        </w:rPr>
        <w:t xml:space="preserve"> speaks to a cession. </w:t>
      </w:r>
      <w:r w:rsidR="00925E3D">
        <w:rPr>
          <w:rFonts w:ascii="Times New Roman" w:hAnsi="Times New Roman" w:cs="Times New Roman"/>
          <w:sz w:val="24"/>
          <w:szCs w:val="24"/>
        </w:rPr>
        <w:t xml:space="preserve">The preamble to the agreement itself says “whereas the seller is the leasehold owner of the under mentioned </w:t>
      </w:r>
      <w:r w:rsidR="0034247F">
        <w:rPr>
          <w:rFonts w:ascii="Times New Roman" w:hAnsi="Times New Roman" w:cs="Times New Roman"/>
          <w:sz w:val="24"/>
          <w:szCs w:val="24"/>
        </w:rPr>
        <w:t>immovable property</w:t>
      </w:r>
      <w:r w:rsidR="00CD5E67">
        <w:rPr>
          <w:rFonts w:ascii="Times New Roman" w:hAnsi="Times New Roman" w:cs="Times New Roman"/>
          <w:sz w:val="24"/>
          <w:szCs w:val="24"/>
        </w:rPr>
        <w:t xml:space="preserve">.” </w:t>
      </w:r>
      <w:r w:rsidR="008925A7">
        <w:rPr>
          <w:rFonts w:ascii="Times New Roman" w:hAnsi="Times New Roman" w:cs="Times New Roman"/>
          <w:sz w:val="24"/>
          <w:szCs w:val="24"/>
        </w:rPr>
        <w:t xml:space="preserve">This preamble clearly shows that respondent is not the registered title holder of the property. </w:t>
      </w:r>
      <w:r w:rsidR="0087422A">
        <w:rPr>
          <w:rFonts w:ascii="Times New Roman" w:hAnsi="Times New Roman" w:cs="Times New Roman"/>
          <w:sz w:val="24"/>
          <w:szCs w:val="24"/>
        </w:rPr>
        <w:t xml:space="preserve">In his evidence </w:t>
      </w:r>
      <w:r w:rsidR="009A6B0D">
        <w:rPr>
          <w:rFonts w:ascii="Times New Roman" w:hAnsi="Times New Roman" w:cs="Times New Roman"/>
          <w:sz w:val="24"/>
          <w:szCs w:val="24"/>
        </w:rPr>
        <w:t xml:space="preserve">Martin </w:t>
      </w:r>
      <w:proofErr w:type="spellStart"/>
      <w:r w:rsidR="009A6B0D">
        <w:rPr>
          <w:rFonts w:ascii="Times New Roman" w:hAnsi="Times New Roman" w:cs="Times New Roman"/>
          <w:sz w:val="24"/>
          <w:szCs w:val="24"/>
        </w:rPr>
        <w:t>Moyo</w:t>
      </w:r>
      <w:proofErr w:type="spellEnd"/>
      <w:r w:rsidR="009A6B0D">
        <w:rPr>
          <w:rFonts w:ascii="Times New Roman" w:hAnsi="Times New Roman" w:cs="Times New Roman"/>
          <w:sz w:val="24"/>
          <w:szCs w:val="24"/>
        </w:rPr>
        <w:t xml:space="preserve"> testified that respondent is not the registered owner of t</w:t>
      </w:r>
      <w:r w:rsidR="00324127">
        <w:rPr>
          <w:rFonts w:ascii="Times New Roman" w:hAnsi="Times New Roman" w:cs="Times New Roman"/>
          <w:sz w:val="24"/>
          <w:szCs w:val="24"/>
        </w:rPr>
        <w:t xml:space="preserve">he property but a lease holder. It is then common </w:t>
      </w:r>
      <w:proofErr w:type="gramStart"/>
      <w:r w:rsidR="00324127">
        <w:rPr>
          <w:rFonts w:ascii="Times New Roman" w:hAnsi="Times New Roman" w:cs="Times New Roman"/>
          <w:sz w:val="24"/>
          <w:szCs w:val="24"/>
        </w:rPr>
        <w:t>cause</w:t>
      </w:r>
      <w:proofErr w:type="gramEnd"/>
      <w:r w:rsidR="00324127">
        <w:rPr>
          <w:rFonts w:ascii="Times New Roman" w:hAnsi="Times New Roman" w:cs="Times New Roman"/>
          <w:sz w:val="24"/>
          <w:szCs w:val="24"/>
        </w:rPr>
        <w:t xml:space="preserve"> that </w:t>
      </w:r>
      <w:r w:rsidR="00BC6C6B">
        <w:rPr>
          <w:rFonts w:ascii="Times New Roman" w:hAnsi="Times New Roman" w:cs="Times New Roman"/>
          <w:sz w:val="24"/>
          <w:szCs w:val="24"/>
        </w:rPr>
        <w:t xml:space="preserve">respondent is a lease holder of the property. </w:t>
      </w:r>
    </w:p>
    <w:p w:rsidR="00AC49F6" w:rsidRDefault="00BC6C6B" w:rsidP="008A04A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700E4">
        <w:rPr>
          <w:rFonts w:ascii="Times New Roman" w:hAnsi="Times New Roman" w:cs="Times New Roman"/>
          <w:sz w:val="24"/>
          <w:szCs w:val="24"/>
        </w:rPr>
        <w:t xml:space="preserve">Appellant does not dispute that the respondent is a lease holder of the property. </w:t>
      </w:r>
      <w:r w:rsidR="0086693B">
        <w:rPr>
          <w:rFonts w:ascii="Times New Roman" w:hAnsi="Times New Roman" w:cs="Times New Roman"/>
          <w:sz w:val="24"/>
          <w:szCs w:val="24"/>
        </w:rPr>
        <w:t xml:space="preserve">It has no title deeds in respect of the property. </w:t>
      </w:r>
      <w:r w:rsidR="005D6155">
        <w:rPr>
          <w:rFonts w:ascii="Times New Roman" w:hAnsi="Times New Roman" w:cs="Times New Roman"/>
          <w:sz w:val="24"/>
          <w:szCs w:val="24"/>
        </w:rPr>
        <w:t xml:space="preserve">Appellant’s contention is that this issue was not pleaded. </w:t>
      </w:r>
      <w:r w:rsidR="00AC49F6">
        <w:rPr>
          <w:rFonts w:ascii="Times New Roman" w:hAnsi="Times New Roman" w:cs="Times New Roman"/>
          <w:sz w:val="24"/>
          <w:szCs w:val="24"/>
        </w:rPr>
        <w:t>A</w:t>
      </w:r>
      <w:r w:rsidR="00B562BD">
        <w:rPr>
          <w:rFonts w:ascii="Times New Roman" w:hAnsi="Times New Roman" w:cs="Times New Roman"/>
          <w:sz w:val="24"/>
          <w:szCs w:val="24"/>
        </w:rPr>
        <w:t xml:space="preserve">ppellant </w:t>
      </w:r>
      <w:r w:rsidR="00AC49F6">
        <w:rPr>
          <w:rFonts w:ascii="Times New Roman" w:hAnsi="Times New Roman" w:cs="Times New Roman"/>
          <w:sz w:val="24"/>
          <w:szCs w:val="24"/>
        </w:rPr>
        <w:t xml:space="preserve">argued </w:t>
      </w:r>
      <w:r w:rsidR="00B562BD">
        <w:rPr>
          <w:rFonts w:ascii="Times New Roman" w:hAnsi="Times New Roman" w:cs="Times New Roman"/>
          <w:sz w:val="24"/>
          <w:szCs w:val="24"/>
        </w:rPr>
        <w:t xml:space="preserve">that </w:t>
      </w:r>
      <w:r w:rsidR="0089665E">
        <w:rPr>
          <w:rFonts w:ascii="Times New Roman" w:hAnsi="Times New Roman" w:cs="Times New Roman"/>
          <w:sz w:val="24"/>
          <w:szCs w:val="24"/>
        </w:rPr>
        <w:t>respondent pleaded an agreement of sale. Cession was no</w:t>
      </w:r>
      <w:r w:rsidR="00AC49F6">
        <w:rPr>
          <w:rFonts w:ascii="Times New Roman" w:hAnsi="Times New Roman" w:cs="Times New Roman"/>
          <w:sz w:val="24"/>
          <w:szCs w:val="24"/>
        </w:rPr>
        <w:t>t pleaded and n</w:t>
      </w:r>
      <w:r w:rsidR="00B562BD">
        <w:rPr>
          <w:rFonts w:ascii="Times New Roman" w:hAnsi="Times New Roman" w:cs="Times New Roman"/>
          <w:sz w:val="24"/>
          <w:szCs w:val="24"/>
        </w:rPr>
        <w:t xml:space="preserve">o amendment of the pleadings </w:t>
      </w:r>
      <w:r w:rsidR="0089665E">
        <w:rPr>
          <w:rFonts w:ascii="Times New Roman" w:hAnsi="Times New Roman" w:cs="Times New Roman"/>
          <w:sz w:val="24"/>
          <w:szCs w:val="24"/>
        </w:rPr>
        <w:t xml:space="preserve">was sought </w:t>
      </w:r>
      <w:r w:rsidR="00B562BD">
        <w:rPr>
          <w:rFonts w:ascii="Times New Roman" w:hAnsi="Times New Roman" w:cs="Times New Roman"/>
          <w:sz w:val="24"/>
          <w:szCs w:val="24"/>
        </w:rPr>
        <w:t>nor granted.</w:t>
      </w:r>
      <w:r w:rsidR="00AC49F6">
        <w:rPr>
          <w:rFonts w:ascii="Times New Roman" w:hAnsi="Times New Roman" w:cs="Times New Roman"/>
          <w:sz w:val="24"/>
          <w:szCs w:val="24"/>
        </w:rPr>
        <w:t xml:space="preserve"> I agree. </w:t>
      </w:r>
      <w:r w:rsidR="00FC30DE">
        <w:rPr>
          <w:rFonts w:ascii="Times New Roman" w:hAnsi="Times New Roman" w:cs="Times New Roman"/>
          <w:sz w:val="24"/>
          <w:szCs w:val="24"/>
        </w:rPr>
        <w:t xml:space="preserve">Appellant </w:t>
      </w:r>
      <w:r w:rsidR="00DF5CC2">
        <w:rPr>
          <w:rFonts w:ascii="Times New Roman" w:hAnsi="Times New Roman" w:cs="Times New Roman"/>
          <w:sz w:val="24"/>
          <w:szCs w:val="24"/>
        </w:rPr>
        <w:t xml:space="preserve">further argues that </w:t>
      </w:r>
      <w:r w:rsidR="00AC49F6">
        <w:rPr>
          <w:rFonts w:ascii="Times New Roman" w:hAnsi="Times New Roman" w:cs="Times New Roman"/>
          <w:sz w:val="24"/>
          <w:szCs w:val="24"/>
        </w:rPr>
        <w:t xml:space="preserve">no evidence had been </w:t>
      </w:r>
      <w:r w:rsidR="00DF5CC2">
        <w:rPr>
          <w:rFonts w:ascii="Times New Roman" w:hAnsi="Times New Roman" w:cs="Times New Roman"/>
          <w:sz w:val="24"/>
          <w:szCs w:val="24"/>
        </w:rPr>
        <w:t xml:space="preserve">adduced to show that it was a cession. I disagree. </w:t>
      </w:r>
      <w:r w:rsidR="004E46DF">
        <w:rPr>
          <w:rFonts w:ascii="Times New Roman" w:hAnsi="Times New Roman" w:cs="Times New Roman"/>
          <w:sz w:val="24"/>
          <w:szCs w:val="24"/>
        </w:rPr>
        <w:t xml:space="preserve">Evidence was adduced to show that respondent was a lease holder of the property, </w:t>
      </w:r>
      <w:r w:rsidR="00AE43B0">
        <w:rPr>
          <w:rFonts w:ascii="Times New Roman" w:hAnsi="Times New Roman" w:cs="Times New Roman"/>
          <w:sz w:val="24"/>
          <w:szCs w:val="24"/>
        </w:rPr>
        <w:t xml:space="preserve">first the preamble of the agreement itself and the evidence of Martin </w:t>
      </w:r>
      <w:proofErr w:type="spellStart"/>
      <w:r w:rsidR="00AE43B0">
        <w:rPr>
          <w:rFonts w:ascii="Times New Roman" w:hAnsi="Times New Roman" w:cs="Times New Roman"/>
          <w:sz w:val="24"/>
          <w:szCs w:val="24"/>
        </w:rPr>
        <w:t>Moyo</w:t>
      </w:r>
      <w:proofErr w:type="spellEnd"/>
      <w:r w:rsidR="00AE43B0">
        <w:rPr>
          <w:rFonts w:ascii="Times New Roman" w:hAnsi="Times New Roman" w:cs="Times New Roman"/>
          <w:sz w:val="24"/>
          <w:szCs w:val="24"/>
        </w:rPr>
        <w:t xml:space="preserve">. The fact that Martin </w:t>
      </w:r>
      <w:proofErr w:type="spellStart"/>
      <w:r w:rsidR="00AE43B0">
        <w:rPr>
          <w:rFonts w:ascii="Times New Roman" w:hAnsi="Times New Roman" w:cs="Times New Roman"/>
          <w:sz w:val="24"/>
          <w:szCs w:val="24"/>
        </w:rPr>
        <w:t>Moyo</w:t>
      </w:r>
      <w:proofErr w:type="spellEnd"/>
      <w:r w:rsidR="00AE43B0">
        <w:rPr>
          <w:rFonts w:ascii="Times New Roman" w:hAnsi="Times New Roman" w:cs="Times New Roman"/>
          <w:sz w:val="24"/>
          <w:szCs w:val="24"/>
        </w:rPr>
        <w:t xml:space="preserve"> testified that </w:t>
      </w:r>
      <w:r w:rsidR="006563D6">
        <w:rPr>
          <w:rFonts w:ascii="Times New Roman" w:hAnsi="Times New Roman" w:cs="Times New Roman"/>
          <w:sz w:val="24"/>
          <w:szCs w:val="24"/>
        </w:rPr>
        <w:t>respondent had purchased the property from the owner is inconsequential. I say so because at</w:t>
      </w:r>
      <w:r w:rsidR="00FC30DE">
        <w:rPr>
          <w:rFonts w:ascii="Times New Roman" w:hAnsi="Times New Roman" w:cs="Times New Roman"/>
          <w:sz w:val="24"/>
          <w:szCs w:val="24"/>
        </w:rPr>
        <w:t xml:space="preserve"> the time of the agreement</w:t>
      </w:r>
      <w:r w:rsidR="006563D6">
        <w:rPr>
          <w:rFonts w:ascii="Times New Roman" w:hAnsi="Times New Roman" w:cs="Times New Roman"/>
          <w:sz w:val="24"/>
          <w:szCs w:val="24"/>
        </w:rPr>
        <w:t xml:space="preserve"> respondent had no real rights in the property. All it had are personal rights therein. </w:t>
      </w:r>
      <w:r w:rsidR="000A01D7">
        <w:rPr>
          <w:rFonts w:ascii="Times New Roman" w:hAnsi="Times New Roman" w:cs="Times New Roman"/>
          <w:sz w:val="24"/>
          <w:szCs w:val="24"/>
        </w:rPr>
        <w:t>Respondent could not sell</w:t>
      </w:r>
      <w:r w:rsidR="008E7ED8">
        <w:rPr>
          <w:rFonts w:ascii="Times New Roman" w:hAnsi="Times New Roman" w:cs="Times New Roman"/>
          <w:sz w:val="24"/>
          <w:szCs w:val="24"/>
        </w:rPr>
        <w:t xml:space="preserve"> that which it</w:t>
      </w:r>
      <w:r w:rsidR="000A01D7">
        <w:rPr>
          <w:rFonts w:ascii="Times New Roman" w:hAnsi="Times New Roman" w:cs="Times New Roman"/>
          <w:sz w:val="24"/>
          <w:szCs w:val="24"/>
        </w:rPr>
        <w:t xml:space="preserve"> did not have it could only sell</w:t>
      </w:r>
      <w:r w:rsidR="008E7ED8">
        <w:rPr>
          <w:rFonts w:ascii="Times New Roman" w:hAnsi="Times New Roman" w:cs="Times New Roman"/>
          <w:sz w:val="24"/>
          <w:szCs w:val="24"/>
        </w:rPr>
        <w:t xml:space="preserve"> rights and interests in the property because that is what it had at the material time. </w:t>
      </w:r>
    </w:p>
    <w:p w:rsidR="00BF6BFB" w:rsidRPr="00BF6BFB" w:rsidRDefault="00B548B8" w:rsidP="00253F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is what is the effect of failure to plead cession in this matter? </w:t>
      </w:r>
      <w:r w:rsidR="00EC79D8">
        <w:rPr>
          <w:rFonts w:ascii="Times New Roman" w:hAnsi="Times New Roman" w:cs="Times New Roman"/>
          <w:sz w:val="24"/>
          <w:szCs w:val="24"/>
        </w:rPr>
        <w:t xml:space="preserve">Mr </w:t>
      </w:r>
      <w:proofErr w:type="spellStart"/>
      <w:r w:rsidR="00EC79D8" w:rsidRPr="00EC79D8">
        <w:rPr>
          <w:rFonts w:ascii="Times New Roman" w:hAnsi="Times New Roman" w:cs="Times New Roman"/>
          <w:i/>
          <w:sz w:val="24"/>
          <w:szCs w:val="24"/>
        </w:rPr>
        <w:t>Majoko</w:t>
      </w:r>
      <w:proofErr w:type="spellEnd"/>
      <w:r w:rsidR="00EC79D8">
        <w:rPr>
          <w:rFonts w:ascii="Times New Roman" w:hAnsi="Times New Roman" w:cs="Times New Roman"/>
          <w:sz w:val="24"/>
          <w:szCs w:val="24"/>
        </w:rPr>
        <w:t xml:space="preserve"> argued that the court a quo should have granted absolution from the instance on the basis that at the close of respondent’s case no agreement of sale was proved. </w:t>
      </w:r>
      <w:r w:rsidR="00D330F9">
        <w:rPr>
          <w:rFonts w:ascii="Times New Roman" w:hAnsi="Times New Roman" w:cs="Times New Roman"/>
          <w:sz w:val="24"/>
          <w:szCs w:val="24"/>
        </w:rPr>
        <w:t xml:space="preserve">The contention is that respondent was permitted to prove a case it did not plead. </w:t>
      </w:r>
      <w:r w:rsidR="00A33278">
        <w:rPr>
          <w:rFonts w:ascii="Times New Roman" w:hAnsi="Times New Roman" w:cs="Times New Roman"/>
          <w:sz w:val="24"/>
          <w:szCs w:val="24"/>
        </w:rPr>
        <w:t xml:space="preserve">According to Mr </w:t>
      </w:r>
      <w:proofErr w:type="spellStart"/>
      <w:r w:rsidR="00A33278" w:rsidRPr="00A33278">
        <w:rPr>
          <w:rFonts w:ascii="Times New Roman" w:hAnsi="Times New Roman" w:cs="Times New Roman"/>
          <w:i/>
          <w:sz w:val="24"/>
          <w:szCs w:val="24"/>
        </w:rPr>
        <w:t>Majoko</w:t>
      </w:r>
      <w:proofErr w:type="spellEnd"/>
      <w:r w:rsidR="00A33278">
        <w:rPr>
          <w:rFonts w:ascii="Times New Roman" w:hAnsi="Times New Roman" w:cs="Times New Roman"/>
          <w:sz w:val="24"/>
          <w:szCs w:val="24"/>
        </w:rPr>
        <w:t xml:space="preserve"> such is impermissible. </w:t>
      </w:r>
      <w:r w:rsidR="00BF6BFB">
        <w:rPr>
          <w:rFonts w:ascii="Times New Roman" w:hAnsi="Times New Roman" w:cs="Times New Roman"/>
          <w:sz w:val="24"/>
          <w:szCs w:val="24"/>
        </w:rPr>
        <w:t xml:space="preserve">In </w:t>
      </w:r>
      <w:proofErr w:type="spellStart"/>
      <w:r w:rsidR="00BF6BFB" w:rsidRPr="00253F97">
        <w:rPr>
          <w:rFonts w:ascii="Times New Roman" w:eastAsia="Times New Roman" w:hAnsi="Times New Roman" w:cs="Times New Roman"/>
          <w:bCs/>
          <w:i/>
          <w:sz w:val="24"/>
          <w:szCs w:val="24"/>
          <w:lang w:eastAsia="en-ZW"/>
        </w:rPr>
        <w:t>Silonda</w:t>
      </w:r>
      <w:proofErr w:type="spellEnd"/>
      <w:r w:rsidR="00BF6BFB" w:rsidRPr="00253F97">
        <w:rPr>
          <w:rFonts w:ascii="Times New Roman" w:eastAsia="Times New Roman" w:hAnsi="Times New Roman" w:cs="Times New Roman"/>
          <w:bCs/>
          <w:i/>
          <w:sz w:val="24"/>
          <w:szCs w:val="24"/>
          <w:lang w:eastAsia="en-ZW"/>
        </w:rPr>
        <w:t xml:space="preserve"> v </w:t>
      </w:r>
      <w:proofErr w:type="spellStart"/>
      <w:r w:rsidR="00BF6BFB" w:rsidRPr="00253F97">
        <w:rPr>
          <w:rFonts w:ascii="Times New Roman" w:eastAsia="Times New Roman" w:hAnsi="Times New Roman" w:cs="Times New Roman"/>
          <w:bCs/>
          <w:i/>
          <w:sz w:val="24"/>
          <w:szCs w:val="24"/>
          <w:lang w:eastAsia="en-ZW"/>
        </w:rPr>
        <w:t>Nkomo</w:t>
      </w:r>
      <w:proofErr w:type="spellEnd"/>
      <w:r w:rsidR="00BF6BFB" w:rsidRPr="00253F97">
        <w:rPr>
          <w:rFonts w:ascii="Times New Roman" w:eastAsia="Times New Roman" w:hAnsi="Times New Roman" w:cs="Times New Roman"/>
          <w:bCs/>
          <w:i/>
          <w:sz w:val="24"/>
          <w:szCs w:val="24"/>
          <w:lang w:eastAsia="en-ZW"/>
        </w:rPr>
        <w:t xml:space="preserve"> </w:t>
      </w:r>
      <w:r w:rsidR="00BF6BFB" w:rsidRPr="00253F97">
        <w:rPr>
          <w:rFonts w:ascii="Times New Roman" w:eastAsia="Times New Roman" w:hAnsi="Times New Roman" w:cs="Times New Roman"/>
          <w:bCs/>
          <w:sz w:val="24"/>
          <w:szCs w:val="24"/>
          <w:lang w:eastAsia="en-ZW"/>
        </w:rPr>
        <w:t>SC 6 / 2022</w:t>
      </w:r>
      <w:r w:rsidR="00BF6BFB" w:rsidRPr="00BF6BFB">
        <w:rPr>
          <w:rFonts w:ascii="Times New Roman" w:eastAsia="Times New Roman" w:hAnsi="Times New Roman" w:cs="Times New Roman"/>
          <w:bCs/>
          <w:i/>
          <w:color w:val="4A4A4A"/>
          <w:sz w:val="24"/>
          <w:szCs w:val="24"/>
          <w:lang w:eastAsia="en-ZW"/>
        </w:rPr>
        <w:t> </w:t>
      </w:r>
      <w:r w:rsidR="00253F97">
        <w:rPr>
          <w:rFonts w:ascii="Times New Roman" w:eastAsia="Times New Roman" w:hAnsi="Times New Roman" w:cs="Times New Roman"/>
          <w:bCs/>
          <w:color w:val="4A4A4A"/>
          <w:sz w:val="24"/>
          <w:szCs w:val="24"/>
          <w:lang w:eastAsia="en-ZW"/>
        </w:rPr>
        <w:t xml:space="preserve">the court said thus: </w:t>
      </w:r>
    </w:p>
    <w:p w:rsidR="009B4872" w:rsidRPr="00D1687D" w:rsidRDefault="009B4872" w:rsidP="00D1687D">
      <w:pPr>
        <w:spacing w:line="276" w:lineRule="auto"/>
        <w:ind w:left="720"/>
        <w:jc w:val="both"/>
        <w:rPr>
          <w:rFonts w:ascii="Times New Roman" w:hAnsi="Times New Roman" w:cs="Times New Roman"/>
          <w:i/>
          <w:sz w:val="24"/>
          <w:szCs w:val="24"/>
        </w:rPr>
      </w:pPr>
      <w:r w:rsidRPr="00D1687D">
        <w:rPr>
          <w:rFonts w:ascii="Times New Roman" w:hAnsi="Times New Roman" w:cs="Times New Roman"/>
          <w:sz w:val="24"/>
          <w:szCs w:val="24"/>
        </w:rPr>
        <w:t xml:space="preserve">I am satisfied that the court </w:t>
      </w:r>
      <w:r w:rsidRPr="00D1687D">
        <w:rPr>
          <w:rFonts w:ascii="Times New Roman" w:hAnsi="Times New Roman" w:cs="Times New Roman"/>
          <w:i/>
          <w:sz w:val="24"/>
          <w:szCs w:val="24"/>
        </w:rPr>
        <w:t>a quo’s</w:t>
      </w:r>
      <w:r w:rsidRPr="00D1687D">
        <w:rPr>
          <w:rFonts w:ascii="Times New Roman" w:hAnsi="Times New Roman" w:cs="Times New Roman"/>
          <w:sz w:val="24"/>
          <w:szCs w:val="24"/>
        </w:rPr>
        <w:t xml:space="preserve"> finding that the respondent did plead unjust enrichment in his counterclaim is unassailable.</w:t>
      </w:r>
    </w:p>
    <w:p w:rsidR="009B4872" w:rsidRPr="00D1687D" w:rsidRDefault="009B4872" w:rsidP="00D1687D">
      <w:pPr>
        <w:tabs>
          <w:tab w:val="left" w:pos="1134"/>
        </w:tabs>
        <w:spacing w:after="0" w:line="276" w:lineRule="auto"/>
        <w:ind w:left="720"/>
        <w:jc w:val="both"/>
        <w:rPr>
          <w:rFonts w:ascii="Times New Roman" w:hAnsi="Times New Roman" w:cs="Times New Roman"/>
          <w:sz w:val="24"/>
          <w:szCs w:val="24"/>
        </w:rPr>
      </w:pPr>
      <w:r w:rsidRPr="00D1687D">
        <w:rPr>
          <w:rFonts w:ascii="Times New Roman" w:hAnsi="Times New Roman" w:cs="Times New Roman"/>
          <w:sz w:val="24"/>
          <w:szCs w:val="24"/>
        </w:rPr>
        <w:lastRenderedPageBreak/>
        <w:t xml:space="preserve">But, even if it had not been so pleaded, such a failure would, as was noted </w:t>
      </w:r>
      <w:r w:rsidRPr="00D1687D">
        <w:rPr>
          <w:rFonts w:ascii="Times New Roman" w:hAnsi="Times New Roman" w:cs="Times New Roman"/>
          <w:i/>
          <w:sz w:val="24"/>
          <w:szCs w:val="24"/>
        </w:rPr>
        <w:t>en passant</w:t>
      </w:r>
      <w:r w:rsidRPr="00D1687D">
        <w:rPr>
          <w:rFonts w:ascii="Times New Roman" w:hAnsi="Times New Roman" w:cs="Times New Roman"/>
          <w:sz w:val="24"/>
          <w:szCs w:val="24"/>
        </w:rPr>
        <w:t xml:space="preserve"> by the court </w:t>
      </w:r>
      <w:r w:rsidRPr="00D1687D">
        <w:rPr>
          <w:rFonts w:ascii="Times New Roman" w:hAnsi="Times New Roman" w:cs="Times New Roman"/>
          <w:i/>
          <w:sz w:val="24"/>
          <w:szCs w:val="24"/>
        </w:rPr>
        <w:t>a quo</w:t>
      </w:r>
      <w:r w:rsidRPr="00D1687D">
        <w:rPr>
          <w:rFonts w:ascii="Times New Roman" w:hAnsi="Times New Roman" w:cs="Times New Roman"/>
          <w:sz w:val="24"/>
          <w:szCs w:val="24"/>
        </w:rPr>
        <w:t>, have been cured by the evidence led at the trial. This finding accords with both judicial precedent and the academic works of reputable legal writers.</w:t>
      </w:r>
    </w:p>
    <w:p w:rsidR="00DF638F" w:rsidRDefault="009B4872" w:rsidP="00BF3ABA">
      <w:pPr>
        <w:tabs>
          <w:tab w:val="left" w:pos="1134"/>
        </w:tabs>
        <w:spacing w:after="0" w:line="276" w:lineRule="auto"/>
        <w:ind w:left="720"/>
        <w:jc w:val="both"/>
        <w:rPr>
          <w:rFonts w:ascii="Times New Roman" w:hAnsi="Times New Roman" w:cs="Times New Roman"/>
          <w:sz w:val="24"/>
          <w:szCs w:val="24"/>
        </w:rPr>
      </w:pPr>
      <w:r w:rsidRPr="00D1687D">
        <w:rPr>
          <w:rFonts w:ascii="Times New Roman" w:hAnsi="Times New Roman" w:cs="Times New Roman"/>
          <w:sz w:val="24"/>
          <w:szCs w:val="24"/>
        </w:rPr>
        <w:t xml:space="preserve">In </w:t>
      </w:r>
      <w:proofErr w:type="spellStart"/>
      <w:r w:rsidRPr="00D1687D">
        <w:rPr>
          <w:rFonts w:ascii="Times New Roman" w:hAnsi="Times New Roman" w:cs="Times New Roman"/>
          <w:i/>
          <w:sz w:val="24"/>
          <w:szCs w:val="24"/>
        </w:rPr>
        <w:t>Mtuda</w:t>
      </w:r>
      <w:proofErr w:type="spellEnd"/>
      <w:r w:rsidRPr="00D1687D">
        <w:rPr>
          <w:rFonts w:ascii="Times New Roman" w:hAnsi="Times New Roman" w:cs="Times New Roman"/>
          <w:i/>
          <w:sz w:val="24"/>
          <w:szCs w:val="24"/>
        </w:rPr>
        <w:t xml:space="preserve"> v </w:t>
      </w:r>
      <w:proofErr w:type="spellStart"/>
      <w:r w:rsidRPr="00D1687D">
        <w:rPr>
          <w:rFonts w:ascii="Times New Roman" w:hAnsi="Times New Roman" w:cs="Times New Roman"/>
          <w:i/>
          <w:sz w:val="24"/>
          <w:szCs w:val="24"/>
        </w:rPr>
        <w:t>Ndudzo</w:t>
      </w:r>
      <w:proofErr w:type="spellEnd"/>
      <w:r w:rsidRPr="00D1687D">
        <w:rPr>
          <w:rFonts w:ascii="Times New Roman" w:hAnsi="Times New Roman" w:cs="Times New Roman"/>
          <w:sz w:val="24"/>
          <w:szCs w:val="24"/>
        </w:rPr>
        <w:t xml:space="preserve"> 2000 (1) ZLR 710 (H) at 719B- F, G</w:t>
      </w:r>
      <w:r w:rsidRPr="00935911">
        <w:rPr>
          <w:rFonts w:ascii="Times New Roman" w:hAnsi="Times New Roman" w:cs="Times New Roman"/>
          <w:sz w:val="20"/>
          <w:szCs w:val="20"/>
        </w:rPr>
        <w:t>ARWE </w:t>
      </w:r>
      <w:r w:rsidRPr="00D1687D">
        <w:rPr>
          <w:rFonts w:ascii="Times New Roman" w:hAnsi="Times New Roman" w:cs="Times New Roman"/>
          <w:sz w:val="24"/>
          <w:szCs w:val="24"/>
        </w:rPr>
        <w:t xml:space="preserve">J, as he then was, held that where an issue is not raised in the pleadings but has been identified for determination at a pre-trial conference and fully canvased at the trial, even if an amendment is not moved, a court is entitled to adjudicate on it. This effectively means that a defective pleading will be cured by evidence.  </w:t>
      </w:r>
    </w:p>
    <w:p w:rsidR="00BF3ABA" w:rsidRDefault="00BF3ABA" w:rsidP="00BF3ABA">
      <w:pPr>
        <w:tabs>
          <w:tab w:val="left" w:pos="1134"/>
        </w:tabs>
        <w:spacing w:after="0" w:line="276" w:lineRule="auto"/>
        <w:ind w:left="720"/>
        <w:jc w:val="both"/>
        <w:rPr>
          <w:rFonts w:ascii="Times New Roman" w:hAnsi="Times New Roman" w:cs="Times New Roman"/>
          <w:sz w:val="24"/>
          <w:szCs w:val="24"/>
        </w:rPr>
      </w:pPr>
    </w:p>
    <w:p w:rsidR="001F0D93" w:rsidRPr="00C7328B" w:rsidRDefault="00BF3ABA" w:rsidP="00E3749C">
      <w:pPr>
        <w:spacing w:line="360" w:lineRule="auto"/>
        <w:ind w:firstLine="720"/>
        <w:jc w:val="both"/>
        <w:rPr>
          <w:rFonts w:ascii="Times New Roman" w:hAnsi="Times New Roman" w:cs="Times New Roman"/>
          <w:sz w:val="24"/>
          <w:szCs w:val="24"/>
        </w:rPr>
      </w:pPr>
      <w:r w:rsidRPr="00935911">
        <w:rPr>
          <w:rFonts w:ascii="Times New Roman" w:hAnsi="Times New Roman" w:cs="Times New Roman"/>
          <w:i/>
          <w:sz w:val="24"/>
          <w:szCs w:val="24"/>
        </w:rPr>
        <w:t xml:space="preserve">In </w:t>
      </w:r>
      <w:proofErr w:type="spellStart"/>
      <w:r w:rsidRPr="00BF3ABA">
        <w:rPr>
          <w:rFonts w:ascii="Times New Roman" w:hAnsi="Times New Roman" w:cs="Times New Roman"/>
          <w:i/>
          <w:sz w:val="24"/>
          <w:szCs w:val="24"/>
        </w:rPr>
        <w:t>casu</w:t>
      </w:r>
      <w:proofErr w:type="spellEnd"/>
      <w:r>
        <w:rPr>
          <w:rFonts w:ascii="Times New Roman" w:hAnsi="Times New Roman" w:cs="Times New Roman"/>
          <w:sz w:val="24"/>
          <w:szCs w:val="24"/>
        </w:rPr>
        <w:t xml:space="preserve"> i</w:t>
      </w:r>
      <w:r w:rsidR="001F0D93">
        <w:rPr>
          <w:rFonts w:ascii="Times New Roman" w:hAnsi="Times New Roman" w:cs="Times New Roman"/>
          <w:sz w:val="24"/>
          <w:szCs w:val="24"/>
        </w:rPr>
        <w:t xml:space="preserve">t is not clear what the parties agreed at the pre-trial conference as the pre-trial conference minute is not part of the </w:t>
      </w:r>
      <w:r w:rsidR="00B15CD8">
        <w:rPr>
          <w:rFonts w:ascii="Times New Roman" w:hAnsi="Times New Roman" w:cs="Times New Roman"/>
          <w:sz w:val="24"/>
          <w:szCs w:val="24"/>
        </w:rPr>
        <w:t xml:space="preserve">appeal record. </w:t>
      </w:r>
      <w:r w:rsidR="00AA0809">
        <w:rPr>
          <w:rFonts w:ascii="Times New Roman" w:hAnsi="Times New Roman" w:cs="Times New Roman"/>
          <w:sz w:val="24"/>
          <w:szCs w:val="24"/>
        </w:rPr>
        <w:t xml:space="preserve">Notwithstanding the absence of the pre-trial conference minute the court </w:t>
      </w:r>
      <w:r w:rsidR="00AA0809" w:rsidRPr="00042DE0">
        <w:rPr>
          <w:rFonts w:ascii="Times New Roman" w:hAnsi="Times New Roman" w:cs="Times New Roman"/>
          <w:i/>
          <w:sz w:val="24"/>
          <w:szCs w:val="24"/>
        </w:rPr>
        <w:t xml:space="preserve">a quo </w:t>
      </w:r>
      <w:r w:rsidR="00F33BF9" w:rsidRPr="00F33BF9">
        <w:rPr>
          <w:rFonts w:ascii="Times New Roman" w:hAnsi="Times New Roman" w:cs="Times New Roman"/>
          <w:sz w:val="24"/>
          <w:szCs w:val="24"/>
        </w:rPr>
        <w:t xml:space="preserve">looked </w:t>
      </w:r>
      <w:r w:rsidR="00F33BF9">
        <w:rPr>
          <w:rFonts w:ascii="Times New Roman" w:hAnsi="Times New Roman" w:cs="Times New Roman"/>
          <w:sz w:val="24"/>
          <w:szCs w:val="24"/>
        </w:rPr>
        <w:t xml:space="preserve">at the facts and the evidence and </w:t>
      </w:r>
      <w:r w:rsidR="00042DE0">
        <w:rPr>
          <w:rFonts w:ascii="Times New Roman" w:hAnsi="Times New Roman" w:cs="Times New Roman"/>
          <w:sz w:val="24"/>
          <w:szCs w:val="24"/>
        </w:rPr>
        <w:t xml:space="preserve">identified the following issues as issues for determination: </w:t>
      </w:r>
      <w:r w:rsidR="00622B34">
        <w:rPr>
          <w:rFonts w:ascii="Times New Roman" w:hAnsi="Times New Roman" w:cs="Times New Roman"/>
          <w:sz w:val="24"/>
          <w:szCs w:val="24"/>
        </w:rPr>
        <w:t xml:space="preserve">1. whether the Contractual Penalties Act applies to this case; 2. whether the parties unilaterally </w:t>
      </w:r>
      <w:r w:rsidR="006B64E1">
        <w:rPr>
          <w:rFonts w:ascii="Times New Roman" w:hAnsi="Times New Roman" w:cs="Times New Roman"/>
          <w:sz w:val="24"/>
          <w:szCs w:val="24"/>
        </w:rPr>
        <w:t>variation of the monthly instalment amounts to a manner</w:t>
      </w:r>
      <w:r w:rsidR="000A1025">
        <w:rPr>
          <w:rFonts w:ascii="Times New Roman" w:hAnsi="Times New Roman" w:cs="Times New Roman"/>
          <w:sz w:val="24"/>
          <w:szCs w:val="24"/>
        </w:rPr>
        <w:t xml:space="preserve"> (</w:t>
      </w:r>
      <w:r w:rsidR="000A1025" w:rsidRPr="000A1025">
        <w:rPr>
          <w:rFonts w:ascii="Times New Roman" w:hAnsi="Times New Roman" w:cs="Times New Roman"/>
          <w:i/>
          <w:sz w:val="24"/>
          <w:szCs w:val="24"/>
        </w:rPr>
        <w:t>sic</w:t>
      </w:r>
      <w:r w:rsidR="000A1025">
        <w:rPr>
          <w:rFonts w:ascii="Times New Roman" w:hAnsi="Times New Roman" w:cs="Times New Roman"/>
          <w:sz w:val="24"/>
          <w:szCs w:val="24"/>
        </w:rPr>
        <w:t>)</w:t>
      </w:r>
      <w:r w:rsidR="006B64E1">
        <w:rPr>
          <w:rFonts w:ascii="Times New Roman" w:hAnsi="Times New Roman" w:cs="Times New Roman"/>
          <w:sz w:val="24"/>
          <w:szCs w:val="24"/>
        </w:rPr>
        <w:t xml:space="preserve"> of plaintiff’s rights to</w:t>
      </w:r>
      <w:r w:rsidR="000A1025">
        <w:rPr>
          <w:rFonts w:ascii="Times New Roman" w:hAnsi="Times New Roman" w:cs="Times New Roman"/>
          <w:sz w:val="24"/>
          <w:szCs w:val="24"/>
        </w:rPr>
        <w:t xml:space="preserve"> cancellation of the agreement</w:t>
      </w:r>
      <w:r w:rsidR="006B64E1">
        <w:rPr>
          <w:rFonts w:ascii="Times New Roman" w:hAnsi="Times New Roman" w:cs="Times New Roman"/>
          <w:sz w:val="24"/>
          <w:szCs w:val="24"/>
        </w:rPr>
        <w:t xml:space="preserve">; and 3. Lastly whether defendant’s counter claim has merit. </w:t>
      </w:r>
      <w:r w:rsidR="00E3749C">
        <w:rPr>
          <w:rFonts w:ascii="Times New Roman" w:hAnsi="Times New Roman" w:cs="Times New Roman"/>
          <w:sz w:val="24"/>
          <w:szCs w:val="24"/>
        </w:rPr>
        <w:t xml:space="preserve">It is clear that the court </w:t>
      </w:r>
      <w:r w:rsidR="00E3749C" w:rsidRPr="00E3749C">
        <w:rPr>
          <w:rFonts w:ascii="Times New Roman" w:hAnsi="Times New Roman" w:cs="Times New Roman"/>
          <w:i/>
          <w:sz w:val="24"/>
          <w:szCs w:val="24"/>
        </w:rPr>
        <w:t xml:space="preserve">a quo </w:t>
      </w:r>
      <w:r w:rsidR="00E3749C">
        <w:rPr>
          <w:rFonts w:ascii="Times New Roman" w:hAnsi="Times New Roman" w:cs="Times New Roman"/>
          <w:sz w:val="24"/>
          <w:szCs w:val="24"/>
        </w:rPr>
        <w:t xml:space="preserve">noted that it was not dealing with an agreement of sale but a cession of rights and interests in a property. </w:t>
      </w:r>
      <w:r w:rsidR="00C7328B">
        <w:rPr>
          <w:rFonts w:ascii="Times New Roman" w:hAnsi="Times New Roman" w:cs="Times New Roman"/>
          <w:sz w:val="24"/>
          <w:szCs w:val="24"/>
        </w:rPr>
        <w:t>The issue</w:t>
      </w:r>
      <w:r w:rsidR="00E3749C">
        <w:rPr>
          <w:rFonts w:ascii="Times New Roman" w:hAnsi="Times New Roman" w:cs="Times New Roman"/>
          <w:sz w:val="24"/>
          <w:szCs w:val="24"/>
        </w:rPr>
        <w:t>s</w:t>
      </w:r>
      <w:r w:rsidR="00C7328B">
        <w:rPr>
          <w:rFonts w:ascii="Times New Roman" w:hAnsi="Times New Roman" w:cs="Times New Roman"/>
          <w:sz w:val="24"/>
          <w:szCs w:val="24"/>
        </w:rPr>
        <w:t xml:space="preserve"> for determination as identified by the court </w:t>
      </w:r>
      <w:r w:rsidR="00C7328B" w:rsidRPr="00C7328B">
        <w:rPr>
          <w:rFonts w:ascii="Times New Roman" w:hAnsi="Times New Roman" w:cs="Times New Roman"/>
          <w:i/>
          <w:sz w:val="24"/>
          <w:szCs w:val="24"/>
        </w:rPr>
        <w:t xml:space="preserve">a quo </w:t>
      </w:r>
      <w:r w:rsidR="00C7328B">
        <w:rPr>
          <w:rFonts w:ascii="Times New Roman" w:hAnsi="Times New Roman" w:cs="Times New Roman"/>
          <w:sz w:val="24"/>
          <w:szCs w:val="24"/>
        </w:rPr>
        <w:t>and the evidence alluded to above cure the failure to plead cession.</w:t>
      </w:r>
      <w:r w:rsidR="001F2A94">
        <w:rPr>
          <w:rFonts w:ascii="Times New Roman" w:hAnsi="Times New Roman" w:cs="Times New Roman"/>
          <w:sz w:val="24"/>
          <w:szCs w:val="24"/>
        </w:rPr>
        <w:t xml:space="preserve"> </w:t>
      </w:r>
    </w:p>
    <w:p w:rsidR="00BB1AAA" w:rsidRDefault="00DB64D1" w:rsidP="00BB1A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917425">
        <w:rPr>
          <w:rFonts w:ascii="Times New Roman" w:hAnsi="Times New Roman" w:cs="Times New Roman"/>
          <w:i/>
          <w:sz w:val="24"/>
          <w:szCs w:val="24"/>
        </w:rPr>
        <w:t>Siziba</w:t>
      </w:r>
      <w:proofErr w:type="spellEnd"/>
      <w:r>
        <w:rPr>
          <w:rFonts w:ascii="Times New Roman" w:hAnsi="Times New Roman" w:cs="Times New Roman"/>
          <w:sz w:val="24"/>
          <w:szCs w:val="24"/>
        </w:rPr>
        <w:t xml:space="preserve"> argued that the court </w:t>
      </w:r>
      <w:r w:rsidRPr="00DB64D1">
        <w:rPr>
          <w:rFonts w:ascii="Times New Roman" w:hAnsi="Times New Roman" w:cs="Times New Roman"/>
          <w:i/>
          <w:sz w:val="24"/>
          <w:szCs w:val="24"/>
        </w:rPr>
        <w:t xml:space="preserve">a quo </w:t>
      </w:r>
      <w:r>
        <w:rPr>
          <w:rFonts w:ascii="Times New Roman" w:hAnsi="Times New Roman" w:cs="Times New Roman"/>
          <w:sz w:val="24"/>
          <w:szCs w:val="24"/>
        </w:rPr>
        <w:t>applied the law to the common cause facts and the evi</w:t>
      </w:r>
      <w:r w:rsidR="00917425">
        <w:rPr>
          <w:rFonts w:ascii="Times New Roman" w:hAnsi="Times New Roman" w:cs="Times New Roman"/>
          <w:sz w:val="24"/>
          <w:szCs w:val="24"/>
        </w:rPr>
        <w:t>dence, which are that</w:t>
      </w:r>
      <w:r>
        <w:rPr>
          <w:rFonts w:ascii="Times New Roman" w:hAnsi="Times New Roman" w:cs="Times New Roman"/>
          <w:sz w:val="24"/>
          <w:szCs w:val="24"/>
        </w:rPr>
        <w:t xml:space="preserve"> respondent is not the registered owner of the property and has n</w:t>
      </w:r>
      <w:r w:rsidR="00917425">
        <w:rPr>
          <w:rFonts w:ascii="Times New Roman" w:hAnsi="Times New Roman" w:cs="Times New Roman"/>
          <w:sz w:val="24"/>
          <w:szCs w:val="24"/>
        </w:rPr>
        <w:t>o real rights in</w:t>
      </w:r>
      <w:r>
        <w:rPr>
          <w:rFonts w:ascii="Times New Roman" w:hAnsi="Times New Roman" w:cs="Times New Roman"/>
          <w:sz w:val="24"/>
          <w:szCs w:val="24"/>
        </w:rPr>
        <w:t xml:space="preserve"> the property.</w:t>
      </w:r>
      <w:r w:rsidR="00917425">
        <w:rPr>
          <w:rFonts w:ascii="Times New Roman" w:hAnsi="Times New Roman" w:cs="Times New Roman"/>
          <w:sz w:val="24"/>
          <w:szCs w:val="24"/>
        </w:rPr>
        <w:t xml:space="preserve"> All it has are personal rights. It can therefore not sell what it does not have. I agree. </w:t>
      </w:r>
      <w:r w:rsidR="0013664C">
        <w:rPr>
          <w:rFonts w:ascii="Times New Roman" w:hAnsi="Times New Roman" w:cs="Times New Roman"/>
          <w:sz w:val="24"/>
          <w:szCs w:val="24"/>
        </w:rPr>
        <w:t xml:space="preserve">See: </w:t>
      </w:r>
      <w:proofErr w:type="spellStart"/>
      <w:r w:rsidR="0013664C" w:rsidRPr="0013664C">
        <w:rPr>
          <w:rFonts w:ascii="Times New Roman" w:hAnsi="Times New Roman" w:cs="Times New Roman"/>
          <w:i/>
          <w:sz w:val="24"/>
          <w:szCs w:val="24"/>
        </w:rPr>
        <w:t>Khumalo</w:t>
      </w:r>
      <w:proofErr w:type="spellEnd"/>
      <w:r w:rsidR="0013664C" w:rsidRPr="0013664C">
        <w:rPr>
          <w:rFonts w:ascii="Times New Roman" w:hAnsi="Times New Roman" w:cs="Times New Roman"/>
          <w:i/>
          <w:sz w:val="24"/>
          <w:szCs w:val="24"/>
        </w:rPr>
        <w:t xml:space="preserve"> v </w:t>
      </w:r>
      <w:proofErr w:type="spellStart"/>
      <w:r w:rsidR="0013664C" w:rsidRPr="0013664C">
        <w:rPr>
          <w:rFonts w:ascii="Times New Roman" w:hAnsi="Times New Roman" w:cs="Times New Roman"/>
          <w:i/>
          <w:sz w:val="24"/>
          <w:szCs w:val="24"/>
        </w:rPr>
        <w:t>Mandeya</w:t>
      </w:r>
      <w:proofErr w:type="spellEnd"/>
      <w:r w:rsidR="0013664C" w:rsidRPr="0013664C">
        <w:rPr>
          <w:rFonts w:ascii="Times New Roman" w:hAnsi="Times New Roman" w:cs="Times New Roman"/>
          <w:i/>
          <w:sz w:val="24"/>
          <w:szCs w:val="24"/>
        </w:rPr>
        <w:t xml:space="preserve"> </w:t>
      </w:r>
      <w:r w:rsidR="0013664C">
        <w:rPr>
          <w:rFonts w:ascii="Times New Roman" w:hAnsi="Times New Roman" w:cs="Times New Roman"/>
          <w:sz w:val="24"/>
          <w:szCs w:val="24"/>
        </w:rPr>
        <w:t xml:space="preserve">SC 23/2008. </w:t>
      </w:r>
      <w:r w:rsidR="006B387D">
        <w:rPr>
          <w:rFonts w:ascii="Times New Roman" w:hAnsi="Times New Roman" w:cs="Times New Roman"/>
          <w:sz w:val="24"/>
          <w:szCs w:val="24"/>
        </w:rPr>
        <w:t xml:space="preserve">No matter the wording of the agreement, the point remains that respondent could not sell what it did not have at the time. It could not sell real rights, </w:t>
      </w:r>
      <w:r w:rsidR="00751D10">
        <w:rPr>
          <w:rFonts w:ascii="Times New Roman" w:hAnsi="Times New Roman" w:cs="Times New Roman"/>
          <w:sz w:val="24"/>
          <w:szCs w:val="24"/>
        </w:rPr>
        <w:t xml:space="preserve">but could </w:t>
      </w:r>
      <w:r w:rsidR="006B387D">
        <w:rPr>
          <w:rFonts w:ascii="Times New Roman" w:hAnsi="Times New Roman" w:cs="Times New Roman"/>
          <w:sz w:val="24"/>
          <w:szCs w:val="24"/>
        </w:rPr>
        <w:t xml:space="preserve">only </w:t>
      </w:r>
      <w:r w:rsidR="00751D10">
        <w:rPr>
          <w:rFonts w:ascii="Times New Roman" w:hAnsi="Times New Roman" w:cs="Times New Roman"/>
          <w:sz w:val="24"/>
          <w:szCs w:val="24"/>
        </w:rPr>
        <w:t>sell personal rights an</w:t>
      </w:r>
      <w:r w:rsidR="00B04AE1">
        <w:rPr>
          <w:rFonts w:ascii="Times New Roman" w:hAnsi="Times New Roman" w:cs="Times New Roman"/>
          <w:sz w:val="24"/>
          <w:szCs w:val="24"/>
        </w:rPr>
        <w:t>d interests in the</w:t>
      </w:r>
      <w:r w:rsidR="00751D10">
        <w:rPr>
          <w:rFonts w:ascii="Times New Roman" w:hAnsi="Times New Roman" w:cs="Times New Roman"/>
          <w:sz w:val="24"/>
          <w:szCs w:val="24"/>
        </w:rPr>
        <w:t xml:space="preserve"> property. </w:t>
      </w:r>
      <w:r w:rsidR="001E2765">
        <w:rPr>
          <w:rFonts w:ascii="Times New Roman" w:hAnsi="Times New Roman" w:cs="Times New Roman"/>
          <w:sz w:val="24"/>
          <w:szCs w:val="24"/>
        </w:rPr>
        <w:t xml:space="preserve">Therefore the finding of the court </w:t>
      </w:r>
      <w:r w:rsidR="001E2765" w:rsidRPr="001E2765">
        <w:rPr>
          <w:rFonts w:ascii="Times New Roman" w:hAnsi="Times New Roman" w:cs="Times New Roman"/>
          <w:i/>
          <w:sz w:val="24"/>
          <w:szCs w:val="24"/>
        </w:rPr>
        <w:t>a quo</w:t>
      </w:r>
      <w:r w:rsidR="001E2765">
        <w:rPr>
          <w:rFonts w:ascii="Times New Roman" w:hAnsi="Times New Roman" w:cs="Times New Roman"/>
          <w:sz w:val="24"/>
          <w:szCs w:val="24"/>
        </w:rPr>
        <w:t xml:space="preserve"> that the Contractual Penalties Act did not apply in this case is unassailable. </w:t>
      </w:r>
    </w:p>
    <w:p w:rsidR="007745A0" w:rsidRDefault="00BB1AAA" w:rsidP="001927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that the court</w:t>
      </w:r>
      <w:r w:rsidRPr="00F75DD2">
        <w:rPr>
          <w:rFonts w:ascii="Times New Roman" w:hAnsi="Times New Roman" w:cs="Times New Roman"/>
          <w:i/>
          <w:sz w:val="24"/>
          <w:szCs w:val="24"/>
        </w:rPr>
        <w:t xml:space="preserve"> a quo erred </w:t>
      </w:r>
      <w:r>
        <w:rPr>
          <w:rFonts w:ascii="Times New Roman" w:hAnsi="Times New Roman" w:cs="Times New Roman"/>
          <w:sz w:val="24"/>
          <w:szCs w:val="24"/>
        </w:rPr>
        <w:t>and misdirected itself in finding for the respondent on the grounds that the agreement entered into between the parties was an agreement of cession when the respondent had pleaded a contract of sale and led evidence based on an agreement of sale and when no amendment had been sought to the summons and particular</w:t>
      </w:r>
      <w:r w:rsidR="001C7B81">
        <w:rPr>
          <w:rFonts w:ascii="Times New Roman" w:hAnsi="Times New Roman" w:cs="Times New Roman"/>
          <w:sz w:val="24"/>
          <w:szCs w:val="24"/>
        </w:rPr>
        <w:t>s of claim to allege a cession has no merit</w:t>
      </w:r>
      <w:r w:rsidR="001D6B25">
        <w:rPr>
          <w:rFonts w:ascii="Times New Roman" w:hAnsi="Times New Roman" w:cs="Times New Roman"/>
          <w:sz w:val="24"/>
          <w:szCs w:val="24"/>
        </w:rPr>
        <w:t xml:space="preserve"> and</w:t>
      </w:r>
      <w:r w:rsidR="001C7B81">
        <w:rPr>
          <w:rFonts w:ascii="Times New Roman" w:hAnsi="Times New Roman" w:cs="Times New Roman"/>
          <w:sz w:val="24"/>
          <w:szCs w:val="24"/>
        </w:rPr>
        <w:t xml:space="preserve"> cannot succeed. </w:t>
      </w:r>
    </w:p>
    <w:p w:rsidR="007745A0" w:rsidRDefault="007745A0" w:rsidP="001927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issue of costs, there is no way the appellant can avoid meeting the costs having prosecuted an appeal devoid of merit. The costs follow the cause. </w:t>
      </w:r>
    </w:p>
    <w:p w:rsidR="00A00498" w:rsidRPr="0092785A" w:rsidRDefault="00935911" w:rsidP="00935911">
      <w:pPr>
        <w:spacing w:after="0" w:line="48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lastRenderedPageBreak/>
        <w:tab/>
      </w:r>
      <w:r w:rsidR="00A00498" w:rsidRPr="0092785A">
        <w:rPr>
          <w:rFonts w:ascii="Times New Roman" w:hAnsi="Times New Roman" w:cs="Times New Roman"/>
          <w:color w:val="1F1F1F"/>
          <w:sz w:val="24"/>
          <w:szCs w:val="24"/>
        </w:rPr>
        <w:t>In the result, it is ordered as follows:</w:t>
      </w:r>
    </w:p>
    <w:p w:rsidR="005E4C70" w:rsidRPr="0092785A" w:rsidRDefault="00935911" w:rsidP="00935911">
      <w:pPr>
        <w:tabs>
          <w:tab w:val="left" w:pos="709"/>
        </w:tabs>
        <w:spacing w:after="0" w:line="48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ab/>
      </w:r>
      <w:r w:rsidR="00A00498" w:rsidRPr="0092785A">
        <w:rPr>
          <w:rFonts w:ascii="Times New Roman" w:hAnsi="Times New Roman" w:cs="Times New Roman"/>
          <w:color w:val="1F1F1F"/>
          <w:sz w:val="24"/>
          <w:szCs w:val="24"/>
        </w:rPr>
        <w:t xml:space="preserve">The appeal be and is hereby dismissed with costs. </w:t>
      </w:r>
    </w:p>
    <w:p w:rsidR="0044119D" w:rsidRDefault="0044119D" w:rsidP="00362A6C">
      <w:pPr>
        <w:pStyle w:val="Default"/>
        <w:spacing w:line="360" w:lineRule="auto"/>
        <w:ind w:firstLine="720"/>
        <w:jc w:val="both"/>
        <w:rPr>
          <w:rFonts w:ascii="Times New Roman" w:hAnsi="Times New Roman" w:cs="Times New Roman"/>
          <w:color w:val="1F1F1F"/>
        </w:rPr>
      </w:pPr>
    </w:p>
    <w:p w:rsidR="0044119D" w:rsidRDefault="0044119D" w:rsidP="00362A6C">
      <w:pPr>
        <w:pStyle w:val="Default"/>
        <w:spacing w:line="360" w:lineRule="auto"/>
        <w:ind w:firstLine="720"/>
        <w:jc w:val="both"/>
        <w:rPr>
          <w:rFonts w:ascii="Times New Roman" w:hAnsi="Times New Roman" w:cs="Times New Roman"/>
          <w:color w:val="1F1F1F"/>
        </w:rPr>
      </w:pPr>
    </w:p>
    <w:p w:rsidR="001927F3" w:rsidRDefault="001927F3" w:rsidP="0044119D">
      <w:pPr>
        <w:pStyle w:val="Default"/>
        <w:spacing w:line="360" w:lineRule="auto"/>
        <w:jc w:val="both"/>
        <w:rPr>
          <w:rFonts w:ascii="Times New Roman" w:hAnsi="Times New Roman" w:cs="Times New Roman"/>
          <w:color w:val="1F1F1F"/>
        </w:rPr>
      </w:pPr>
    </w:p>
    <w:p w:rsidR="0044119D" w:rsidRDefault="00935911" w:rsidP="0044119D">
      <w:pPr>
        <w:pStyle w:val="Default"/>
        <w:jc w:val="both"/>
        <w:rPr>
          <w:rFonts w:ascii="Times New Roman" w:hAnsi="Times New Roman" w:cs="Times New Roman"/>
          <w:color w:val="1F1F1F"/>
        </w:rPr>
      </w:pPr>
      <w:r>
        <w:rPr>
          <w:rFonts w:ascii="Times New Roman" w:hAnsi="Times New Roman" w:cs="Times New Roman"/>
          <w:i/>
          <w:color w:val="1F1F1F"/>
        </w:rPr>
        <w:t>M</w:t>
      </w:r>
      <w:r w:rsidR="0044119D" w:rsidRPr="0044119D">
        <w:rPr>
          <w:rFonts w:ascii="Times New Roman" w:hAnsi="Times New Roman" w:cs="Times New Roman"/>
          <w:i/>
          <w:color w:val="1F1F1F"/>
        </w:rPr>
        <w:t xml:space="preserve">essrs </w:t>
      </w:r>
      <w:proofErr w:type="spellStart"/>
      <w:r w:rsidR="0044119D" w:rsidRPr="0044119D">
        <w:rPr>
          <w:rFonts w:ascii="Times New Roman" w:hAnsi="Times New Roman" w:cs="Times New Roman"/>
          <w:i/>
          <w:color w:val="1F1F1F"/>
        </w:rPr>
        <w:t>Majoko</w:t>
      </w:r>
      <w:proofErr w:type="spellEnd"/>
      <w:r w:rsidR="0044119D" w:rsidRPr="0044119D">
        <w:rPr>
          <w:rFonts w:ascii="Times New Roman" w:hAnsi="Times New Roman" w:cs="Times New Roman"/>
          <w:i/>
          <w:color w:val="1F1F1F"/>
        </w:rPr>
        <w:t xml:space="preserve"> and </w:t>
      </w:r>
      <w:proofErr w:type="spellStart"/>
      <w:r w:rsidR="0044119D" w:rsidRPr="0044119D">
        <w:rPr>
          <w:rFonts w:ascii="Times New Roman" w:hAnsi="Times New Roman" w:cs="Times New Roman"/>
          <w:i/>
          <w:color w:val="1F1F1F"/>
        </w:rPr>
        <w:t>Majoko</w:t>
      </w:r>
      <w:proofErr w:type="spellEnd"/>
      <w:r w:rsidR="0044119D">
        <w:rPr>
          <w:rFonts w:ascii="Times New Roman" w:hAnsi="Times New Roman" w:cs="Times New Roman"/>
          <w:color w:val="1F1F1F"/>
        </w:rPr>
        <w:t xml:space="preserve"> appellant’s legal practitioners </w:t>
      </w:r>
    </w:p>
    <w:p w:rsidR="0044119D" w:rsidRPr="00362A6C" w:rsidRDefault="0044119D" w:rsidP="0044119D">
      <w:pPr>
        <w:pStyle w:val="Default"/>
        <w:jc w:val="both"/>
        <w:rPr>
          <w:rFonts w:ascii="Times New Roman" w:hAnsi="Times New Roman" w:cs="Times New Roman"/>
          <w:color w:val="1F1F1F"/>
        </w:rPr>
      </w:pPr>
      <w:proofErr w:type="spellStart"/>
      <w:r w:rsidRPr="0044119D">
        <w:rPr>
          <w:rFonts w:ascii="Times New Roman" w:hAnsi="Times New Roman" w:cs="Times New Roman"/>
          <w:i/>
          <w:color w:val="1F1F1F"/>
        </w:rPr>
        <w:t>Maseko</w:t>
      </w:r>
      <w:proofErr w:type="spellEnd"/>
      <w:r w:rsidRPr="0044119D">
        <w:rPr>
          <w:rFonts w:ascii="Times New Roman" w:hAnsi="Times New Roman" w:cs="Times New Roman"/>
          <w:i/>
          <w:color w:val="1F1F1F"/>
        </w:rPr>
        <w:t xml:space="preserve"> Law Chambers</w:t>
      </w:r>
      <w:r>
        <w:rPr>
          <w:rFonts w:ascii="Times New Roman" w:hAnsi="Times New Roman" w:cs="Times New Roman"/>
          <w:color w:val="1F1F1F"/>
        </w:rPr>
        <w:t xml:space="preserve"> respondent’s legal practitioners </w:t>
      </w:r>
    </w:p>
    <w:sectPr w:rsidR="0044119D" w:rsidRPr="00362A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911" w:rsidRDefault="00935911" w:rsidP="00935911">
      <w:pPr>
        <w:spacing w:after="0" w:line="240" w:lineRule="auto"/>
      </w:pPr>
      <w:r>
        <w:separator/>
      </w:r>
    </w:p>
  </w:endnote>
  <w:endnote w:type="continuationSeparator" w:id="0">
    <w:p w:rsidR="00935911" w:rsidRDefault="00935911" w:rsidP="0093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911" w:rsidRDefault="00935911" w:rsidP="00935911">
      <w:pPr>
        <w:spacing w:after="0" w:line="240" w:lineRule="auto"/>
      </w:pPr>
      <w:r>
        <w:separator/>
      </w:r>
    </w:p>
  </w:footnote>
  <w:footnote w:type="continuationSeparator" w:id="0">
    <w:p w:rsidR="00935911" w:rsidRDefault="00935911" w:rsidP="00935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340084"/>
      <w:docPartObj>
        <w:docPartGallery w:val="Page Numbers (Top of Page)"/>
        <w:docPartUnique/>
      </w:docPartObj>
    </w:sdtPr>
    <w:sdtEndPr>
      <w:rPr>
        <w:noProof/>
      </w:rPr>
    </w:sdtEndPr>
    <w:sdtContent>
      <w:p w:rsidR="00935911" w:rsidRDefault="00935911">
        <w:pPr>
          <w:pStyle w:val="Header"/>
          <w:jc w:val="right"/>
          <w:rPr>
            <w:noProof/>
          </w:rPr>
        </w:pPr>
        <w:r>
          <w:fldChar w:fldCharType="begin"/>
        </w:r>
        <w:r>
          <w:instrText xml:space="preserve"> PAGE   \* MERGEFORMAT </w:instrText>
        </w:r>
        <w:r>
          <w:fldChar w:fldCharType="separate"/>
        </w:r>
        <w:r>
          <w:rPr>
            <w:noProof/>
          </w:rPr>
          <w:t>6</w:t>
        </w:r>
        <w:r>
          <w:rPr>
            <w:noProof/>
          </w:rPr>
          <w:fldChar w:fldCharType="end"/>
        </w:r>
      </w:p>
      <w:p w:rsidR="00935911" w:rsidRDefault="00935911">
        <w:pPr>
          <w:pStyle w:val="Header"/>
          <w:jc w:val="right"/>
          <w:rPr>
            <w:noProof/>
          </w:rPr>
        </w:pPr>
        <w:r>
          <w:rPr>
            <w:noProof/>
          </w:rPr>
          <w:t>HB 48/22</w:t>
        </w:r>
      </w:p>
      <w:p w:rsidR="00935911" w:rsidRDefault="00935911">
        <w:pPr>
          <w:pStyle w:val="Header"/>
          <w:jc w:val="right"/>
        </w:pPr>
        <w:r>
          <w:rPr>
            <w:noProof/>
          </w:rPr>
          <w:t>HCA 40/20</w:t>
        </w:r>
      </w:p>
    </w:sdtContent>
  </w:sdt>
  <w:p w:rsidR="00935911" w:rsidRDefault="00935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A0365"/>
    <w:multiLevelType w:val="hybridMultilevel"/>
    <w:tmpl w:val="10387B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78"/>
    <w:rsid w:val="00013584"/>
    <w:rsid w:val="00042DE0"/>
    <w:rsid w:val="000578D6"/>
    <w:rsid w:val="000700E4"/>
    <w:rsid w:val="000912DA"/>
    <w:rsid w:val="000A01D7"/>
    <w:rsid w:val="000A1025"/>
    <w:rsid w:val="000E10BD"/>
    <w:rsid w:val="0013664C"/>
    <w:rsid w:val="00136BEB"/>
    <w:rsid w:val="00137CCB"/>
    <w:rsid w:val="00140DAB"/>
    <w:rsid w:val="00163802"/>
    <w:rsid w:val="00170399"/>
    <w:rsid w:val="0018523B"/>
    <w:rsid w:val="001927F3"/>
    <w:rsid w:val="00194032"/>
    <w:rsid w:val="001A4954"/>
    <w:rsid w:val="001C0216"/>
    <w:rsid w:val="001C249E"/>
    <w:rsid w:val="001C7B81"/>
    <w:rsid w:val="001D4A68"/>
    <w:rsid w:val="001D6B25"/>
    <w:rsid w:val="001E2765"/>
    <w:rsid w:val="001F0D93"/>
    <w:rsid w:val="001F2A94"/>
    <w:rsid w:val="001F4634"/>
    <w:rsid w:val="001F54B6"/>
    <w:rsid w:val="002022C3"/>
    <w:rsid w:val="0020561E"/>
    <w:rsid w:val="00205C30"/>
    <w:rsid w:val="00227391"/>
    <w:rsid w:val="00241502"/>
    <w:rsid w:val="00247075"/>
    <w:rsid w:val="00253F97"/>
    <w:rsid w:val="0029257A"/>
    <w:rsid w:val="002B0778"/>
    <w:rsid w:val="002B6D8A"/>
    <w:rsid w:val="002C2898"/>
    <w:rsid w:val="002D42DB"/>
    <w:rsid w:val="002E016E"/>
    <w:rsid w:val="00324127"/>
    <w:rsid w:val="003262EA"/>
    <w:rsid w:val="0034247F"/>
    <w:rsid w:val="0035627C"/>
    <w:rsid w:val="00357D05"/>
    <w:rsid w:val="00362A6C"/>
    <w:rsid w:val="00363546"/>
    <w:rsid w:val="00374721"/>
    <w:rsid w:val="003A3CD9"/>
    <w:rsid w:val="003A3CFA"/>
    <w:rsid w:val="003A4711"/>
    <w:rsid w:val="003A4E97"/>
    <w:rsid w:val="003A7FA3"/>
    <w:rsid w:val="00402CF2"/>
    <w:rsid w:val="004037B9"/>
    <w:rsid w:val="0041328B"/>
    <w:rsid w:val="00437594"/>
    <w:rsid w:val="0044080E"/>
    <w:rsid w:val="0044119D"/>
    <w:rsid w:val="00455895"/>
    <w:rsid w:val="00480CBF"/>
    <w:rsid w:val="004850E7"/>
    <w:rsid w:val="004B3875"/>
    <w:rsid w:val="004E44C0"/>
    <w:rsid w:val="004E46DF"/>
    <w:rsid w:val="00507403"/>
    <w:rsid w:val="0053277F"/>
    <w:rsid w:val="0054365B"/>
    <w:rsid w:val="00553A5E"/>
    <w:rsid w:val="00567A5E"/>
    <w:rsid w:val="00571ADA"/>
    <w:rsid w:val="00594084"/>
    <w:rsid w:val="005B6452"/>
    <w:rsid w:val="005C32A5"/>
    <w:rsid w:val="005D6155"/>
    <w:rsid w:val="005E4C70"/>
    <w:rsid w:val="005F2D65"/>
    <w:rsid w:val="00622B34"/>
    <w:rsid w:val="00622D0A"/>
    <w:rsid w:val="00632138"/>
    <w:rsid w:val="006563D6"/>
    <w:rsid w:val="006812F8"/>
    <w:rsid w:val="00683AFA"/>
    <w:rsid w:val="006B00F9"/>
    <w:rsid w:val="006B1740"/>
    <w:rsid w:val="006B387D"/>
    <w:rsid w:val="006B64E1"/>
    <w:rsid w:val="006F33BC"/>
    <w:rsid w:val="00751D10"/>
    <w:rsid w:val="007566CE"/>
    <w:rsid w:val="00760F88"/>
    <w:rsid w:val="007745A0"/>
    <w:rsid w:val="007810C4"/>
    <w:rsid w:val="00782F0C"/>
    <w:rsid w:val="00805019"/>
    <w:rsid w:val="008251CD"/>
    <w:rsid w:val="008460A0"/>
    <w:rsid w:val="00855EB6"/>
    <w:rsid w:val="008560CE"/>
    <w:rsid w:val="0086149A"/>
    <w:rsid w:val="0086693B"/>
    <w:rsid w:val="008733E7"/>
    <w:rsid w:val="0087422A"/>
    <w:rsid w:val="008925A7"/>
    <w:rsid w:val="0089665E"/>
    <w:rsid w:val="008A04A4"/>
    <w:rsid w:val="008A6B9A"/>
    <w:rsid w:val="008E3A5B"/>
    <w:rsid w:val="008E7ED8"/>
    <w:rsid w:val="008F56A7"/>
    <w:rsid w:val="0091368E"/>
    <w:rsid w:val="0091448B"/>
    <w:rsid w:val="00917425"/>
    <w:rsid w:val="00925E3D"/>
    <w:rsid w:val="0092785A"/>
    <w:rsid w:val="00935911"/>
    <w:rsid w:val="00970E72"/>
    <w:rsid w:val="009735F8"/>
    <w:rsid w:val="00993BAB"/>
    <w:rsid w:val="009A6B0D"/>
    <w:rsid w:val="009B330F"/>
    <w:rsid w:val="009B4872"/>
    <w:rsid w:val="009C06A0"/>
    <w:rsid w:val="009D20C7"/>
    <w:rsid w:val="009D7715"/>
    <w:rsid w:val="00A00498"/>
    <w:rsid w:val="00A33278"/>
    <w:rsid w:val="00A51013"/>
    <w:rsid w:val="00A86F11"/>
    <w:rsid w:val="00A90CEA"/>
    <w:rsid w:val="00A90D32"/>
    <w:rsid w:val="00A936C6"/>
    <w:rsid w:val="00A95C83"/>
    <w:rsid w:val="00A95F84"/>
    <w:rsid w:val="00AA0809"/>
    <w:rsid w:val="00AA33E5"/>
    <w:rsid w:val="00AB10B2"/>
    <w:rsid w:val="00AB667E"/>
    <w:rsid w:val="00AC0462"/>
    <w:rsid w:val="00AC49F6"/>
    <w:rsid w:val="00AD5EED"/>
    <w:rsid w:val="00AE43B0"/>
    <w:rsid w:val="00B04AE1"/>
    <w:rsid w:val="00B15CD8"/>
    <w:rsid w:val="00B53FC9"/>
    <w:rsid w:val="00B548B8"/>
    <w:rsid w:val="00B562BD"/>
    <w:rsid w:val="00B66A40"/>
    <w:rsid w:val="00B67333"/>
    <w:rsid w:val="00BB1AAA"/>
    <w:rsid w:val="00BC6C6B"/>
    <w:rsid w:val="00BF3ABA"/>
    <w:rsid w:val="00BF6BFB"/>
    <w:rsid w:val="00C10F24"/>
    <w:rsid w:val="00C12CD6"/>
    <w:rsid w:val="00C20D4C"/>
    <w:rsid w:val="00C24AE4"/>
    <w:rsid w:val="00C671F6"/>
    <w:rsid w:val="00C7328B"/>
    <w:rsid w:val="00C7750F"/>
    <w:rsid w:val="00CA14AC"/>
    <w:rsid w:val="00CD5E67"/>
    <w:rsid w:val="00CF2AD4"/>
    <w:rsid w:val="00D1687D"/>
    <w:rsid w:val="00D20F5E"/>
    <w:rsid w:val="00D24FEA"/>
    <w:rsid w:val="00D330F9"/>
    <w:rsid w:val="00D3762A"/>
    <w:rsid w:val="00D476BF"/>
    <w:rsid w:val="00D57A46"/>
    <w:rsid w:val="00D76054"/>
    <w:rsid w:val="00D93087"/>
    <w:rsid w:val="00DA4547"/>
    <w:rsid w:val="00DB64D1"/>
    <w:rsid w:val="00DD571E"/>
    <w:rsid w:val="00DF5CC2"/>
    <w:rsid w:val="00DF638F"/>
    <w:rsid w:val="00E00100"/>
    <w:rsid w:val="00E0126E"/>
    <w:rsid w:val="00E3330E"/>
    <w:rsid w:val="00E3749C"/>
    <w:rsid w:val="00E62439"/>
    <w:rsid w:val="00E750B4"/>
    <w:rsid w:val="00E80EA8"/>
    <w:rsid w:val="00EB64B4"/>
    <w:rsid w:val="00EC79D8"/>
    <w:rsid w:val="00ED2A3B"/>
    <w:rsid w:val="00EE0456"/>
    <w:rsid w:val="00EE350E"/>
    <w:rsid w:val="00F0443D"/>
    <w:rsid w:val="00F33BF9"/>
    <w:rsid w:val="00F41350"/>
    <w:rsid w:val="00F429C9"/>
    <w:rsid w:val="00F44DFE"/>
    <w:rsid w:val="00F61ECE"/>
    <w:rsid w:val="00F75DD2"/>
    <w:rsid w:val="00F86466"/>
    <w:rsid w:val="00F964D7"/>
    <w:rsid w:val="00FC30DE"/>
    <w:rsid w:val="00FD0F4A"/>
    <w:rsid w:val="00FD2A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E2D63-A264-4B48-8EF5-C6787726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778"/>
  </w:style>
  <w:style w:type="paragraph" w:styleId="Heading3">
    <w:name w:val="heading 3"/>
    <w:basedOn w:val="Normal"/>
    <w:link w:val="Heading3Char"/>
    <w:uiPriority w:val="9"/>
    <w:qFormat/>
    <w:rsid w:val="00BF6BFB"/>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3B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F56A7"/>
    <w:pPr>
      <w:ind w:left="720"/>
      <w:contextualSpacing/>
    </w:pPr>
  </w:style>
  <w:style w:type="paragraph" w:styleId="NormalWeb">
    <w:name w:val="Normal (Web)"/>
    <w:basedOn w:val="Normal"/>
    <w:uiPriority w:val="99"/>
    <w:semiHidden/>
    <w:unhideWhenUsed/>
    <w:rsid w:val="00970E7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3Char">
    <w:name w:val="Heading 3 Char"/>
    <w:basedOn w:val="DefaultParagraphFont"/>
    <w:link w:val="Heading3"/>
    <w:uiPriority w:val="9"/>
    <w:rsid w:val="00BF6BFB"/>
    <w:rPr>
      <w:rFonts w:ascii="Times New Roman" w:eastAsia="Times New Roman" w:hAnsi="Times New Roman" w:cs="Times New Roman"/>
      <w:b/>
      <w:bCs/>
      <w:sz w:val="27"/>
      <w:szCs w:val="27"/>
      <w:lang w:eastAsia="en-ZW"/>
    </w:rPr>
  </w:style>
  <w:style w:type="paragraph" w:customStyle="1" w:styleId="Default">
    <w:name w:val="Default"/>
    <w:rsid w:val="005E4C7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35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911"/>
  </w:style>
  <w:style w:type="paragraph" w:styleId="Footer">
    <w:name w:val="footer"/>
    <w:basedOn w:val="Normal"/>
    <w:link w:val="FooterChar"/>
    <w:uiPriority w:val="99"/>
    <w:unhideWhenUsed/>
    <w:rsid w:val="00935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11"/>
  </w:style>
  <w:style w:type="paragraph" w:styleId="BalloonText">
    <w:name w:val="Balloon Text"/>
    <w:basedOn w:val="Normal"/>
    <w:link w:val="BalloonTextChar"/>
    <w:uiPriority w:val="99"/>
    <w:semiHidden/>
    <w:unhideWhenUsed/>
    <w:rsid w:val="00935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1573">
      <w:bodyDiv w:val="1"/>
      <w:marLeft w:val="0"/>
      <w:marRight w:val="0"/>
      <w:marTop w:val="0"/>
      <w:marBottom w:val="0"/>
      <w:divBdr>
        <w:top w:val="none" w:sz="0" w:space="0" w:color="auto"/>
        <w:left w:val="none" w:sz="0" w:space="0" w:color="auto"/>
        <w:bottom w:val="none" w:sz="0" w:space="0" w:color="auto"/>
        <w:right w:val="none" w:sz="0" w:space="0" w:color="auto"/>
      </w:divBdr>
    </w:div>
    <w:div w:id="42095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6</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22</cp:revision>
  <cp:lastPrinted>2022-02-23T12:21:00Z</cp:lastPrinted>
  <dcterms:created xsi:type="dcterms:W3CDTF">2022-02-07T19:57:00Z</dcterms:created>
  <dcterms:modified xsi:type="dcterms:W3CDTF">2022-02-23T12:23:00Z</dcterms:modified>
</cp:coreProperties>
</file>