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F2D3" w14:textId="77777777" w:rsidR="0073075C" w:rsidRDefault="0073075C"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MARY MADZIMA </w:t>
      </w:r>
    </w:p>
    <w:p w14:paraId="3C4820F5" w14:textId="77777777" w:rsidR="0073075C" w:rsidRDefault="0073075C"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3803E001" w14:textId="7526D9D6" w:rsidR="006B622A" w:rsidRDefault="0073075C"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MICAH SIYAPI MADZIMA </w:t>
      </w:r>
      <w:r w:rsidR="0019623E">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8B4739F" w14:textId="57F33C4D" w:rsidR="0019623E" w:rsidRDefault="0073075C" w:rsidP="00DB7504">
      <w:pPr>
        <w:spacing w:after="0"/>
        <w:jc w:val="both"/>
        <w:rPr>
          <w:rFonts w:ascii="Times New Roman" w:hAnsi="Times New Roman" w:cs="Times New Roman"/>
          <w:sz w:val="24"/>
          <w:szCs w:val="24"/>
        </w:rPr>
      </w:pPr>
      <w:r>
        <w:rPr>
          <w:rFonts w:ascii="Times New Roman" w:hAnsi="Times New Roman" w:cs="Times New Roman"/>
          <w:sz w:val="24"/>
          <w:szCs w:val="24"/>
        </w:rPr>
        <w:t>MILIVIC HOUSING TRUST AND ALL THOSE OCCUPYING THE REMAINDER OF STAND 219 STRATHAVEN TOWNSHIP, HARARE THROUGH IT</w:t>
      </w:r>
      <w:r w:rsidR="0019623E">
        <w:rPr>
          <w:rFonts w:ascii="Times New Roman" w:hAnsi="Times New Roman" w:cs="Times New Roman"/>
          <w:sz w:val="24"/>
          <w:szCs w:val="24"/>
        </w:rPr>
        <w:t xml:space="preserve"> </w:t>
      </w:r>
    </w:p>
    <w:p w14:paraId="4F5087F4" w14:textId="77777777" w:rsidR="0019623E"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769B302F" w14:textId="1ACA0C43" w:rsidR="00822ADA" w:rsidRDefault="0073075C"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AND PUBLIC WORKS N.O. </w:t>
      </w:r>
      <w:r w:rsidR="0019623E">
        <w:rPr>
          <w:rFonts w:ascii="Times New Roman" w:hAnsi="Times New Roman" w:cs="Times New Roman"/>
          <w:sz w:val="24"/>
          <w:szCs w:val="24"/>
        </w:rPr>
        <w:t xml:space="preserve"> </w:t>
      </w:r>
      <w:r w:rsidR="003727EF">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545F727D" w:rsidR="003E3F2A" w:rsidRDefault="00A409C2" w:rsidP="00280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73075C">
        <w:rPr>
          <w:rFonts w:ascii="Times New Roman" w:hAnsi="Times New Roman" w:cs="Times New Roman"/>
          <w:sz w:val="24"/>
          <w:szCs w:val="24"/>
        </w:rPr>
        <w:t xml:space="preserve">11 January 2023 </w:t>
      </w:r>
      <w:r w:rsidR="00C51802">
        <w:rPr>
          <w:rFonts w:ascii="Times New Roman" w:hAnsi="Times New Roman" w:cs="Times New Roman"/>
          <w:sz w:val="24"/>
          <w:szCs w:val="24"/>
        </w:rPr>
        <w:t>&amp; 13</w:t>
      </w:r>
      <w:r w:rsidR="00234700">
        <w:rPr>
          <w:rFonts w:ascii="Times New Roman" w:hAnsi="Times New Roman" w:cs="Times New Roman"/>
          <w:sz w:val="24"/>
          <w:szCs w:val="24"/>
        </w:rPr>
        <w:t xml:space="preserve"> February </w:t>
      </w:r>
      <w:r w:rsidR="00822ADA">
        <w:rPr>
          <w:rFonts w:ascii="Times New Roman" w:hAnsi="Times New Roman" w:cs="Times New Roman"/>
          <w:sz w:val="24"/>
          <w:szCs w:val="24"/>
        </w:rPr>
        <w:t>202</w:t>
      </w:r>
      <w:r w:rsidR="00D47F8C">
        <w:rPr>
          <w:rFonts w:ascii="Times New Roman" w:hAnsi="Times New Roman" w:cs="Times New Roman"/>
          <w:sz w:val="24"/>
          <w:szCs w:val="24"/>
        </w:rPr>
        <w:t>3</w:t>
      </w:r>
    </w:p>
    <w:p w14:paraId="0EC8D72A" w14:textId="77777777" w:rsidR="00280329" w:rsidRDefault="00280329" w:rsidP="00280329">
      <w:pPr>
        <w:spacing w:after="0" w:line="240" w:lineRule="auto"/>
        <w:jc w:val="both"/>
        <w:rPr>
          <w:rFonts w:ascii="Times New Roman" w:hAnsi="Times New Roman" w:cs="Times New Roman"/>
          <w:sz w:val="24"/>
          <w:szCs w:val="24"/>
        </w:rPr>
      </w:pPr>
    </w:p>
    <w:p w14:paraId="62AFF563" w14:textId="77777777" w:rsidR="003C5106" w:rsidRDefault="003C5106" w:rsidP="00280329">
      <w:pPr>
        <w:spacing w:after="0" w:line="240" w:lineRule="auto"/>
        <w:jc w:val="both"/>
        <w:rPr>
          <w:rFonts w:ascii="Times New Roman" w:hAnsi="Times New Roman" w:cs="Times New Roman"/>
          <w:sz w:val="24"/>
          <w:szCs w:val="24"/>
        </w:rPr>
      </w:pPr>
    </w:p>
    <w:p w14:paraId="4142093B" w14:textId="5AFC495B" w:rsidR="00FF0E99" w:rsidRPr="00D47F8C" w:rsidRDefault="0073075C" w:rsidP="00280329">
      <w:pPr>
        <w:spacing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r w:rsidR="0010675F" w:rsidRPr="00D47F8C">
        <w:rPr>
          <w:rFonts w:ascii="Times New Roman" w:hAnsi="Times New Roman" w:cs="Times New Roman"/>
          <w:b/>
          <w:sz w:val="24"/>
          <w:szCs w:val="24"/>
        </w:rPr>
        <w:t xml:space="preserve"> </w:t>
      </w:r>
      <w:r w:rsidR="00822ADA" w:rsidRPr="00D47F8C">
        <w:rPr>
          <w:rFonts w:ascii="Times New Roman" w:hAnsi="Times New Roman" w:cs="Times New Roman"/>
          <w:b/>
          <w:sz w:val="24"/>
          <w:szCs w:val="24"/>
        </w:rPr>
        <w:t>–</w:t>
      </w:r>
      <w:r w:rsidR="0010675F" w:rsidRPr="00D47F8C">
        <w:rPr>
          <w:rFonts w:ascii="Times New Roman" w:hAnsi="Times New Roman" w:cs="Times New Roman"/>
          <w:b/>
          <w:sz w:val="24"/>
          <w:szCs w:val="24"/>
        </w:rPr>
        <w:t xml:space="preserve"> </w:t>
      </w:r>
      <w:r w:rsidR="00B47A6D">
        <w:rPr>
          <w:rFonts w:ascii="Times New Roman" w:hAnsi="Times New Roman" w:cs="Times New Roman"/>
          <w:b/>
          <w:sz w:val="24"/>
          <w:szCs w:val="24"/>
        </w:rPr>
        <w:t>Absolution from the Instance</w:t>
      </w:r>
      <w:r w:rsidR="00822ADA" w:rsidRPr="00D47F8C">
        <w:rPr>
          <w:rFonts w:ascii="Times New Roman" w:hAnsi="Times New Roman" w:cs="Times New Roman"/>
          <w:b/>
          <w:sz w:val="24"/>
          <w:szCs w:val="24"/>
        </w:rPr>
        <w:t xml:space="preserve"> </w:t>
      </w:r>
    </w:p>
    <w:p w14:paraId="15E752AF" w14:textId="77777777" w:rsidR="00280329" w:rsidRDefault="00280329" w:rsidP="00280329">
      <w:pPr>
        <w:spacing w:after="0" w:line="240" w:lineRule="auto"/>
        <w:jc w:val="both"/>
        <w:rPr>
          <w:rFonts w:ascii="Times New Roman" w:hAnsi="Times New Roman" w:cs="Times New Roman"/>
          <w:sz w:val="24"/>
          <w:szCs w:val="24"/>
        </w:rPr>
      </w:pPr>
    </w:p>
    <w:p w14:paraId="23C2DF8A" w14:textId="290B5148" w:rsidR="007F2D63" w:rsidRDefault="005B7C25" w:rsidP="00280329">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822ADA" w:rsidRPr="00280329">
        <w:rPr>
          <w:rFonts w:ascii="Times New Roman" w:hAnsi="Times New Roman" w:cs="Times New Roman"/>
          <w:sz w:val="24"/>
          <w:szCs w:val="24"/>
        </w:rPr>
        <w:t>r</w:t>
      </w:r>
      <w:r w:rsidR="00822ADA">
        <w:rPr>
          <w:rFonts w:ascii="Times New Roman" w:hAnsi="Times New Roman" w:cs="Times New Roman"/>
          <w:i/>
          <w:sz w:val="24"/>
          <w:szCs w:val="24"/>
        </w:rPr>
        <w:t xml:space="preserve"> </w:t>
      </w:r>
      <w:r w:rsidR="00017B89">
        <w:rPr>
          <w:rFonts w:ascii="Times New Roman" w:hAnsi="Times New Roman" w:cs="Times New Roman"/>
          <w:i/>
          <w:sz w:val="24"/>
          <w:szCs w:val="24"/>
        </w:rPr>
        <w:t>P. Matsanura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sidR="00017B89">
        <w:rPr>
          <w:rFonts w:ascii="Times New Roman" w:hAnsi="Times New Roman" w:cs="Times New Roman"/>
          <w:sz w:val="24"/>
          <w:szCs w:val="24"/>
        </w:rPr>
        <w:t>plaintiff</w:t>
      </w:r>
      <w:r w:rsidR="007F2D63">
        <w:rPr>
          <w:rFonts w:ascii="Times New Roman" w:hAnsi="Times New Roman" w:cs="Times New Roman"/>
          <w:sz w:val="24"/>
          <w:szCs w:val="24"/>
        </w:rPr>
        <w:t xml:space="preserve"> </w:t>
      </w:r>
    </w:p>
    <w:p w14:paraId="5A53F74C" w14:textId="2378A82C" w:rsidR="001E18C7" w:rsidRDefault="00250441" w:rsidP="001E18C7">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3B0D9F" w:rsidRPr="00280329">
        <w:rPr>
          <w:rFonts w:ascii="Times New Roman" w:hAnsi="Times New Roman" w:cs="Times New Roman"/>
          <w:sz w:val="24"/>
          <w:szCs w:val="24"/>
        </w:rPr>
        <w:t xml:space="preserve">r </w:t>
      </w:r>
      <w:r w:rsidR="00017B89">
        <w:rPr>
          <w:rFonts w:ascii="Times New Roman" w:hAnsi="Times New Roman" w:cs="Times New Roman"/>
          <w:i/>
          <w:sz w:val="24"/>
          <w:szCs w:val="24"/>
        </w:rPr>
        <w:t>G Madzoka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3B0D9F">
        <w:rPr>
          <w:rFonts w:ascii="Times New Roman" w:hAnsi="Times New Roman" w:cs="Times New Roman"/>
          <w:sz w:val="24"/>
          <w:szCs w:val="24"/>
        </w:rPr>
        <w:t>1</w:t>
      </w:r>
      <w:r w:rsidR="003B0D9F" w:rsidRPr="003B0D9F">
        <w:rPr>
          <w:rFonts w:ascii="Times New Roman" w:hAnsi="Times New Roman" w:cs="Times New Roman"/>
          <w:sz w:val="24"/>
          <w:szCs w:val="24"/>
          <w:vertAlign w:val="superscript"/>
        </w:rPr>
        <w:t>st</w:t>
      </w:r>
      <w:r w:rsidR="003B0D9F">
        <w:rPr>
          <w:rFonts w:ascii="Times New Roman" w:hAnsi="Times New Roman" w:cs="Times New Roman"/>
          <w:sz w:val="24"/>
          <w:szCs w:val="24"/>
        </w:rPr>
        <w:t xml:space="preserve"> </w:t>
      </w:r>
      <w:r w:rsidR="00017B89">
        <w:rPr>
          <w:rFonts w:ascii="Times New Roman" w:hAnsi="Times New Roman" w:cs="Times New Roman"/>
          <w:sz w:val="24"/>
          <w:szCs w:val="24"/>
        </w:rPr>
        <w:t xml:space="preserve">defendant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102D1A8F" w14:textId="21738D9E" w:rsidR="003B0D9F" w:rsidRPr="003B0D9F" w:rsidRDefault="00280329" w:rsidP="001E18C7">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 xml:space="preserve">Ms </w:t>
      </w:r>
      <w:r w:rsidRPr="006D6055">
        <w:rPr>
          <w:rFonts w:ascii="Times New Roman" w:hAnsi="Times New Roman" w:cs="Times New Roman"/>
          <w:i/>
          <w:sz w:val="24"/>
          <w:szCs w:val="24"/>
        </w:rPr>
        <w:t>A</w:t>
      </w:r>
      <w:r>
        <w:rPr>
          <w:rFonts w:ascii="Times New Roman" w:hAnsi="Times New Roman" w:cs="Times New Roman"/>
          <w:sz w:val="24"/>
          <w:szCs w:val="24"/>
        </w:rPr>
        <w:t xml:space="preserve"> </w:t>
      </w:r>
      <w:r w:rsidR="00017B89">
        <w:rPr>
          <w:rFonts w:ascii="Times New Roman" w:hAnsi="Times New Roman" w:cs="Times New Roman"/>
          <w:i/>
          <w:sz w:val="24"/>
          <w:szCs w:val="24"/>
        </w:rPr>
        <w:t>Magunde</w:t>
      </w:r>
      <w:r w:rsidR="003B0D9F">
        <w:rPr>
          <w:rFonts w:ascii="Times New Roman" w:hAnsi="Times New Roman" w:cs="Times New Roman"/>
          <w:i/>
          <w:sz w:val="24"/>
          <w:szCs w:val="24"/>
        </w:rPr>
        <w:t xml:space="preserve">, </w:t>
      </w:r>
      <w:r w:rsidR="003B0D9F">
        <w:rPr>
          <w:rFonts w:ascii="Times New Roman" w:hAnsi="Times New Roman" w:cs="Times New Roman"/>
          <w:sz w:val="24"/>
          <w:szCs w:val="24"/>
        </w:rPr>
        <w:t>for the 2</w:t>
      </w:r>
      <w:r w:rsidR="003B0D9F" w:rsidRPr="003B0D9F">
        <w:rPr>
          <w:rFonts w:ascii="Times New Roman" w:hAnsi="Times New Roman" w:cs="Times New Roman"/>
          <w:sz w:val="24"/>
          <w:szCs w:val="24"/>
          <w:vertAlign w:val="superscript"/>
        </w:rPr>
        <w:t>nd</w:t>
      </w:r>
      <w:r w:rsidR="003B0D9F">
        <w:rPr>
          <w:rFonts w:ascii="Times New Roman" w:hAnsi="Times New Roman" w:cs="Times New Roman"/>
          <w:sz w:val="24"/>
          <w:szCs w:val="24"/>
        </w:rPr>
        <w:t xml:space="preserve"> </w:t>
      </w:r>
      <w:r w:rsidR="00017B89">
        <w:rPr>
          <w:rFonts w:ascii="Times New Roman" w:hAnsi="Times New Roman" w:cs="Times New Roman"/>
          <w:sz w:val="24"/>
          <w:szCs w:val="24"/>
        </w:rPr>
        <w:t>defendant</w:t>
      </w:r>
      <w:r w:rsidR="003B0D9F">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159F2FD0" w14:textId="00FF4EFB" w:rsidR="00B756EF" w:rsidRDefault="00BE14D8" w:rsidP="00002EF0">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D47F8C">
        <w:rPr>
          <w:rFonts w:ascii="Times New Roman" w:hAnsi="Times New Roman" w:cs="Times New Roman"/>
          <w:sz w:val="24"/>
          <w:szCs w:val="24"/>
        </w:rPr>
        <w:t xml:space="preserve">The </w:t>
      </w:r>
      <w:r w:rsidR="00017B89">
        <w:rPr>
          <w:rFonts w:ascii="Times New Roman" w:hAnsi="Times New Roman" w:cs="Times New Roman"/>
          <w:sz w:val="24"/>
          <w:szCs w:val="24"/>
        </w:rPr>
        <w:t xml:space="preserve">plaintiffs herein are husband and wife. </w:t>
      </w:r>
      <w:r w:rsidR="00E26159">
        <w:rPr>
          <w:rFonts w:ascii="Times New Roman" w:hAnsi="Times New Roman" w:cs="Times New Roman"/>
          <w:sz w:val="24"/>
          <w:szCs w:val="24"/>
        </w:rPr>
        <w:t>In March 2010, they entered into a lease agreement with the then Minister of Local Government, Rural and Urban Development (</w:t>
      </w:r>
      <w:r w:rsidR="00776849">
        <w:rPr>
          <w:rFonts w:ascii="Times New Roman" w:hAnsi="Times New Roman" w:cs="Times New Roman"/>
          <w:sz w:val="24"/>
          <w:szCs w:val="24"/>
        </w:rPr>
        <w:t>now known as the Minister of Local Government and Public Works)</w:t>
      </w:r>
      <w:r w:rsidR="00E26159">
        <w:rPr>
          <w:rFonts w:ascii="Times New Roman" w:hAnsi="Times New Roman" w:cs="Times New Roman"/>
          <w:sz w:val="24"/>
          <w:szCs w:val="24"/>
        </w:rPr>
        <w:t xml:space="preserve"> in respect of a property </w:t>
      </w:r>
      <w:r w:rsidR="006F174A">
        <w:rPr>
          <w:rFonts w:ascii="Times New Roman" w:hAnsi="Times New Roman" w:cs="Times New Roman"/>
          <w:sz w:val="24"/>
          <w:szCs w:val="24"/>
        </w:rPr>
        <w:t xml:space="preserve">called </w:t>
      </w:r>
      <w:r w:rsidR="00E26159">
        <w:rPr>
          <w:rFonts w:ascii="Times New Roman" w:hAnsi="Times New Roman" w:cs="Times New Roman"/>
          <w:sz w:val="24"/>
          <w:szCs w:val="24"/>
        </w:rPr>
        <w:t>the Remainder of Stand 219</w:t>
      </w:r>
      <w:r w:rsidR="00776849">
        <w:rPr>
          <w:rFonts w:ascii="Times New Roman" w:hAnsi="Times New Roman" w:cs="Times New Roman"/>
          <w:sz w:val="24"/>
          <w:szCs w:val="24"/>
        </w:rPr>
        <w:t xml:space="preserve"> </w:t>
      </w:r>
      <w:r w:rsidR="00E26159">
        <w:rPr>
          <w:rFonts w:ascii="Times New Roman" w:hAnsi="Times New Roman" w:cs="Times New Roman"/>
          <w:sz w:val="24"/>
          <w:szCs w:val="24"/>
        </w:rPr>
        <w:t>situate in the township of Strathaven in the district of Harare</w:t>
      </w:r>
      <w:r w:rsidR="00776849">
        <w:rPr>
          <w:rFonts w:ascii="Times New Roman" w:hAnsi="Times New Roman" w:cs="Times New Roman"/>
          <w:sz w:val="24"/>
          <w:szCs w:val="24"/>
        </w:rPr>
        <w:t xml:space="preserve"> </w:t>
      </w:r>
      <w:r w:rsidR="00E26159">
        <w:rPr>
          <w:rFonts w:ascii="Times New Roman" w:hAnsi="Times New Roman" w:cs="Times New Roman"/>
          <w:sz w:val="24"/>
          <w:szCs w:val="24"/>
        </w:rPr>
        <w:t xml:space="preserve">(the property). </w:t>
      </w:r>
      <w:r w:rsidR="004034EA">
        <w:rPr>
          <w:rFonts w:ascii="Times New Roman" w:hAnsi="Times New Roman" w:cs="Times New Roman"/>
          <w:sz w:val="24"/>
          <w:szCs w:val="24"/>
        </w:rPr>
        <w:t>The Minister was joined to the proceedings as the s</w:t>
      </w:r>
      <w:r w:rsidR="009D3A45">
        <w:rPr>
          <w:rFonts w:ascii="Times New Roman" w:hAnsi="Times New Roman" w:cs="Times New Roman"/>
          <w:sz w:val="24"/>
          <w:szCs w:val="24"/>
        </w:rPr>
        <w:t>e</w:t>
      </w:r>
      <w:r w:rsidR="004034EA">
        <w:rPr>
          <w:rFonts w:ascii="Times New Roman" w:hAnsi="Times New Roman" w:cs="Times New Roman"/>
          <w:sz w:val="24"/>
          <w:szCs w:val="24"/>
        </w:rPr>
        <w:t xml:space="preserve">cond defendant by an order of this court dated 22 November 2022. </w:t>
      </w:r>
      <w:r w:rsidR="00E26159">
        <w:rPr>
          <w:rFonts w:ascii="Times New Roman" w:hAnsi="Times New Roman" w:cs="Times New Roman"/>
          <w:sz w:val="24"/>
          <w:szCs w:val="24"/>
        </w:rPr>
        <w:t>The first defendant</w:t>
      </w:r>
      <w:r w:rsidR="009D3A45">
        <w:rPr>
          <w:rFonts w:ascii="Times New Roman" w:hAnsi="Times New Roman" w:cs="Times New Roman"/>
          <w:sz w:val="24"/>
          <w:szCs w:val="24"/>
        </w:rPr>
        <w:t xml:space="preserve"> claims to be in </w:t>
      </w:r>
      <w:r w:rsidR="00E26159">
        <w:rPr>
          <w:rFonts w:ascii="Times New Roman" w:hAnsi="Times New Roman" w:cs="Times New Roman"/>
          <w:sz w:val="24"/>
          <w:szCs w:val="24"/>
        </w:rPr>
        <w:t>occupation of the property</w:t>
      </w:r>
      <w:r w:rsidR="00B756EF">
        <w:rPr>
          <w:rFonts w:ascii="Times New Roman" w:hAnsi="Times New Roman" w:cs="Times New Roman"/>
          <w:sz w:val="24"/>
          <w:szCs w:val="24"/>
        </w:rPr>
        <w:t xml:space="preserve"> since 2017</w:t>
      </w:r>
      <w:r w:rsidR="006F174A">
        <w:rPr>
          <w:rFonts w:ascii="Times New Roman" w:hAnsi="Times New Roman" w:cs="Times New Roman"/>
          <w:sz w:val="24"/>
          <w:szCs w:val="24"/>
        </w:rPr>
        <w:t xml:space="preserve">, </w:t>
      </w:r>
      <w:r w:rsidR="00B756EF">
        <w:rPr>
          <w:rFonts w:ascii="Times New Roman" w:hAnsi="Times New Roman" w:cs="Times New Roman"/>
          <w:sz w:val="24"/>
          <w:szCs w:val="24"/>
        </w:rPr>
        <w:t xml:space="preserve">on the </w:t>
      </w:r>
      <w:r w:rsidR="00E44C98">
        <w:rPr>
          <w:rFonts w:ascii="Times New Roman" w:hAnsi="Times New Roman" w:cs="Times New Roman"/>
          <w:sz w:val="24"/>
          <w:szCs w:val="24"/>
        </w:rPr>
        <w:t xml:space="preserve">strength </w:t>
      </w:r>
      <w:r w:rsidR="00B756EF">
        <w:rPr>
          <w:rFonts w:ascii="Times New Roman" w:hAnsi="Times New Roman" w:cs="Times New Roman"/>
          <w:sz w:val="24"/>
          <w:szCs w:val="24"/>
        </w:rPr>
        <w:t xml:space="preserve">of an allocation letter issued by the second defendant on 21 August 2017. The plaintiffs instituted the current proceedings against the first defendant on 6 July 2020, </w:t>
      </w:r>
      <w:r w:rsidR="00E44C98">
        <w:rPr>
          <w:rFonts w:ascii="Times New Roman" w:hAnsi="Times New Roman" w:cs="Times New Roman"/>
          <w:sz w:val="24"/>
          <w:szCs w:val="24"/>
        </w:rPr>
        <w:t xml:space="preserve">claiming </w:t>
      </w:r>
      <w:r w:rsidR="00B756EF">
        <w:rPr>
          <w:rFonts w:ascii="Times New Roman" w:hAnsi="Times New Roman" w:cs="Times New Roman"/>
          <w:sz w:val="24"/>
          <w:szCs w:val="24"/>
        </w:rPr>
        <w:t>the following relief:</w:t>
      </w:r>
    </w:p>
    <w:p w14:paraId="07BB25CA" w14:textId="77777777" w:rsidR="00B756EF" w:rsidRDefault="00B756EF" w:rsidP="00B756EF">
      <w:pPr>
        <w:spacing w:after="0" w:line="240" w:lineRule="auto"/>
        <w:ind w:left="851" w:hanging="283"/>
        <w:jc w:val="both"/>
        <w:rPr>
          <w:rFonts w:ascii="Times New Roman" w:hAnsi="Times New Roman" w:cs="Times New Roman"/>
        </w:rPr>
      </w:pPr>
      <w:r>
        <w:rPr>
          <w:rFonts w:ascii="Times New Roman" w:hAnsi="Times New Roman" w:cs="Times New Roman"/>
          <w:sz w:val="24"/>
          <w:szCs w:val="24"/>
        </w:rPr>
        <w:t>“</w:t>
      </w:r>
      <w:r w:rsidRPr="00B756EF">
        <w:rPr>
          <w:rFonts w:ascii="Times New Roman" w:hAnsi="Times New Roman" w:cs="Times New Roman"/>
        </w:rPr>
        <w:t>a. Eviction of the Defendant and all those claiming occupation of the premises through them or with them from the premises known as Remainder of Stand 219, situate in the township of S</w:t>
      </w:r>
      <w:r>
        <w:rPr>
          <w:rFonts w:ascii="Times New Roman" w:hAnsi="Times New Roman" w:cs="Times New Roman"/>
        </w:rPr>
        <w:t>trathaven in the District of Harare;</w:t>
      </w:r>
    </w:p>
    <w:p w14:paraId="6F853D5C" w14:textId="77777777" w:rsidR="00A2595C" w:rsidRDefault="00B756EF" w:rsidP="00A2595C">
      <w:pPr>
        <w:spacing w:after="0" w:line="240" w:lineRule="auto"/>
        <w:ind w:left="851" w:hanging="131"/>
        <w:jc w:val="both"/>
        <w:rPr>
          <w:rFonts w:ascii="Times New Roman" w:hAnsi="Times New Roman" w:cs="Times New Roman"/>
        </w:rPr>
      </w:pPr>
      <w:r>
        <w:rPr>
          <w:rFonts w:ascii="Times New Roman" w:hAnsi="Times New Roman" w:cs="Times New Roman"/>
        </w:rPr>
        <w:t xml:space="preserve">b. </w:t>
      </w:r>
      <w:r w:rsidR="00A2595C">
        <w:rPr>
          <w:rFonts w:ascii="Times New Roman" w:hAnsi="Times New Roman" w:cs="Times New Roman"/>
        </w:rPr>
        <w:t>Payment of damages in the sum of ZWL 500 000.00;</w:t>
      </w:r>
    </w:p>
    <w:p w14:paraId="5BA13539" w14:textId="77777777" w:rsidR="00A2595C" w:rsidRDefault="00A2595C" w:rsidP="00A2595C">
      <w:pPr>
        <w:spacing w:after="0" w:line="240" w:lineRule="auto"/>
        <w:ind w:left="851" w:hanging="131"/>
        <w:jc w:val="both"/>
        <w:rPr>
          <w:rFonts w:ascii="Times New Roman" w:hAnsi="Times New Roman" w:cs="Times New Roman"/>
        </w:rPr>
      </w:pPr>
      <w:r>
        <w:rPr>
          <w:rFonts w:ascii="Times New Roman" w:hAnsi="Times New Roman" w:cs="Times New Roman"/>
        </w:rPr>
        <w:t>c. Interest on the above sum calculated at the prescribed rate from the date of issue of summons to date of full and final payment;</w:t>
      </w:r>
    </w:p>
    <w:p w14:paraId="38B3B547" w14:textId="3C536C8C" w:rsidR="00A2595C" w:rsidRDefault="00A2595C" w:rsidP="00A2595C">
      <w:pPr>
        <w:spacing w:after="0" w:line="240" w:lineRule="auto"/>
        <w:ind w:left="851" w:hanging="131"/>
        <w:jc w:val="both"/>
        <w:rPr>
          <w:rFonts w:ascii="Times New Roman" w:hAnsi="Times New Roman" w:cs="Times New Roman"/>
        </w:rPr>
      </w:pPr>
      <w:r>
        <w:rPr>
          <w:rFonts w:ascii="Times New Roman" w:hAnsi="Times New Roman" w:cs="Times New Roman"/>
        </w:rPr>
        <w:t>d. Costs of suit on a legal practitioner and client scale.”</w:t>
      </w:r>
    </w:p>
    <w:p w14:paraId="2A0FD462" w14:textId="77777777" w:rsidR="00A2595C" w:rsidRDefault="00A2595C" w:rsidP="00A2595C">
      <w:pPr>
        <w:spacing w:after="0" w:line="240" w:lineRule="auto"/>
        <w:jc w:val="both"/>
        <w:rPr>
          <w:rFonts w:ascii="Times New Roman" w:hAnsi="Times New Roman" w:cs="Times New Roman"/>
        </w:rPr>
      </w:pPr>
    </w:p>
    <w:p w14:paraId="41035B29" w14:textId="1ABEFF33" w:rsidR="009D3A45" w:rsidRDefault="00640D75" w:rsidP="00AE5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day the trial was set to commence, the first defendant’s erstwhile legal practitioners, J. Mambara &amp; Partners renounced agency.  The first defendant’s representatives applied for a postponement of the matter to enable them to engage another legal practitioner to </w:t>
      </w:r>
      <w:r>
        <w:rPr>
          <w:rFonts w:ascii="Times New Roman" w:hAnsi="Times New Roman" w:cs="Times New Roman"/>
          <w:sz w:val="24"/>
          <w:szCs w:val="24"/>
        </w:rPr>
        <w:lastRenderedPageBreak/>
        <w:t xml:space="preserve">take over the matter. During that engagement with the parties I pointed out the difficulties attendant upon an attempt to resolve the matter without the second defendant </w:t>
      </w:r>
      <w:r w:rsidR="00776849">
        <w:rPr>
          <w:rFonts w:ascii="Times New Roman" w:hAnsi="Times New Roman" w:cs="Times New Roman"/>
          <w:sz w:val="24"/>
          <w:szCs w:val="24"/>
        </w:rPr>
        <w:t xml:space="preserve">in whom ownership of the property is vested. This was so in view of the fact that both the plaintiff and first defendant claimed rights in the </w:t>
      </w:r>
      <w:r w:rsidR="00E44C98">
        <w:rPr>
          <w:rFonts w:ascii="Times New Roman" w:hAnsi="Times New Roman" w:cs="Times New Roman"/>
          <w:sz w:val="24"/>
          <w:szCs w:val="24"/>
        </w:rPr>
        <w:t>same property</w:t>
      </w:r>
      <w:r w:rsidR="00776849">
        <w:rPr>
          <w:rFonts w:ascii="Times New Roman" w:hAnsi="Times New Roman" w:cs="Times New Roman"/>
          <w:sz w:val="24"/>
          <w:szCs w:val="24"/>
        </w:rPr>
        <w:t xml:space="preserve"> based on documentation issued by the same authority. </w:t>
      </w:r>
    </w:p>
    <w:p w14:paraId="2DD9B3DE" w14:textId="036B1F05" w:rsidR="009D3A45" w:rsidRDefault="00776849" w:rsidP="00AE5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neither party had intimated in their summaries of evidence that they intended to call the second defendant </w:t>
      </w:r>
      <w:r w:rsidR="004034EA">
        <w:rPr>
          <w:rFonts w:ascii="Times New Roman" w:hAnsi="Times New Roman" w:cs="Times New Roman"/>
          <w:sz w:val="24"/>
          <w:szCs w:val="24"/>
        </w:rPr>
        <w:t xml:space="preserve">as a witness to clarify </w:t>
      </w:r>
      <w:r w:rsidR="00E44C98">
        <w:rPr>
          <w:rFonts w:ascii="Times New Roman" w:hAnsi="Times New Roman" w:cs="Times New Roman"/>
          <w:sz w:val="24"/>
          <w:szCs w:val="24"/>
        </w:rPr>
        <w:t xml:space="preserve">his position on </w:t>
      </w:r>
      <w:r w:rsidR="004034EA">
        <w:rPr>
          <w:rFonts w:ascii="Times New Roman" w:hAnsi="Times New Roman" w:cs="Times New Roman"/>
          <w:sz w:val="24"/>
          <w:szCs w:val="24"/>
        </w:rPr>
        <w:t xml:space="preserve">the property. </w:t>
      </w:r>
      <w:r w:rsidR="00640D75">
        <w:rPr>
          <w:rFonts w:ascii="Times New Roman" w:hAnsi="Times New Roman" w:cs="Times New Roman"/>
          <w:sz w:val="24"/>
          <w:szCs w:val="24"/>
        </w:rPr>
        <w:t xml:space="preserve"> </w:t>
      </w:r>
      <w:r w:rsidR="004034EA">
        <w:rPr>
          <w:rFonts w:ascii="Times New Roman" w:hAnsi="Times New Roman" w:cs="Times New Roman"/>
          <w:sz w:val="24"/>
          <w:szCs w:val="24"/>
        </w:rPr>
        <w:t xml:space="preserve">It was at that stage that the court, acting in terms of r 32(12)(b), joined the </w:t>
      </w:r>
      <w:r w:rsidR="00640D75">
        <w:rPr>
          <w:rFonts w:ascii="Times New Roman" w:hAnsi="Times New Roman" w:cs="Times New Roman"/>
          <w:sz w:val="24"/>
          <w:szCs w:val="24"/>
        </w:rPr>
        <w:t>second defendant</w:t>
      </w:r>
      <w:r w:rsidR="00E44C98">
        <w:rPr>
          <w:rFonts w:ascii="Times New Roman" w:hAnsi="Times New Roman" w:cs="Times New Roman"/>
          <w:sz w:val="24"/>
          <w:szCs w:val="24"/>
        </w:rPr>
        <w:t xml:space="preserve"> to these proceedings</w:t>
      </w:r>
      <w:r w:rsidR="004034EA">
        <w:rPr>
          <w:rFonts w:ascii="Times New Roman" w:hAnsi="Times New Roman" w:cs="Times New Roman"/>
          <w:sz w:val="24"/>
          <w:szCs w:val="24"/>
        </w:rPr>
        <w:t xml:space="preserve">. The court directed that the second defendant or his proxy appear before the court on the next date in order to give evidence </w:t>
      </w:r>
      <w:r w:rsidR="004034EA" w:rsidRPr="004034EA">
        <w:rPr>
          <w:rFonts w:ascii="Times New Roman" w:hAnsi="Times New Roman" w:cs="Times New Roman"/>
          <w:i/>
          <w:sz w:val="24"/>
          <w:szCs w:val="24"/>
        </w:rPr>
        <w:t>inter alia</w:t>
      </w:r>
      <w:r w:rsidR="00E44C98">
        <w:rPr>
          <w:rFonts w:ascii="Times New Roman" w:hAnsi="Times New Roman" w:cs="Times New Roman"/>
          <w:sz w:val="24"/>
          <w:szCs w:val="24"/>
        </w:rPr>
        <w:t>,</w:t>
      </w:r>
      <w:r w:rsidR="004034EA">
        <w:rPr>
          <w:rFonts w:ascii="Times New Roman" w:hAnsi="Times New Roman" w:cs="Times New Roman"/>
          <w:sz w:val="24"/>
          <w:szCs w:val="24"/>
        </w:rPr>
        <w:t xml:space="preserve"> on the status of</w:t>
      </w:r>
      <w:r w:rsidR="00E44C98">
        <w:rPr>
          <w:rFonts w:ascii="Times New Roman" w:hAnsi="Times New Roman" w:cs="Times New Roman"/>
          <w:sz w:val="24"/>
          <w:szCs w:val="24"/>
        </w:rPr>
        <w:t>:</w:t>
      </w:r>
      <w:r w:rsidR="004034EA">
        <w:rPr>
          <w:rFonts w:ascii="Times New Roman" w:hAnsi="Times New Roman" w:cs="Times New Roman"/>
          <w:sz w:val="24"/>
          <w:szCs w:val="24"/>
        </w:rPr>
        <w:t xml:space="preserve"> the lease agreement issued to the plaintiffs and the allocation letter issued to the first defendant in respect of the same property. </w:t>
      </w:r>
    </w:p>
    <w:p w14:paraId="1E923BEC" w14:textId="5219BB64" w:rsidR="00BA1ADB" w:rsidRPr="00452E5B" w:rsidRDefault="004034EA" w:rsidP="00AE5DDE">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plaintiff’s legal practitioners were also directed to prepare and serve </w:t>
      </w:r>
      <w:r w:rsidR="00E44C98">
        <w:rPr>
          <w:rFonts w:ascii="Times New Roman" w:hAnsi="Times New Roman" w:cs="Times New Roman"/>
          <w:sz w:val="24"/>
          <w:szCs w:val="24"/>
        </w:rPr>
        <w:t xml:space="preserve">on the second defendant </w:t>
      </w:r>
      <w:r>
        <w:rPr>
          <w:rFonts w:ascii="Times New Roman" w:hAnsi="Times New Roman" w:cs="Times New Roman"/>
          <w:sz w:val="24"/>
          <w:szCs w:val="24"/>
        </w:rPr>
        <w:t>through the Sheriff of the High Court</w:t>
      </w:r>
      <w:r w:rsidR="00E44C98">
        <w:rPr>
          <w:rFonts w:ascii="Times New Roman" w:hAnsi="Times New Roman" w:cs="Times New Roman"/>
          <w:sz w:val="24"/>
          <w:szCs w:val="24"/>
        </w:rPr>
        <w:t>,</w:t>
      </w:r>
      <w:r>
        <w:rPr>
          <w:rFonts w:ascii="Times New Roman" w:hAnsi="Times New Roman" w:cs="Times New Roman"/>
          <w:sz w:val="24"/>
          <w:szCs w:val="24"/>
        </w:rPr>
        <w:t xml:space="preserve"> all pleadings in the matter and all documents in issue. </w:t>
      </w:r>
      <w:r w:rsidR="00AE5DDE">
        <w:rPr>
          <w:rFonts w:ascii="Times New Roman" w:hAnsi="Times New Roman" w:cs="Times New Roman"/>
          <w:sz w:val="24"/>
          <w:szCs w:val="24"/>
        </w:rPr>
        <w:t>The second defendant was ordered to prepare and file a summary of evidence and any other relevant documentation relating to the property in question. The second defendant prepared and filed a su</w:t>
      </w:r>
      <w:r w:rsidR="00E44C98">
        <w:rPr>
          <w:rFonts w:ascii="Times New Roman" w:hAnsi="Times New Roman" w:cs="Times New Roman"/>
          <w:sz w:val="24"/>
          <w:szCs w:val="24"/>
        </w:rPr>
        <w:t xml:space="preserve">mmary of evidence </w:t>
      </w:r>
      <w:r w:rsidR="00AE5DDE">
        <w:rPr>
          <w:rFonts w:ascii="Times New Roman" w:hAnsi="Times New Roman" w:cs="Times New Roman"/>
          <w:sz w:val="24"/>
          <w:szCs w:val="24"/>
        </w:rPr>
        <w:t xml:space="preserve">on 2 December 2022, through the Attorney General’s Office. </w:t>
      </w:r>
    </w:p>
    <w:p w14:paraId="0E97261F" w14:textId="4FA02350" w:rsidR="00694692" w:rsidRPr="00F01FF0" w:rsidRDefault="00AE5DDE" w:rsidP="00AE5DD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w:t>
      </w:r>
      <w:r w:rsidR="009D3A45">
        <w:rPr>
          <w:rFonts w:ascii="Times New Roman" w:hAnsi="Times New Roman" w:cs="Times New Roman"/>
          <w:b/>
          <w:sz w:val="24"/>
          <w:szCs w:val="24"/>
        </w:rPr>
        <w:t xml:space="preserve">to the Plaintiffs Claim </w:t>
      </w:r>
    </w:p>
    <w:p w14:paraId="0CAD7E2C" w14:textId="27E224A1" w:rsidR="00977E60" w:rsidRDefault="00AE5DDE" w:rsidP="00AE5D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claim is based on a lease </w:t>
      </w:r>
      <w:r w:rsidR="00E44C98">
        <w:rPr>
          <w:rFonts w:ascii="Times New Roman" w:hAnsi="Times New Roman" w:cs="Times New Roman"/>
          <w:sz w:val="24"/>
          <w:szCs w:val="24"/>
        </w:rPr>
        <w:t xml:space="preserve">agreement </w:t>
      </w:r>
      <w:r>
        <w:rPr>
          <w:rFonts w:ascii="Times New Roman" w:hAnsi="Times New Roman" w:cs="Times New Roman"/>
          <w:sz w:val="24"/>
          <w:szCs w:val="24"/>
        </w:rPr>
        <w:t>that they signed with the second defendant on 9 March 201</w:t>
      </w:r>
      <w:r w:rsidR="00E44C98">
        <w:rPr>
          <w:rFonts w:ascii="Times New Roman" w:hAnsi="Times New Roman" w:cs="Times New Roman"/>
          <w:sz w:val="24"/>
          <w:szCs w:val="24"/>
        </w:rPr>
        <w:t>0</w:t>
      </w:r>
      <w:r>
        <w:rPr>
          <w:rFonts w:ascii="Times New Roman" w:hAnsi="Times New Roman" w:cs="Times New Roman"/>
          <w:sz w:val="24"/>
          <w:szCs w:val="24"/>
        </w:rPr>
        <w:t xml:space="preserve"> in respect of the property. They claimed that the lease still subsisted. The lease granted them an option to purchase the property upon payment of agreed lease fees and the construction of a primary school amongst other conditions. The plaintiffs claimed to have fully discharged their financial obligations </w:t>
      </w:r>
      <w:r w:rsidR="006E0ECE">
        <w:rPr>
          <w:rFonts w:ascii="Times New Roman" w:hAnsi="Times New Roman" w:cs="Times New Roman"/>
          <w:sz w:val="24"/>
          <w:szCs w:val="24"/>
        </w:rPr>
        <w:t xml:space="preserve">and were set to commence the construction of the school. They discovered that the </w:t>
      </w:r>
      <w:r w:rsidR="00465750">
        <w:rPr>
          <w:rFonts w:ascii="Times New Roman" w:hAnsi="Times New Roman" w:cs="Times New Roman"/>
          <w:sz w:val="24"/>
          <w:szCs w:val="24"/>
        </w:rPr>
        <w:t xml:space="preserve">first </w:t>
      </w:r>
      <w:r w:rsidR="006E0ECE">
        <w:rPr>
          <w:rFonts w:ascii="Times New Roman" w:hAnsi="Times New Roman" w:cs="Times New Roman"/>
          <w:sz w:val="24"/>
          <w:szCs w:val="24"/>
        </w:rPr>
        <w:t xml:space="preserve">defendant had taken occupation of the property and had since subdivided it for residential purposes. They claimed that the </w:t>
      </w:r>
      <w:r w:rsidR="00465750">
        <w:rPr>
          <w:rFonts w:ascii="Times New Roman" w:hAnsi="Times New Roman" w:cs="Times New Roman"/>
          <w:sz w:val="24"/>
          <w:szCs w:val="24"/>
        </w:rPr>
        <w:t xml:space="preserve">first </w:t>
      </w:r>
      <w:r w:rsidR="006E0ECE">
        <w:rPr>
          <w:rFonts w:ascii="Times New Roman" w:hAnsi="Times New Roman" w:cs="Times New Roman"/>
          <w:sz w:val="24"/>
          <w:szCs w:val="24"/>
        </w:rPr>
        <w:t xml:space="preserve">defendant’s presence at the property was hampering their efforts to commence construction works in line with the terms of their lease with the second defendant. </w:t>
      </w:r>
      <w:r w:rsidR="00A13768">
        <w:rPr>
          <w:rFonts w:ascii="Times New Roman" w:hAnsi="Times New Roman" w:cs="Times New Roman"/>
          <w:sz w:val="24"/>
          <w:szCs w:val="24"/>
        </w:rPr>
        <w:t xml:space="preserve">The delay in the construction of the school in turn meant a delay in the realisation of income from the school. The estimated loss of income was in the region of ZWL$500,000.00. </w:t>
      </w:r>
    </w:p>
    <w:p w14:paraId="694E07DD" w14:textId="1DC0EAC1" w:rsidR="00452E5B" w:rsidRDefault="00977E60" w:rsidP="00AE5D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defence, the first defendant</w:t>
      </w:r>
      <w:r w:rsidR="00AE5DDE">
        <w:rPr>
          <w:rFonts w:ascii="Times New Roman" w:hAnsi="Times New Roman" w:cs="Times New Roman"/>
          <w:sz w:val="24"/>
          <w:szCs w:val="24"/>
        </w:rPr>
        <w:t xml:space="preserve"> </w:t>
      </w:r>
      <w:r>
        <w:rPr>
          <w:rFonts w:ascii="Times New Roman" w:hAnsi="Times New Roman" w:cs="Times New Roman"/>
          <w:sz w:val="24"/>
          <w:szCs w:val="24"/>
        </w:rPr>
        <w:t xml:space="preserve">denied that the lease </w:t>
      </w:r>
      <w:r w:rsidR="00465750">
        <w:rPr>
          <w:rFonts w:ascii="Times New Roman" w:hAnsi="Times New Roman" w:cs="Times New Roman"/>
          <w:sz w:val="24"/>
          <w:szCs w:val="24"/>
        </w:rPr>
        <w:t xml:space="preserve">agreement </w:t>
      </w:r>
      <w:r>
        <w:rPr>
          <w:rFonts w:ascii="Times New Roman" w:hAnsi="Times New Roman" w:cs="Times New Roman"/>
          <w:sz w:val="24"/>
          <w:szCs w:val="24"/>
        </w:rPr>
        <w:t xml:space="preserve">between the plaintiff and second defendant still subsisted. The lease was for a period of four years from </w:t>
      </w:r>
      <w:r w:rsidR="00465750">
        <w:rPr>
          <w:rFonts w:ascii="Times New Roman" w:hAnsi="Times New Roman" w:cs="Times New Roman"/>
          <w:sz w:val="24"/>
          <w:szCs w:val="24"/>
        </w:rPr>
        <w:t xml:space="preserve">the </w:t>
      </w:r>
      <w:r>
        <w:rPr>
          <w:rFonts w:ascii="Times New Roman" w:hAnsi="Times New Roman" w:cs="Times New Roman"/>
          <w:sz w:val="24"/>
          <w:szCs w:val="24"/>
        </w:rPr>
        <w:t xml:space="preserve">date of </w:t>
      </w:r>
      <w:r>
        <w:rPr>
          <w:rFonts w:ascii="Times New Roman" w:hAnsi="Times New Roman" w:cs="Times New Roman"/>
          <w:sz w:val="24"/>
          <w:szCs w:val="24"/>
        </w:rPr>
        <w:lastRenderedPageBreak/>
        <w:t>inception. It had since expired in March 2014.</w:t>
      </w:r>
      <w:r w:rsidR="00465750">
        <w:rPr>
          <w:rFonts w:ascii="Times New Roman" w:hAnsi="Times New Roman" w:cs="Times New Roman"/>
          <w:sz w:val="24"/>
          <w:szCs w:val="24"/>
        </w:rPr>
        <w:t xml:space="preserve"> </w:t>
      </w:r>
      <w:r>
        <w:rPr>
          <w:rFonts w:ascii="Times New Roman" w:hAnsi="Times New Roman" w:cs="Times New Roman"/>
          <w:sz w:val="24"/>
          <w:szCs w:val="24"/>
        </w:rPr>
        <w:t>The first defendant denied that it was in unlawful occupation</w:t>
      </w:r>
      <w:r w:rsidR="00465750">
        <w:rPr>
          <w:rFonts w:ascii="Times New Roman" w:hAnsi="Times New Roman" w:cs="Times New Roman"/>
          <w:sz w:val="24"/>
          <w:szCs w:val="24"/>
        </w:rPr>
        <w:t xml:space="preserve"> of the property</w:t>
      </w:r>
      <w:r>
        <w:rPr>
          <w:rFonts w:ascii="Times New Roman" w:hAnsi="Times New Roman" w:cs="Times New Roman"/>
          <w:sz w:val="24"/>
          <w:szCs w:val="24"/>
        </w:rPr>
        <w:t xml:space="preserve">. It </w:t>
      </w:r>
      <w:r w:rsidR="00465750">
        <w:rPr>
          <w:rFonts w:ascii="Times New Roman" w:hAnsi="Times New Roman" w:cs="Times New Roman"/>
          <w:sz w:val="24"/>
          <w:szCs w:val="24"/>
        </w:rPr>
        <w:t xml:space="preserve">claimed to have been </w:t>
      </w:r>
      <w:r>
        <w:rPr>
          <w:rFonts w:ascii="Times New Roman" w:hAnsi="Times New Roman" w:cs="Times New Roman"/>
          <w:sz w:val="24"/>
          <w:szCs w:val="24"/>
        </w:rPr>
        <w:t>allocated the same property by the second defendant in August 2017</w:t>
      </w:r>
      <w:r w:rsidR="001615AB">
        <w:rPr>
          <w:rFonts w:ascii="Times New Roman" w:hAnsi="Times New Roman" w:cs="Times New Roman"/>
          <w:sz w:val="24"/>
          <w:szCs w:val="24"/>
        </w:rPr>
        <w:t xml:space="preserve"> for the purpose of developing same into medium density residential stands. The stands had since been developed and allocated to its members. There was no space for the construction of a school as alleged by the plaintiffs. It further alleged that the plaintiffs were aware of its occupancy from as far back as 2017. </w:t>
      </w:r>
    </w:p>
    <w:p w14:paraId="0E0F6A59" w14:textId="62C3FA7E" w:rsidR="00452E5B" w:rsidRDefault="00452E5B" w:rsidP="001B2D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1B2D0A">
        <w:rPr>
          <w:rFonts w:ascii="Times New Roman" w:hAnsi="Times New Roman" w:cs="Times New Roman"/>
          <w:b/>
          <w:sz w:val="24"/>
          <w:szCs w:val="24"/>
        </w:rPr>
        <w:t>Issues</w:t>
      </w:r>
    </w:p>
    <w:p w14:paraId="136D9196" w14:textId="282523A5" w:rsidR="001B2D0A" w:rsidRPr="001B2D0A" w:rsidRDefault="00465750" w:rsidP="001B2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trial</w:t>
      </w:r>
      <w:r w:rsidR="001B2D0A" w:rsidRPr="001B2D0A">
        <w:rPr>
          <w:rFonts w:ascii="Times New Roman" w:hAnsi="Times New Roman" w:cs="Times New Roman"/>
          <w:sz w:val="24"/>
          <w:szCs w:val="24"/>
        </w:rPr>
        <w:t xml:space="preserve"> issues were as follows:</w:t>
      </w:r>
    </w:p>
    <w:p w14:paraId="0F958B80" w14:textId="77777777" w:rsidR="001B2D0A" w:rsidRDefault="001B2D0A" w:rsidP="00D43EA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or not the plaintiffs have a right at law to seek the eviction of the defendants from the remainder of stand 219 Strathaven Township, Harare;</w:t>
      </w:r>
    </w:p>
    <w:p w14:paraId="0C07D38B" w14:textId="77777777" w:rsidR="001B2D0A" w:rsidRDefault="001B2D0A" w:rsidP="00D43EA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or not the defendant and all those claiming occupation through the defendant must be evicted from stand 219 Strathaven Township, Harare;</w:t>
      </w:r>
    </w:p>
    <w:p w14:paraId="00986E8F" w14:textId="35743365" w:rsidR="001B2D0A" w:rsidRDefault="00D43EA4" w:rsidP="00D43EA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w:t>
      </w:r>
      <w:r w:rsidR="001B2D0A">
        <w:rPr>
          <w:rFonts w:ascii="Times New Roman" w:hAnsi="Times New Roman" w:cs="Times New Roman"/>
          <w:sz w:val="24"/>
          <w:szCs w:val="24"/>
        </w:rPr>
        <w:t xml:space="preserve"> or not there are any damages to be paid in the circumstances and if any, by who and how much?</w:t>
      </w:r>
    </w:p>
    <w:p w14:paraId="7B10E93D" w14:textId="77777777" w:rsidR="00D43EA4" w:rsidRDefault="00D43EA4" w:rsidP="00D43EA4">
      <w:pPr>
        <w:pStyle w:val="ListParagraph"/>
        <w:spacing w:after="0" w:line="240" w:lineRule="auto"/>
        <w:jc w:val="both"/>
        <w:rPr>
          <w:rFonts w:ascii="Times New Roman" w:hAnsi="Times New Roman" w:cs="Times New Roman"/>
          <w:sz w:val="24"/>
          <w:szCs w:val="24"/>
        </w:rPr>
      </w:pPr>
    </w:p>
    <w:p w14:paraId="19BE3763" w14:textId="43955210" w:rsidR="00D43EA4" w:rsidRPr="00D43EA4" w:rsidRDefault="00D43EA4" w:rsidP="00D43EA4">
      <w:pPr>
        <w:spacing w:after="0" w:line="360" w:lineRule="auto"/>
        <w:jc w:val="both"/>
        <w:rPr>
          <w:rFonts w:ascii="Times New Roman" w:hAnsi="Times New Roman" w:cs="Times New Roman"/>
          <w:b/>
          <w:sz w:val="24"/>
          <w:szCs w:val="24"/>
        </w:rPr>
      </w:pPr>
      <w:r w:rsidRPr="00D43EA4">
        <w:rPr>
          <w:rFonts w:ascii="Times New Roman" w:hAnsi="Times New Roman" w:cs="Times New Roman"/>
          <w:b/>
          <w:sz w:val="24"/>
          <w:szCs w:val="24"/>
        </w:rPr>
        <w:t xml:space="preserve">The Trial </w:t>
      </w:r>
    </w:p>
    <w:p w14:paraId="52CE9DE0" w14:textId="68E8B3A0" w:rsidR="004A52A3" w:rsidRDefault="004D1D3A" w:rsidP="00452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3EA4">
        <w:rPr>
          <w:rFonts w:ascii="Times New Roman" w:hAnsi="Times New Roman" w:cs="Times New Roman"/>
          <w:sz w:val="24"/>
          <w:szCs w:val="24"/>
        </w:rPr>
        <w:tab/>
      </w:r>
      <w:r w:rsidR="00736E64">
        <w:rPr>
          <w:rFonts w:ascii="Times New Roman" w:hAnsi="Times New Roman" w:cs="Times New Roman"/>
          <w:sz w:val="24"/>
          <w:szCs w:val="24"/>
        </w:rPr>
        <w:t>The first plaintiff gave evidence for the plaintiffs. She told the court the</w:t>
      </w:r>
      <w:r w:rsidR="00465750">
        <w:rPr>
          <w:rFonts w:ascii="Times New Roman" w:hAnsi="Times New Roman" w:cs="Times New Roman"/>
          <w:sz w:val="24"/>
          <w:szCs w:val="24"/>
        </w:rPr>
        <w:t xml:space="preserve"> plaintiffs appl</w:t>
      </w:r>
      <w:r w:rsidR="00736E64">
        <w:rPr>
          <w:rFonts w:ascii="Times New Roman" w:hAnsi="Times New Roman" w:cs="Times New Roman"/>
          <w:sz w:val="24"/>
          <w:szCs w:val="24"/>
        </w:rPr>
        <w:t xml:space="preserve">ied </w:t>
      </w:r>
      <w:r w:rsidR="00465750">
        <w:rPr>
          <w:rFonts w:ascii="Times New Roman" w:hAnsi="Times New Roman" w:cs="Times New Roman"/>
          <w:sz w:val="24"/>
          <w:szCs w:val="24"/>
        </w:rPr>
        <w:t xml:space="preserve">to lease </w:t>
      </w:r>
      <w:r w:rsidR="00736E64">
        <w:rPr>
          <w:rFonts w:ascii="Times New Roman" w:hAnsi="Times New Roman" w:cs="Times New Roman"/>
          <w:sz w:val="24"/>
          <w:szCs w:val="24"/>
        </w:rPr>
        <w:t>the property from the second defendant in 2010</w:t>
      </w:r>
      <w:r w:rsidR="00C6279D">
        <w:rPr>
          <w:rFonts w:ascii="Times New Roman" w:hAnsi="Times New Roman" w:cs="Times New Roman"/>
          <w:sz w:val="24"/>
          <w:szCs w:val="24"/>
        </w:rPr>
        <w:t xml:space="preserve">. </w:t>
      </w:r>
      <w:r w:rsidR="00736E64">
        <w:rPr>
          <w:rFonts w:ascii="Times New Roman" w:hAnsi="Times New Roman" w:cs="Times New Roman"/>
          <w:sz w:val="24"/>
          <w:szCs w:val="24"/>
        </w:rPr>
        <w:t xml:space="preserve">The agreement had an option to purchase, meaning the monthly rentals were contributing towards the purchase price. They paid the agreed rentals fees from 2010 to 2018. The receipts issued from the second respondent’s offices confirming the payments were tendered as exhibits by consent. The balance of the purchase price was paid as a lump sum in the sum of ZW$72, 435.00 on </w:t>
      </w:r>
      <w:r w:rsidR="00C60E5F">
        <w:rPr>
          <w:rFonts w:ascii="Times New Roman" w:hAnsi="Times New Roman" w:cs="Times New Roman"/>
          <w:sz w:val="24"/>
          <w:szCs w:val="24"/>
        </w:rPr>
        <w:t xml:space="preserve">20 November 2018. They tried to erect a fence around the property on two occasions. On one occasion the fence was razed down to the ground and on another occasion their contractors were chased away by people who had illegally occupied the property. They lodged a criminal complaint at Avondale Police Station. </w:t>
      </w:r>
      <w:r w:rsidR="000B2222">
        <w:rPr>
          <w:rFonts w:ascii="Times New Roman" w:hAnsi="Times New Roman" w:cs="Times New Roman"/>
          <w:sz w:val="24"/>
          <w:szCs w:val="24"/>
        </w:rPr>
        <w:t>They also lodged a</w:t>
      </w:r>
      <w:r w:rsidR="00465750">
        <w:rPr>
          <w:rFonts w:ascii="Times New Roman" w:hAnsi="Times New Roman" w:cs="Times New Roman"/>
          <w:sz w:val="24"/>
          <w:szCs w:val="24"/>
        </w:rPr>
        <w:t>nother criminal</w:t>
      </w:r>
      <w:r w:rsidR="000B2222">
        <w:rPr>
          <w:rFonts w:ascii="Times New Roman" w:hAnsi="Times New Roman" w:cs="Times New Roman"/>
          <w:sz w:val="24"/>
          <w:szCs w:val="24"/>
        </w:rPr>
        <w:t xml:space="preserve"> complaint with the Zimbabwe </w:t>
      </w:r>
      <w:r w:rsidR="00465750">
        <w:rPr>
          <w:rFonts w:ascii="Times New Roman" w:hAnsi="Times New Roman" w:cs="Times New Roman"/>
          <w:sz w:val="24"/>
          <w:szCs w:val="24"/>
        </w:rPr>
        <w:t>Anti-Corruption</w:t>
      </w:r>
      <w:r w:rsidR="000B2222">
        <w:rPr>
          <w:rFonts w:ascii="Times New Roman" w:hAnsi="Times New Roman" w:cs="Times New Roman"/>
          <w:sz w:val="24"/>
          <w:szCs w:val="24"/>
        </w:rPr>
        <w:t xml:space="preserve"> Commission</w:t>
      </w:r>
      <w:r w:rsidR="004A52A3">
        <w:rPr>
          <w:rFonts w:ascii="Times New Roman" w:hAnsi="Times New Roman" w:cs="Times New Roman"/>
          <w:sz w:val="24"/>
          <w:szCs w:val="24"/>
        </w:rPr>
        <w:t xml:space="preserve"> (ZACC). </w:t>
      </w:r>
    </w:p>
    <w:p w14:paraId="0B5D42AD" w14:textId="497A31A1" w:rsidR="0015030C" w:rsidRDefault="004A52A3" w:rsidP="004A5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intervention of Avondale Police, they tried to erect a billboard and </w:t>
      </w:r>
      <w:r w:rsidR="00465750">
        <w:rPr>
          <w:rFonts w:ascii="Times New Roman" w:hAnsi="Times New Roman" w:cs="Times New Roman"/>
          <w:sz w:val="24"/>
          <w:szCs w:val="24"/>
        </w:rPr>
        <w:t xml:space="preserve">to put up a </w:t>
      </w:r>
      <w:r>
        <w:rPr>
          <w:rFonts w:ascii="Times New Roman" w:hAnsi="Times New Roman" w:cs="Times New Roman"/>
          <w:sz w:val="24"/>
          <w:szCs w:val="24"/>
        </w:rPr>
        <w:t xml:space="preserve">fence, </w:t>
      </w:r>
      <w:r w:rsidR="00465750">
        <w:rPr>
          <w:rFonts w:ascii="Times New Roman" w:hAnsi="Times New Roman" w:cs="Times New Roman"/>
          <w:sz w:val="24"/>
          <w:szCs w:val="24"/>
        </w:rPr>
        <w:t>without success</w:t>
      </w:r>
      <w:r>
        <w:rPr>
          <w:rFonts w:ascii="Times New Roman" w:hAnsi="Times New Roman" w:cs="Times New Roman"/>
          <w:sz w:val="24"/>
          <w:szCs w:val="24"/>
        </w:rPr>
        <w:t xml:space="preserve">. In short, nothing came out of the complaints to the Police and to ZACC. They approached the offices of the second respondent. They were told to approach ZACC again or take up the issue with the courts. </w:t>
      </w:r>
      <w:r w:rsidR="00337446">
        <w:rPr>
          <w:rFonts w:ascii="Times New Roman" w:hAnsi="Times New Roman" w:cs="Times New Roman"/>
          <w:sz w:val="24"/>
          <w:szCs w:val="24"/>
        </w:rPr>
        <w:t>The second respondent’s offic</w:t>
      </w:r>
      <w:r w:rsidR="00465750">
        <w:rPr>
          <w:rFonts w:ascii="Times New Roman" w:hAnsi="Times New Roman" w:cs="Times New Roman"/>
          <w:sz w:val="24"/>
          <w:szCs w:val="24"/>
        </w:rPr>
        <w:t xml:space="preserve">ials </w:t>
      </w:r>
      <w:r w:rsidR="00337446">
        <w:rPr>
          <w:rFonts w:ascii="Times New Roman" w:hAnsi="Times New Roman" w:cs="Times New Roman"/>
          <w:sz w:val="24"/>
          <w:szCs w:val="24"/>
        </w:rPr>
        <w:t xml:space="preserve">however wrote a </w:t>
      </w:r>
      <w:r w:rsidR="00465750">
        <w:rPr>
          <w:rFonts w:ascii="Times New Roman" w:hAnsi="Times New Roman" w:cs="Times New Roman"/>
          <w:sz w:val="24"/>
          <w:szCs w:val="24"/>
        </w:rPr>
        <w:t>letter confirming the plaintiff</w:t>
      </w:r>
      <w:r w:rsidR="00337446">
        <w:rPr>
          <w:rFonts w:ascii="Times New Roman" w:hAnsi="Times New Roman" w:cs="Times New Roman"/>
          <w:sz w:val="24"/>
          <w:szCs w:val="24"/>
        </w:rPr>
        <w:t xml:space="preserve">s as the legitimate lease bearers. </w:t>
      </w:r>
      <w:r>
        <w:rPr>
          <w:rFonts w:ascii="Times New Roman" w:hAnsi="Times New Roman" w:cs="Times New Roman"/>
          <w:sz w:val="24"/>
          <w:szCs w:val="24"/>
        </w:rPr>
        <w:t xml:space="preserve">It was at that point that </w:t>
      </w:r>
      <w:r w:rsidR="00465750">
        <w:rPr>
          <w:rFonts w:ascii="Times New Roman" w:hAnsi="Times New Roman" w:cs="Times New Roman"/>
          <w:sz w:val="24"/>
          <w:szCs w:val="24"/>
        </w:rPr>
        <w:t>the plaintiffs</w:t>
      </w:r>
      <w:r>
        <w:rPr>
          <w:rFonts w:ascii="Times New Roman" w:hAnsi="Times New Roman" w:cs="Times New Roman"/>
          <w:sz w:val="24"/>
          <w:szCs w:val="24"/>
        </w:rPr>
        <w:t xml:space="preserve"> engaged </w:t>
      </w:r>
      <w:r w:rsidR="00465750">
        <w:rPr>
          <w:rFonts w:ascii="Times New Roman" w:hAnsi="Times New Roman" w:cs="Times New Roman"/>
          <w:sz w:val="24"/>
          <w:szCs w:val="24"/>
        </w:rPr>
        <w:t>their legal practitioners, who then instituted the current proceedings</w:t>
      </w:r>
      <w:r w:rsidR="0015030C">
        <w:rPr>
          <w:rFonts w:ascii="Times New Roman" w:hAnsi="Times New Roman" w:cs="Times New Roman"/>
          <w:sz w:val="24"/>
          <w:szCs w:val="24"/>
        </w:rPr>
        <w:t xml:space="preserve">. </w:t>
      </w:r>
    </w:p>
    <w:p w14:paraId="5C4CB00E" w14:textId="193245FE" w:rsidR="0028234C" w:rsidRDefault="0015030C" w:rsidP="004A5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confirmed that the lease agreement was for a period of four years, but renewable at the expiration of the four years. When challenged to </w:t>
      </w:r>
      <w:r>
        <w:rPr>
          <w:rFonts w:ascii="Times New Roman" w:hAnsi="Times New Roman" w:cs="Times New Roman"/>
          <w:sz w:val="24"/>
          <w:szCs w:val="24"/>
        </w:rPr>
        <w:lastRenderedPageBreak/>
        <w:t xml:space="preserve">produce the evidence of the renewal, the witness insisted </w:t>
      </w:r>
      <w:r w:rsidR="00465750">
        <w:rPr>
          <w:rFonts w:ascii="Times New Roman" w:hAnsi="Times New Roman" w:cs="Times New Roman"/>
          <w:sz w:val="24"/>
          <w:szCs w:val="24"/>
        </w:rPr>
        <w:t>that al</w:t>
      </w:r>
      <w:r>
        <w:rPr>
          <w:rFonts w:ascii="Times New Roman" w:hAnsi="Times New Roman" w:cs="Times New Roman"/>
          <w:sz w:val="24"/>
          <w:szCs w:val="24"/>
        </w:rPr>
        <w:t xml:space="preserve">though there was no documentary proof, she had indeed renewed the lease. The witness’s attention was drawn to a letter </w:t>
      </w:r>
      <w:r w:rsidR="00396B2C">
        <w:rPr>
          <w:rFonts w:ascii="Times New Roman" w:hAnsi="Times New Roman" w:cs="Times New Roman"/>
          <w:sz w:val="24"/>
          <w:szCs w:val="24"/>
        </w:rPr>
        <w:t xml:space="preserve">dated 10 May 2010 </w:t>
      </w:r>
      <w:r>
        <w:rPr>
          <w:rFonts w:ascii="Times New Roman" w:hAnsi="Times New Roman" w:cs="Times New Roman"/>
          <w:sz w:val="24"/>
          <w:szCs w:val="24"/>
        </w:rPr>
        <w:t xml:space="preserve">from the </w:t>
      </w:r>
      <w:r w:rsidR="00396B2C">
        <w:rPr>
          <w:rFonts w:ascii="Times New Roman" w:hAnsi="Times New Roman" w:cs="Times New Roman"/>
          <w:sz w:val="24"/>
          <w:szCs w:val="24"/>
        </w:rPr>
        <w:t>second respondent. Attached to that let</w:t>
      </w:r>
      <w:r w:rsidR="00465750">
        <w:rPr>
          <w:rFonts w:ascii="Times New Roman" w:hAnsi="Times New Roman" w:cs="Times New Roman"/>
          <w:sz w:val="24"/>
          <w:szCs w:val="24"/>
        </w:rPr>
        <w:t xml:space="preserve">ter was a copy of the signed </w:t>
      </w:r>
      <w:r w:rsidR="00396B2C">
        <w:rPr>
          <w:rFonts w:ascii="Times New Roman" w:hAnsi="Times New Roman" w:cs="Times New Roman"/>
          <w:sz w:val="24"/>
          <w:szCs w:val="24"/>
        </w:rPr>
        <w:t xml:space="preserve">lease agreement. The letter drew the </w:t>
      </w:r>
      <w:r w:rsidR="00C36C47">
        <w:rPr>
          <w:rFonts w:ascii="Times New Roman" w:hAnsi="Times New Roman" w:cs="Times New Roman"/>
          <w:sz w:val="24"/>
          <w:szCs w:val="24"/>
        </w:rPr>
        <w:t>plaintiffs’</w:t>
      </w:r>
      <w:r w:rsidR="00396B2C">
        <w:rPr>
          <w:rFonts w:ascii="Times New Roman" w:hAnsi="Times New Roman" w:cs="Times New Roman"/>
          <w:sz w:val="24"/>
          <w:szCs w:val="24"/>
        </w:rPr>
        <w:t xml:space="preserve"> attention to three </w:t>
      </w:r>
      <w:r w:rsidR="00465750">
        <w:rPr>
          <w:rFonts w:ascii="Times New Roman" w:hAnsi="Times New Roman" w:cs="Times New Roman"/>
          <w:sz w:val="24"/>
          <w:szCs w:val="24"/>
        </w:rPr>
        <w:t xml:space="preserve">key </w:t>
      </w:r>
      <w:r w:rsidR="00396B2C">
        <w:rPr>
          <w:rFonts w:ascii="Times New Roman" w:hAnsi="Times New Roman" w:cs="Times New Roman"/>
          <w:sz w:val="24"/>
          <w:szCs w:val="24"/>
        </w:rPr>
        <w:t xml:space="preserve">clauses. </w:t>
      </w:r>
      <w:r w:rsidR="00396B2C" w:rsidRPr="00AA3E69">
        <w:rPr>
          <w:rFonts w:ascii="Times New Roman" w:hAnsi="Times New Roman" w:cs="Times New Roman"/>
          <w:sz w:val="24"/>
          <w:szCs w:val="24"/>
        </w:rPr>
        <w:t>Clause 3</w:t>
      </w:r>
      <w:r w:rsidR="00396B2C" w:rsidRPr="00396B2C">
        <w:rPr>
          <w:rFonts w:ascii="Times New Roman" w:hAnsi="Times New Roman" w:cs="Times New Roman"/>
          <w:color w:val="FF0000"/>
          <w:sz w:val="24"/>
          <w:szCs w:val="24"/>
        </w:rPr>
        <w:t xml:space="preserve"> </w:t>
      </w:r>
      <w:r w:rsidR="00396B2C">
        <w:rPr>
          <w:rFonts w:ascii="Times New Roman" w:hAnsi="Times New Roman" w:cs="Times New Roman"/>
          <w:sz w:val="24"/>
          <w:szCs w:val="24"/>
        </w:rPr>
        <w:t xml:space="preserve">stated that the rental should be remitted to the second respondent’s offices on or before 1 March of each year during the lease period. </w:t>
      </w:r>
      <w:r w:rsidR="007151D9" w:rsidRPr="00AA3E69">
        <w:rPr>
          <w:rFonts w:ascii="Times New Roman" w:hAnsi="Times New Roman" w:cs="Times New Roman"/>
          <w:sz w:val="24"/>
          <w:szCs w:val="24"/>
        </w:rPr>
        <w:t>Clause 4</w:t>
      </w:r>
      <w:r w:rsidR="007151D9" w:rsidRPr="00536A7B">
        <w:rPr>
          <w:rFonts w:ascii="Times New Roman" w:hAnsi="Times New Roman" w:cs="Times New Roman"/>
          <w:color w:val="FF0000"/>
          <w:sz w:val="24"/>
          <w:szCs w:val="24"/>
        </w:rPr>
        <w:t xml:space="preserve"> </w:t>
      </w:r>
      <w:r w:rsidR="007151D9">
        <w:rPr>
          <w:rFonts w:ascii="Times New Roman" w:hAnsi="Times New Roman" w:cs="Times New Roman"/>
          <w:sz w:val="24"/>
          <w:szCs w:val="24"/>
        </w:rPr>
        <w:t xml:space="preserve">required that buildings to the value of US$100,000.00 be erected on the property on or before 28 February 2014. </w:t>
      </w:r>
      <w:r w:rsidR="007151D9" w:rsidRPr="00AA3E69">
        <w:rPr>
          <w:rFonts w:ascii="Times New Roman" w:hAnsi="Times New Roman" w:cs="Times New Roman"/>
          <w:color w:val="000000" w:themeColor="text1"/>
          <w:sz w:val="24"/>
          <w:szCs w:val="24"/>
        </w:rPr>
        <w:t>Clause 5</w:t>
      </w:r>
      <w:r w:rsidR="007151D9">
        <w:rPr>
          <w:rFonts w:ascii="Times New Roman" w:hAnsi="Times New Roman" w:cs="Times New Roman"/>
          <w:sz w:val="24"/>
          <w:szCs w:val="24"/>
        </w:rPr>
        <w:t xml:space="preserve"> required that plans </w:t>
      </w:r>
      <w:r w:rsidR="0050676B">
        <w:rPr>
          <w:rFonts w:ascii="Times New Roman" w:hAnsi="Times New Roman" w:cs="Times New Roman"/>
          <w:sz w:val="24"/>
          <w:szCs w:val="24"/>
        </w:rPr>
        <w:t>be approved and construction</w:t>
      </w:r>
      <w:r w:rsidR="00465750">
        <w:rPr>
          <w:rFonts w:ascii="Times New Roman" w:hAnsi="Times New Roman" w:cs="Times New Roman"/>
          <w:sz w:val="24"/>
          <w:szCs w:val="24"/>
        </w:rPr>
        <w:t xml:space="preserve"> was to</w:t>
      </w:r>
      <w:r w:rsidR="0050676B">
        <w:rPr>
          <w:rFonts w:ascii="Times New Roman" w:hAnsi="Times New Roman" w:cs="Times New Roman"/>
          <w:sz w:val="24"/>
          <w:szCs w:val="24"/>
        </w:rPr>
        <w:t xml:space="preserve"> commence on the stand on or before 1 November 2010. </w:t>
      </w:r>
      <w:r w:rsidR="00536A7B">
        <w:rPr>
          <w:rFonts w:ascii="Times New Roman" w:hAnsi="Times New Roman" w:cs="Times New Roman"/>
          <w:sz w:val="24"/>
          <w:szCs w:val="24"/>
        </w:rPr>
        <w:t xml:space="preserve">The witness stated that clause 4 was not complied with because she was blocked by the first defendant. </w:t>
      </w:r>
    </w:p>
    <w:p w14:paraId="0031F756" w14:textId="48BC7BED" w:rsidR="00827948" w:rsidRDefault="00536A7B" w:rsidP="004A5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11 stated that the lessee was not </w:t>
      </w:r>
      <w:r w:rsidR="00325349">
        <w:rPr>
          <w:rFonts w:ascii="Times New Roman" w:hAnsi="Times New Roman" w:cs="Times New Roman"/>
          <w:sz w:val="24"/>
          <w:szCs w:val="24"/>
        </w:rPr>
        <w:t xml:space="preserve">to </w:t>
      </w:r>
      <w:r>
        <w:rPr>
          <w:rFonts w:ascii="Times New Roman" w:hAnsi="Times New Roman" w:cs="Times New Roman"/>
          <w:sz w:val="24"/>
          <w:szCs w:val="24"/>
        </w:rPr>
        <w:t xml:space="preserve">occupy or permit any person or persons to occupy </w:t>
      </w:r>
      <w:r w:rsidR="00325349">
        <w:rPr>
          <w:rFonts w:ascii="Times New Roman" w:hAnsi="Times New Roman" w:cs="Times New Roman"/>
          <w:sz w:val="24"/>
          <w:szCs w:val="24"/>
        </w:rPr>
        <w:t>the property leased until the buildings were completed to the satisfaction of the lessor. The witness admitted that the plaintiff could only take occupation after the buildings were completed to the satisfaction of the lessor. She also admitted that no construction was completed by the 24</w:t>
      </w:r>
      <w:r w:rsidR="00325349" w:rsidRPr="00325349">
        <w:rPr>
          <w:rFonts w:ascii="Times New Roman" w:hAnsi="Times New Roman" w:cs="Times New Roman"/>
          <w:sz w:val="24"/>
          <w:szCs w:val="24"/>
          <w:vertAlign w:val="superscript"/>
        </w:rPr>
        <w:t>th</w:t>
      </w:r>
      <w:r w:rsidR="00325349">
        <w:rPr>
          <w:rFonts w:ascii="Times New Roman" w:hAnsi="Times New Roman" w:cs="Times New Roman"/>
          <w:sz w:val="24"/>
          <w:szCs w:val="24"/>
        </w:rPr>
        <w:t xml:space="preserve"> February 2014 as directed by clause 4 of the </w:t>
      </w:r>
      <w:r w:rsidR="00166BFB">
        <w:rPr>
          <w:rFonts w:ascii="Times New Roman" w:hAnsi="Times New Roman" w:cs="Times New Roman"/>
          <w:sz w:val="24"/>
          <w:szCs w:val="24"/>
        </w:rPr>
        <w:t>agreement</w:t>
      </w:r>
      <w:r w:rsidR="00325349">
        <w:rPr>
          <w:rFonts w:ascii="Times New Roman" w:hAnsi="Times New Roman" w:cs="Times New Roman"/>
          <w:sz w:val="24"/>
          <w:szCs w:val="24"/>
        </w:rPr>
        <w:t>. Clause 20 provided that the lessee could exercise the option to purchase the property for the sum of US$75</w:t>
      </w:r>
      <w:r w:rsidR="00985FCB">
        <w:rPr>
          <w:rFonts w:ascii="Times New Roman" w:hAnsi="Times New Roman" w:cs="Times New Roman"/>
          <w:sz w:val="24"/>
          <w:szCs w:val="24"/>
        </w:rPr>
        <w:t>,</w:t>
      </w:r>
      <w:r w:rsidR="00325349">
        <w:rPr>
          <w:rFonts w:ascii="Times New Roman" w:hAnsi="Times New Roman" w:cs="Times New Roman"/>
          <w:sz w:val="24"/>
          <w:szCs w:val="24"/>
        </w:rPr>
        <w:t xml:space="preserve"> 435.00 in writing if it complied with the conditions pertaining to the construction of structures. </w:t>
      </w:r>
    </w:p>
    <w:p w14:paraId="428A548F" w14:textId="4479C3D5" w:rsidR="005D44BE" w:rsidRDefault="00325349" w:rsidP="004A5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to </w:t>
      </w:r>
      <w:r w:rsidR="00985FCB">
        <w:rPr>
          <w:rFonts w:ascii="Times New Roman" w:hAnsi="Times New Roman" w:cs="Times New Roman"/>
          <w:sz w:val="24"/>
          <w:szCs w:val="24"/>
        </w:rPr>
        <w:t xml:space="preserve">confirm </w:t>
      </w:r>
      <w:r>
        <w:rPr>
          <w:rFonts w:ascii="Times New Roman" w:hAnsi="Times New Roman" w:cs="Times New Roman"/>
          <w:sz w:val="24"/>
          <w:szCs w:val="24"/>
        </w:rPr>
        <w:t>if the plaintiffs exercised their option</w:t>
      </w:r>
      <w:r w:rsidR="00985FCB">
        <w:rPr>
          <w:rFonts w:ascii="Times New Roman" w:hAnsi="Times New Roman" w:cs="Times New Roman"/>
          <w:sz w:val="24"/>
          <w:szCs w:val="24"/>
        </w:rPr>
        <w:t xml:space="preserve"> to purchase the property</w:t>
      </w:r>
      <w:r>
        <w:rPr>
          <w:rFonts w:ascii="Times New Roman" w:hAnsi="Times New Roman" w:cs="Times New Roman"/>
          <w:sz w:val="24"/>
          <w:szCs w:val="24"/>
        </w:rPr>
        <w:t xml:space="preserve"> in writing and to produce con</w:t>
      </w:r>
      <w:r w:rsidR="006C73DF">
        <w:rPr>
          <w:rFonts w:ascii="Times New Roman" w:hAnsi="Times New Roman" w:cs="Times New Roman"/>
          <w:sz w:val="24"/>
          <w:szCs w:val="24"/>
        </w:rPr>
        <w:t xml:space="preserve">firmation of such communication, the witness could only state that she thought she had </w:t>
      </w:r>
      <w:r w:rsidR="005D44BE">
        <w:rPr>
          <w:rFonts w:ascii="Times New Roman" w:hAnsi="Times New Roman" w:cs="Times New Roman"/>
          <w:sz w:val="24"/>
          <w:szCs w:val="24"/>
        </w:rPr>
        <w:t>given the notice. She went further to state that when the plaintiffs made payment in full, they genuinely thought that the second respondent would construe that payment as an exercise of the option. The witness did concede that the lease agreement was not an agreement of sale. It</w:t>
      </w:r>
      <w:r w:rsidR="00985FCB">
        <w:rPr>
          <w:rFonts w:ascii="Times New Roman" w:hAnsi="Times New Roman" w:cs="Times New Roman"/>
          <w:sz w:val="24"/>
          <w:szCs w:val="24"/>
        </w:rPr>
        <w:t xml:space="preserve"> merely conferred the plaintiff</w:t>
      </w:r>
      <w:r w:rsidR="005D44BE">
        <w:rPr>
          <w:rFonts w:ascii="Times New Roman" w:hAnsi="Times New Roman" w:cs="Times New Roman"/>
          <w:sz w:val="24"/>
          <w:szCs w:val="24"/>
        </w:rPr>
        <w:t xml:space="preserve">s with a right to purchase the property </w:t>
      </w:r>
      <w:r w:rsidR="00985FCB">
        <w:rPr>
          <w:rFonts w:ascii="Times New Roman" w:hAnsi="Times New Roman" w:cs="Times New Roman"/>
          <w:sz w:val="24"/>
          <w:szCs w:val="24"/>
        </w:rPr>
        <w:t xml:space="preserve">once they activated the option to buy clause </w:t>
      </w:r>
      <w:r w:rsidR="005D44BE">
        <w:rPr>
          <w:rFonts w:ascii="Times New Roman" w:hAnsi="Times New Roman" w:cs="Times New Roman"/>
          <w:sz w:val="24"/>
          <w:szCs w:val="24"/>
        </w:rPr>
        <w:t xml:space="preserve">in the contract. The </w:t>
      </w:r>
      <w:r w:rsidR="00985FCB">
        <w:rPr>
          <w:rFonts w:ascii="Times New Roman" w:hAnsi="Times New Roman" w:cs="Times New Roman"/>
          <w:sz w:val="24"/>
          <w:szCs w:val="24"/>
        </w:rPr>
        <w:t xml:space="preserve">relevant </w:t>
      </w:r>
      <w:r w:rsidR="005D44BE">
        <w:rPr>
          <w:rFonts w:ascii="Times New Roman" w:hAnsi="Times New Roman" w:cs="Times New Roman"/>
          <w:sz w:val="24"/>
          <w:szCs w:val="24"/>
        </w:rPr>
        <w:t xml:space="preserve">notice required to </w:t>
      </w:r>
      <w:r w:rsidR="00985FCB">
        <w:rPr>
          <w:rFonts w:ascii="Times New Roman" w:hAnsi="Times New Roman" w:cs="Times New Roman"/>
          <w:sz w:val="24"/>
          <w:szCs w:val="24"/>
        </w:rPr>
        <w:t>trigger</w:t>
      </w:r>
      <w:r w:rsidR="005D44BE">
        <w:rPr>
          <w:rFonts w:ascii="Times New Roman" w:hAnsi="Times New Roman" w:cs="Times New Roman"/>
          <w:sz w:val="24"/>
          <w:szCs w:val="24"/>
        </w:rPr>
        <w:t xml:space="preserve"> the </w:t>
      </w:r>
      <w:r w:rsidR="00923B44">
        <w:rPr>
          <w:rFonts w:ascii="Times New Roman" w:hAnsi="Times New Roman" w:cs="Times New Roman"/>
          <w:sz w:val="24"/>
          <w:szCs w:val="24"/>
        </w:rPr>
        <w:t xml:space="preserve">exercise of the </w:t>
      </w:r>
      <w:r w:rsidR="005D44BE">
        <w:rPr>
          <w:rFonts w:ascii="Times New Roman" w:hAnsi="Times New Roman" w:cs="Times New Roman"/>
          <w:sz w:val="24"/>
          <w:szCs w:val="24"/>
        </w:rPr>
        <w:t xml:space="preserve">option was not given. </w:t>
      </w:r>
    </w:p>
    <w:p w14:paraId="3561BC9D" w14:textId="1A322AEF" w:rsidR="00923B44" w:rsidRDefault="00923B44" w:rsidP="004A5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20(b) of the lease agreement stated that the date of sale shall be deemed to be the date on which </w:t>
      </w:r>
      <w:r w:rsidRPr="007D4039">
        <w:rPr>
          <w:rFonts w:ascii="Times New Roman" w:hAnsi="Times New Roman" w:cs="Times New Roman"/>
          <w:i/>
          <w:sz w:val="24"/>
          <w:szCs w:val="24"/>
        </w:rPr>
        <w:t xml:space="preserve">“such notice as aforesaid shall be received by the Lessor, and with effect from such date the said lease </w:t>
      </w:r>
      <w:r w:rsidR="007D4039" w:rsidRPr="007D4039">
        <w:rPr>
          <w:rFonts w:ascii="Times New Roman" w:hAnsi="Times New Roman" w:cs="Times New Roman"/>
          <w:i/>
          <w:sz w:val="24"/>
          <w:szCs w:val="24"/>
        </w:rPr>
        <w:t>shall be deemed to have terminated.”</w:t>
      </w:r>
      <w:r w:rsidR="0052416F">
        <w:rPr>
          <w:rFonts w:ascii="Times New Roman" w:hAnsi="Times New Roman" w:cs="Times New Roman"/>
          <w:i/>
          <w:sz w:val="24"/>
          <w:szCs w:val="24"/>
        </w:rPr>
        <w:t xml:space="preserve"> </w:t>
      </w:r>
      <w:r w:rsidR="0052416F">
        <w:rPr>
          <w:rFonts w:ascii="Times New Roman" w:hAnsi="Times New Roman" w:cs="Times New Roman"/>
          <w:sz w:val="24"/>
          <w:szCs w:val="24"/>
        </w:rPr>
        <w:t xml:space="preserve">The notice referred to was one for the exercise of the right to purchase the property. The witness stated that when she started paying rentals she was actually purchasing the property. When she made the final </w:t>
      </w:r>
      <w:r w:rsidR="00827948">
        <w:rPr>
          <w:rFonts w:ascii="Times New Roman" w:hAnsi="Times New Roman" w:cs="Times New Roman"/>
          <w:sz w:val="24"/>
          <w:szCs w:val="24"/>
        </w:rPr>
        <w:t>lump sum</w:t>
      </w:r>
      <w:r w:rsidR="0052416F">
        <w:rPr>
          <w:rFonts w:ascii="Times New Roman" w:hAnsi="Times New Roman" w:cs="Times New Roman"/>
          <w:sz w:val="24"/>
          <w:szCs w:val="24"/>
        </w:rPr>
        <w:t xml:space="preserve"> person, she thought she had all but purchased the property. She could not state what the date of sale was as required by clause 20(b). While the witness was able to confirm the rentals </w:t>
      </w:r>
      <w:r w:rsidR="0052416F">
        <w:rPr>
          <w:rFonts w:ascii="Times New Roman" w:hAnsi="Times New Roman" w:cs="Times New Roman"/>
          <w:sz w:val="24"/>
          <w:szCs w:val="24"/>
        </w:rPr>
        <w:lastRenderedPageBreak/>
        <w:t xml:space="preserve">for the first to the </w:t>
      </w:r>
      <w:r w:rsidR="00985FCB">
        <w:rPr>
          <w:rFonts w:ascii="Times New Roman" w:hAnsi="Times New Roman" w:cs="Times New Roman"/>
          <w:sz w:val="24"/>
          <w:szCs w:val="24"/>
        </w:rPr>
        <w:t>fourth</w:t>
      </w:r>
      <w:r w:rsidR="0052416F">
        <w:rPr>
          <w:rFonts w:ascii="Times New Roman" w:hAnsi="Times New Roman" w:cs="Times New Roman"/>
          <w:sz w:val="24"/>
          <w:szCs w:val="24"/>
        </w:rPr>
        <w:t xml:space="preserve"> year, she could not confirm whether or not the rental</w:t>
      </w:r>
      <w:r w:rsidR="00985FCB">
        <w:rPr>
          <w:rFonts w:ascii="Times New Roman" w:hAnsi="Times New Roman" w:cs="Times New Roman"/>
          <w:sz w:val="24"/>
          <w:szCs w:val="24"/>
        </w:rPr>
        <w:t>s</w:t>
      </w:r>
      <w:r w:rsidR="0052416F">
        <w:rPr>
          <w:rFonts w:ascii="Times New Roman" w:hAnsi="Times New Roman" w:cs="Times New Roman"/>
          <w:sz w:val="24"/>
          <w:szCs w:val="24"/>
        </w:rPr>
        <w:t xml:space="preserve"> for the </w:t>
      </w:r>
      <w:r w:rsidR="00080CF7">
        <w:rPr>
          <w:rFonts w:ascii="Times New Roman" w:hAnsi="Times New Roman" w:cs="Times New Roman"/>
          <w:sz w:val="24"/>
          <w:szCs w:val="24"/>
        </w:rPr>
        <w:t>subsequent</w:t>
      </w:r>
      <w:r w:rsidR="0052416F">
        <w:rPr>
          <w:rFonts w:ascii="Times New Roman" w:hAnsi="Times New Roman" w:cs="Times New Roman"/>
          <w:sz w:val="24"/>
          <w:szCs w:val="24"/>
        </w:rPr>
        <w:t xml:space="preserve"> year</w:t>
      </w:r>
      <w:r w:rsidR="00080CF7">
        <w:rPr>
          <w:rFonts w:ascii="Times New Roman" w:hAnsi="Times New Roman" w:cs="Times New Roman"/>
          <w:sz w:val="24"/>
          <w:szCs w:val="24"/>
        </w:rPr>
        <w:t>s</w:t>
      </w:r>
      <w:r w:rsidR="0052416F">
        <w:rPr>
          <w:rFonts w:ascii="Times New Roman" w:hAnsi="Times New Roman" w:cs="Times New Roman"/>
          <w:sz w:val="24"/>
          <w:szCs w:val="24"/>
        </w:rPr>
        <w:t xml:space="preserve"> w</w:t>
      </w:r>
      <w:r w:rsidR="00985FCB">
        <w:rPr>
          <w:rFonts w:ascii="Times New Roman" w:hAnsi="Times New Roman" w:cs="Times New Roman"/>
          <w:sz w:val="24"/>
          <w:szCs w:val="24"/>
        </w:rPr>
        <w:t xml:space="preserve">ere </w:t>
      </w:r>
      <w:r w:rsidR="0052416F">
        <w:rPr>
          <w:rFonts w:ascii="Times New Roman" w:hAnsi="Times New Roman" w:cs="Times New Roman"/>
          <w:sz w:val="24"/>
          <w:szCs w:val="24"/>
        </w:rPr>
        <w:t>indeed paid</w:t>
      </w:r>
      <w:r w:rsidR="00080CF7">
        <w:rPr>
          <w:rFonts w:ascii="Times New Roman" w:hAnsi="Times New Roman" w:cs="Times New Roman"/>
          <w:sz w:val="24"/>
          <w:szCs w:val="24"/>
        </w:rPr>
        <w:t xml:space="preserve"> She also averred that the payment of $72</w:t>
      </w:r>
      <w:r w:rsidR="00985FCB">
        <w:rPr>
          <w:rFonts w:ascii="Times New Roman" w:hAnsi="Times New Roman" w:cs="Times New Roman"/>
          <w:sz w:val="24"/>
          <w:szCs w:val="24"/>
        </w:rPr>
        <w:t>,</w:t>
      </w:r>
      <w:r w:rsidR="00080CF7">
        <w:rPr>
          <w:rFonts w:ascii="Times New Roman" w:hAnsi="Times New Roman" w:cs="Times New Roman"/>
          <w:sz w:val="24"/>
          <w:szCs w:val="24"/>
        </w:rPr>
        <w:t xml:space="preserve"> 435.00 covered the rentals for the subsequent years up to 2018 since the receipt from the second respondent </w:t>
      </w:r>
      <w:r w:rsidR="00AD6279">
        <w:rPr>
          <w:rFonts w:ascii="Times New Roman" w:hAnsi="Times New Roman" w:cs="Times New Roman"/>
          <w:sz w:val="24"/>
          <w:szCs w:val="24"/>
        </w:rPr>
        <w:t xml:space="preserve">dated 20 November 2018 </w:t>
      </w:r>
      <w:r w:rsidR="00985FCB">
        <w:rPr>
          <w:rFonts w:ascii="Times New Roman" w:hAnsi="Times New Roman" w:cs="Times New Roman"/>
          <w:sz w:val="24"/>
          <w:szCs w:val="24"/>
        </w:rPr>
        <w:t xml:space="preserve">was inscribed with the </w:t>
      </w:r>
      <w:r w:rsidR="00080CF7">
        <w:rPr>
          <w:rFonts w:ascii="Times New Roman" w:hAnsi="Times New Roman" w:cs="Times New Roman"/>
          <w:sz w:val="24"/>
          <w:szCs w:val="24"/>
        </w:rPr>
        <w:t xml:space="preserve">words </w:t>
      </w:r>
      <w:r w:rsidR="00080CF7" w:rsidRPr="00AD6279">
        <w:rPr>
          <w:rFonts w:ascii="Times New Roman" w:hAnsi="Times New Roman" w:cs="Times New Roman"/>
          <w:i/>
          <w:sz w:val="24"/>
          <w:szCs w:val="24"/>
        </w:rPr>
        <w:t>“balance of purchase price”</w:t>
      </w:r>
      <w:r w:rsidR="00985FCB">
        <w:rPr>
          <w:rFonts w:ascii="Times New Roman" w:hAnsi="Times New Roman" w:cs="Times New Roman"/>
          <w:i/>
          <w:sz w:val="24"/>
          <w:szCs w:val="24"/>
        </w:rPr>
        <w:t>.</w:t>
      </w:r>
      <w:r w:rsidR="00080CF7">
        <w:rPr>
          <w:rFonts w:ascii="Times New Roman" w:hAnsi="Times New Roman" w:cs="Times New Roman"/>
          <w:sz w:val="24"/>
          <w:szCs w:val="24"/>
        </w:rPr>
        <w:t xml:space="preserve"> </w:t>
      </w:r>
    </w:p>
    <w:p w14:paraId="4ECDAAE7" w14:textId="43224CDD" w:rsidR="00936AB4" w:rsidRPr="00936AB4" w:rsidRDefault="00936AB4" w:rsidP="00936A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application for absolution from the instance</w:t>
      </w:r>
    </w:p>
    <w:p w14:paraId="18C9D6FD" w14:textId="0F707856" w:rsidR="00827948" w:rsidRDefault="006C73DF"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501AF">
        <w:rPr>
          <w:rFonts w:ascii="Times New Roman" w:hAnsi="Times New Roman" w:cs="Times New Roman"/>
          <w:sz w:val="24"/>
          <w:szCs w:val="24"/>
        </w:rPr>
        <w:t xml:space="preserve">At the close of the plaintiff’s case Mr </w:t>
      </w:r>
      <w:r w:rsidR="007501AF" w:rsidRPr="007501AF">
        <w:rPr>
          <w:rFonts w:ascii="Times New Roman" w:hAnsi="Times New Roman" w:cs="Times New Roman"/>
          <w:i/>
          <w:sz w:val="24"/>
          <w:szCs w:val="24"/>
        </w:rPr>
        <w:t>Madzoka</w:t>
      </w:r>
      <w:r w:rsidR="007501AF">
        <w:rPr>
          <w:rFonts w:ascii="Times New Roman" w:hAnsi="Times New Roman" w:cs="Times New Roman"/>
          <w:sz w:val="24"/>
          <w:szCs w:val="24"/>
        </w:rPr>
        <w:t xml:space="preserve"> advised that he had instructions to apply for absolution from the instance. I directed counsel to file written submissions. During the course of the plaintiff’s case, the plaintiff </w:t>
      </w:r>
      <w:r w:rsidR="00467ADD">
        <w:rPr>
          <w:rFonts w:ascii="Times New Roman" w:hAnsi="Times New Roman" w:cs="Times New Roman"/>
          <w:sz w:val="24"/>
          <w:szCs w:val="24"/>
        </w:rPr>
        <w:t xml:space="preserve">abandoned its </w:t>
      </w:r>
      <w:r w:rsidR="007501AF">
        <w:rPr>
          <w:rFonts w:ascii="Times New Roman" w:hAnsi="Times New Roman" w:cs="Times New Roman"/>
          <w:sz w:val="24"/>
          <w:szCs w:val="24"/>
        </w:rPr>
        <w:t xml:space="preserve">claim for damages for lost income. The remaining issues are whether the </w:t>
      </w:r>
      <w:r w:rsidR="00E30244">
        <w:rPr>
          <w:rFonts w:ascii="Times New Roman" w:hAnsi="Times New Roman" w:cs="Times New Roman"/>
          <w:sz w:val="24"/>
          <w:szCs w:val="24"/>
        </w:rPr>
        <w:t xml:space="preserve">plaintiffs have a right to seek the eviction of the first defendant from the property and whether the defendants should be evicted from the property. I pause to observe that there is only one issue for determination. </w:t>
      </w:r>
    </w:p>
    <w:p w14:paraId="3AC0592B" w14:textId="2A1F50AF" w:rsidR="00E30244" w:rsidRDefault="00E30244"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determination of the first issue effectively disposes of what the parties </w:t>
      </w:r>
      <w:r w:rsidR="00467ADD">
        <w:rPr>
          <w:rFonts w:ascii="Times New Roman" w:hAnsi="Times New Roman" w:cs="Times New Roman"/>
          <w:sz w:val="24"/>
          <w:szCs w:val="24"/>
        </w:rPr>
        <w:t xml:space="preserve">consider </w:t>
      </w:r>
      <w:r>
        <w:rPr>
          <w:rFonts w:ascii="Times New Roman" w:hAnsi="Times New Roman" w:cs="Times New Roman"/>
          <w:sz w:val="24"/>
          <w:szCs w:val="24"/>
        </w:rPr>
        <w:t xml:space="preserve">to be the second issue. If the court determines that the plaintiff has a right to evict the </w:t>
      </w:r>
      <w:r w:rsidR="00467ADD">
        <w:rPr>
          <w:rFonts w:ascii="Times New Roman" w:hAnsi="Times New Roman" w:cs="Times New Roman"/>
          <w:sz w:val="24"/>
          <w:szCs w:val="24"/>
        </w:rPr>
        <w:t xml:space="preserve">first </w:t>
      </w:r>
      <w:r>
        <w:rPr>
          <w:rFonts w:ascii="Times New Roman" w:hAnsi="Times New Roman" w:cs="Times New Roman"/>
          <w:sz w:val="24"/>
          <w:szCs w:val="24"/>
        </w:rPr>
        <w:t xml:space="preserve">defendant then the second issue falls away. I say so because from a reading of the pleadings, the </w:t>
      </w:r>
      <w:r w:rsidR="00467ADD">
        <w:rPr>
          <w:rFonts w:ascii="Times New Roman" w:hAnsi="Times New Roman" w:cs="Times New Roman"/>
          <w:sz w:val="24"/>
          <w:szCs w:val="24"/>
        </w:rPr>
        <w:t xml:space="preserve">first </w:t>
      </w:r>
      <w:r>
        <w:rPr>
          <w:rFonts w:ascii="Times New Roman" w:hAnsi="Times New Roman" w:cs="Times New Roman"/>
          <w:sz w:val="24"/>
          <w:szCs w:val="24"/>
        </w:rPr>
        <w:t xml:space="preserve">defendant essentially challenges the plaintiff’s right to seek eviction on the basis that its lease with the second </w:t>
      </w:r>
      <w:r w:rsidR="00467ADD">
        <w:rPr>
          <w:rFonts w:ascii="Times New Roman" w:hAnsi="Times New Roman" w:cs="Times New Roman"/>
          <w:sz w:val="24"/>
          <w:szCs w:val="24"/>
        </w:rPr>
        <w:t xml:space="preserve">defendant </w:t>
      </w:r>
      <w:r>
        <w:rPr>
          <w:rFonts w:ascii="Times New Roman" w:hAnsi="Times New Roman" w:cs="Times New Roman"/>
          <w:sz w:val="24"/>
          <w:szCs w:val="24"/>
        </w:rPr>
        <w:t>had long expired. Alternatively</w:t>
      </w:r>
      <w:r w:rsidR="00467ADD">
        <w:rPr>
          <w:rFonts w:ascii="Times New Roman" w:hAnsi="Times New Roman" w:cs="Times New Roman"/>
          <w:sz w:val="24"/>
          <w:szCs w:val="24"/>
        </w:rPr>
        <w:t>, it argued</w:t>
      </w:r>
      <w:r>
        <w:rPr>
          <w:rFonts w:ascii="Times New Roman" w:hAnsi="Times New Roman" w:cs="Times New Roman"/>
          <w:sz w:val="24"/>
          <w:szCs w:val="24"/>
        </w:rPr>
        <w:t xml:space="preserve"> that even if the lease were deemed to be extant, </w:t>
      </w:r>
      <w:r w:rsidR="00467ADD">
        <w:rPr>
          <w:rFonts w:ascii="Times New Roman" w:hAnsi="Times New Roman" w:cs="Times New Roman"/>
          <w:sz w:val="24"/>
          <w:szCs w:val="24"/>
        </w:rPr>
        <w:t xml:space="preserve">still </w:t>
      </w:r>
      <w:r>
        <w:rPr>
          <w:rFonts w:ascii="Times New Roman" w:hAnsi="Times New Roman" w:cs="Times New Roman"/>
          <w:sz w:val="24"/>
          <w:szCs w:val="24"/>
        </w:rPr>
        <w:t xml:space="preserve">no rights accrued </w:t>
      </w:r>
      <w:r w:rsidR="00467ADD">
        <w:rPr>
          <w:rFonts w:ascii="Times New Roman" w:hAnsi="Times New Roman" w:cs="Times New Roman"/>
          <w:sz w:val="24"/>
          <w:szCs w:val="24"/>
        </w:rPr>
        <w:t xml:space="preserve">to </w:t>
      </w:r>
      <w:r>
        <w:rPr>
          <w:rFonts w:ascii="Times New Roman" w:hAnsi="Times New Roman" w:cs="Times New Roman"/>
          <w:sz w:val="24"/>
          <w:szCs w:val="24"/>
        </w:rPr>
        <w:t>the plaintiffs at law to seek the eviction of the first defendant because they never acquired possession or physical occupation of the property.</w:t>
      </w:r>
    </w:p>
    <w:p w14:paraId="36D1D71A" w14:textId="28320AE0" w:rsidR="00E30244" w:rsidRDefault="00E30244" w:rsidP="00E30244">
      <w:pPr>
        <w:spacing w:after="0" w:line="360" w:lineRule="auto"/>
        <w:jc w:val="both"/>
        <w:rPr>
          <w:rFonts w:ascii="Times New Roman" w:hAnsi="Times New Roman" w:cs="Times New Roman"/>
          <w:b/>
          <w:sz w:val="24"/>
          <w:szCs w:val="24"/>
        </w:rPr>
      </w:pPr>
      <w:r w:rsidRPr="00E30244">
        <w:rPr>
          <w:rFonts w:ascii="Times New Roman" w:hAnsi="Times New Roman" w:cs="Times New Roman"/>
          <w:b/>
          <w:sz w:val="24"/>
          <w:szCs w:val="24"/>
        </w:rPr>
        <w:t xml:space="preserve">The First Defendant’s Submissions </w:t>
      </w:r>
    </w:p>
    <w:p w14:paraId="355FCE2D" w14:textId="3CDF7EEE" w:rsidR="008F30B8" w:rsidRPr="00E83B46" w:rsidRDefault="008F30B8" w:rsidP="00E302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467ADD">
        <w:rPr>
          <w:rFonts w:ascii="Times New Roman" w:hAnsi="Times New Roman" w:cs="Times New Roman"/>
          <w:sz w:val="24"/>
          <w:szCs w:val="24"/>
        </w:rPr>
        <w:t xml:space="preserve">In its </w:t>
      </w:r>
      <w:r w:rsidR="00E83B46" w:rsidRPr="00E83B46">
        <w:rPr>
          <w:rFonts w:ascii="Times New Roman" w:hAnsi="Times New Roman" w:cs="Times New Roman"/>
          <w:sz w:val="24"/>
          <w:szCs w:val="24"/>
        </w:rPr>
        <w:t xml:space="preserve">submissions, the first defendant submitted that the narrow issue for determination was whether the plaintiffs, through their sole witness managed to adduce evidence upon which a court applying its mind reasonably could or might find for the plaintiffs. </w:t>
      </w:r>
      <w:r w:rsidR="00842E8E">
        <w:rPr>
          <w:rFonts w:ascii="Times New Roman" w:hAnsi="Times New Roman" w:cs="Times New Roman"/>
          <w:sz w:val="24"/>
          <w:szCs w:val="24"/>
        </w:rPr>
        <w:t xml:space="preserve">The first defendant averred that the plaintiffs failed to adduce evidence upon which the court acting reasonably could grant them the relief they sought. Two main reasons were advanced to support this submission. Firstly it was argued that the plaintiffs failed to establish a </w:t>
      </w:r>
      <w:r w:rsidR="00842E8E" w:rsidRPr="00842E8E">
        <w:rPr>
          <w:rFonts w:ascii="Times New Roman" w:hAnsi="Times New Roman" w:cs="Times New Roman"/>
          <w:i/>
          <w:sz w:val="24"/>
          <w:szCs w:val="24"/>
        </w:rPr>
        <w:t>prima facie</w:t>
      </w:r>
      <w:r w:rsidR="00842E8E">
        <w:rPr>
          <w:rFonts w:ascii="Times New Roman" w:hAnsi="Times New Roman" w:cs="Times New Roman"/>
          <w:sz w:val="24"/>
          <w:szCs w:val="24"/>
        </w:rPr>
        <w:t xml:space="preserve"> right to seek the eviction of the </w:t>
      </w:r>
      <w:r w:rsidR="00467ADD">
        <w:rPr>
          <w:rFonts w:ascii="Times New Roman" w:hAnsi="Times New Roman" w:cs="Times New Roman"/>
          <w:sz w:val="24"/>
          <w:szCs w:val="24"/>
        </w:rPr>
        <w:t xml:space="preserve">first </w:t>
      </w:r>
      <w:r w:rsidR="00842E8E">
        <w:rPr>
          <w:rFonts w:ascii="Times New Roman" w:hAnsi="Times New Roman" w:cs="Times New Roman"/>
          <w:sz w:val="24"/>
          <w:szCs w:val="24"/>
        </w:rPr>
        <w:t xml:space="preserve">defendant.  The second reason was that the </w:t>
      </w:r>
      <w:r w:rsidR="002537AD">
        <w:rPr>
          <w:rFonts w:ascii="Times New Roman" w:hAnsi="Times New Roman" w:cs="Times New Roman"/>
          <w:sz w:val="24"/>
          <w:szCs w:val="24"/>
        </w:rPr>
        <w:t>plaintiffs’</w:t>
      </w:r>
      <w:r w:rsidR="00842E8E">
        <w:rPr>
          <w:rFonts w:ascii="Times New Roman" w:hAnsi="Times New Roman" w:cs="Times New Roman"/>
          <w:sz w:val="24"/>
          <w:szCs w:val="24"/>
        </w:rPr>
        <w:t xml:space="preserve"> evidence fell short of establishing a </w:t>
      </w:r>
      <w:r w:rsidR="00842E8E" w:rsidRPr="005860F2">
        <w:rPr>
          <w:rFonts w:ascii="Times New Roman" w:hAnsi="Times New Roman" w:cs="Times New Roman"/>
          <w:i/>
          <w:sz w:val="24"/>
          <w:szCs w:val="24"/>
        </w:rPr>
        <w:t>prima facie</w:t>
      </w:r>
      <w:r w:rsidR="00842E8E">
        <w:rPr>
          <w:rFonts w:ascii="Times New Roman" w:hAnsi="Times New Roman" w:cs="Times New Roman"/>
          <w:sz w:val="24"/>
          <w:szCs w:val="24"/>
        </w:rPr>
        <w:t xml:space="preserve"> case for the eviction of the first defendant.  </w:t>
      </w:r>
    </w:p>
    <w:p w14:paraId="22DB0445" w14:textId="6D072FC5" w:rsidR="00E30244" w:rsidRDefault="00842E8E"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upon which the eviction order was sought was the lease agreement between the plaintiffs and the second defendant. </w:t>
      </w:r>
      <w:r w:rsidR="00847173">
        <w:rPr>
          <w:rFonts w:ascii="Times New Roman" w:hAnsi="Times New Roman" w:cs="Times New Roman"/>
          <w:sz w:val="24"/>
          <w:szCs w:val="24"/>
        </w:rPr>
        <w:t xml:space="preserve">That lease agreement was signed on 9 March 2010. It was for a fixed duration of four years which expired on 28 February 2014. The lease ceased to have any effect and the plaintiffs lost any rights that they derived from </w:t>
      </w:r>
      <w:r w:rsidR="00467ADD">
        <w:rPr>
          <w:rFonts w:ascii="Times New Roman" w:hAnsi="Times New Roman" w:cs="Times New Roman"/>
          <w:sz w:val="24"/>
          <w:szCs w:val="24"/>
        </w:rPr>
        <w:t>same</w:t>
      </w:r>
      <w:r w:rsidR="00847173">
        <w:rPr>
          <w:rFonts w:ascii="Times New Roman" w:hAnsi="Times New Roman" w:cs="Times New Roman"/>
          <w:sz w:val="24"/>
          <w:szCs w:val="24"/>
        </w:rPr>
        <w:t xml:space="preserve">. The right to claim possession or occupation was also extinguished. The allegation that the lease was renewed was not supported by any evidence at the trial. The plaintiffs failed to discharge the onus upon them </w:t>
      </w:r>
      <w:r w:rsidR="00847173">
        <w:rPr>
          <w:rFonts w:ascii="Times New Roman" w:hAnsi="Times New Roman" w:cs="Times New Roman"/>
          <w:sz w:val="24"/>
          <w:szCs w:val="24"/>
        </w:rPr>
        <w:lastRenderedPageBreak/>
        <w:t xml:space="preserve">to prove that the lease was extant. </w:t>
      </w:r>
      <w:r w:rsidR="003A108E">
        <w:rPr>
          <w:rFonts w:ascii="Times New Roman" w:hAnsi="Times New Roman" w:cs="Times New Roman"/>
          <w:sz w:val="24"/>
          <w:szCs w:val="24"/>
        </w:rPr>
        <w:t>The only conclusion that could be reached was that the lease was never renewed. That conclusion was further reinforced by the plaintiffs’ failure to produce evidence of payment of rentals for</w:t>
      </w:r>
      <w:r w:rsidR="00467ADD">
        <w:rPr>
          <w:rFonts w:ascii="Times New Roman" w:hAnsi="Times New Roman" w:cs="Times New Roman"/>
          <w:sz w:val="24"/>
          <w:szCs w:val="24"/>
        </w:rPr>
        <w:t xml:space="preserve"> the period</w:t>
      </w:r>
      <w:r w:rsidR="003A108E">
        <w:rPr>
          <w:rFonts w:ascii="Times New Roman" w:hAnsi="Times New Roman" w:cs="Times New Roman"/>
          <w:sz w:val="24"/>
          <w:szCs w:val="24"/>
        </w:rPr>
        <w:t xml:space="preserve"> </w:t>
      </w:r>
      <w:r w:rsidR="003A108E" w:rsidRPr="00467ADD">
        <w:rPr>
          <w:rFonts w:ascii="Times New Roman" w:hAnsi="Times New Roman" w:cs="Times New Roman"/>
          <w:sz w:val="24"/>
          <w:szCs w:val="24"/>
        </w:rPr>
        <w:t xml:space="preserve">2015, 2016 </w:t>
      </w:r>
      <w:r w:rsidR="003A108E">
        <w:rPr>
          <w:rFonts w:ascii="Times New Roman" w:hAnsi="Times New Roman" w:cs="Times New Roman"/>
          <w:sz w:val="24"/>
          <w:szCs w:val="24"/>
        </w:rPr>
        <w:t xml:space="preserve">and 2017. </w:t>
      </w:r>
      <w:r w:rsidR="00264ABD">
        <w:rPr>
          <w:rFonts w:ascii="Times New Roman" w:hAnsi="Times New Roman" w:cs="Times New Roman"/>
          <w:sz w:val="24"/>
          <w:szCs w:val="24"/>
        </w:rPr>
        <w:t xml:space="preserve">The witness conceded under cross examination that there was no proof of payment of rentals after the period the lease was allegedly renewed. </w:t>
      </w:r>
    </w:p>
    <w:p w14:paraId="248B67E5" w14:textId="6312BB9F" w:rsidR="00827948" w:rsidRDefault="00264ABD"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further submitted that even assuming the lease was extant, it did not confer the plaintiffs with rights to seek the eviction of the first defendant. The plaintiffs were not in possession of the property. Without possession they had no right to seek the ejectment of the first defendant unless such rights were ceded to them by the second defendant. </w:t>
      </w:r>
    </w:p>
    <w:p w14:paraId="662BB2E1" w14:textId="0C7B2B06" w:rsidR="00264ABD" w:rsidRDefault="00265730"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cited the </w:t>
      </w:r>
      <w:r w:rsidR="005579E9">
        <w:rPr>
          <w:rFonts w:ascii="Times New Roman" w:hAnsi="Times New Roman" w:cs="Times New Roman"/>
          <w:sz w:val="24"/>
          <w:szCs w:val="24"/>
        </w:rPr>
        <w:t xml:space="preserve">case of </w:t>
      </w:r>
      <w:r w:rsidR="005579E9" w:rsidRPr="005579E9">
        <w:rPr>
          <w:rFonts w:ascii="Times New Roman" w:hAnsi="Times New Roman" w:cs="Times New Roman"/>
          <w:i/>
          <w:sz w:val="24"/>
          <w:szCs w:val="24"/>
        </w:rPr>
        <w:t xml:space="preserve">Pedzisai </w:t>
      </w:r>
      <w:r w:rsidR="005579E9" w:rsidRPr="00AA3E69">
        <w:rPr>
          <w:rFonts w:ascii="Times New Roman" w:hAnsi="Times New Roman" w:cs="Times New Roman"/>
          <w:sz w:val="24"/>
          <w:szCs w:val="24"/>
        </w:rPr>
        <w:t>v</w:t>
      </w:r>
      <w:r w:rsidR="005579E9" w:rsidRPr="005579E9">
        <w:rPr>
          <w:rFonts w:ascii="Times New Roman" w:hAnsi="Times New Roman" w:cs="Times New Roman"/>
          <w:i/>
          <w:sz w:val="24"/>
          <w:szCs w:val="24"/>
        </w:rPr>
        <w:t xml:space="preserve"> Chikonyora</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where it was held that a lessee to buy does not have </w:t>
      </w:r>
      <w:r w:rsidRPr="00265730">
        <w:rPr>
          <w:rFonts w:ascii="Times New Roman" w:hAnsi="Times New Roman" w:cs="Times New Roman"/>
          <w:i/>
          <w:sz w:val="24"/>
          <w:szCs w:val="24"/>
        </w:rPr>
        <w:t>locus standi</w:t>
      </w:r>
      <w:r>
        <w:rPr>
          <w:rFonts w:ascii="Times New Roman" w:hAnsi="Times New Roman" w:cs="Times New Roman"/>
          <w:sz w:val="24"/>
          <w:szCs w:val="24"/>
        </w:rPr>
        <w:t xml:space="preserve"> to sue a third party for ejectment unless he ha</w:t>
      </w:r>
      <w:r w:rsidR="00467ADD">
        <w:rPr>
          <w:rFonts w:ascii="Times New Roman" w:hAnsi="Times New Roman" w:cs="Times New Roman"/>
          <w:sz w:val="24"/>
          <w:szCs w:val="24"/>
        </w:rPr>
        <w:t>d</w:t>
      </w:r>
      <w:r>
        <w:rPr>
          <w:rFonts w:ascii="Times New Roman" w:hAnsi="Times New Roman" w:cs="Times New Roman"/>
          <w:sz w:val="24"/>
          <w:szCs w:val="24"/>
        </w:rPr>
        <w:t xml:space="preserve"> occupation of the property before the third party took occupation.</w:t>
      </w:r>
      <w:r w:rsidR="0027534A">
        <w:rPr>
          <w:rFonts w:ascii="Times New Roman" w:hAnsi="Times New Roman" w:cs="Times New Roman"/>
          <w:sz w:val="24"/>
          <w:szCs w:val="24"/>
        </w:rPr>
        <w:t xml:space="preserve"> Whether the plaintiffs were ever in possession of the property was a question of fact in respect of which the plaintiffs had onus of proof. It was further submitted that </w:t>
      </w:r>
      <w:r w:rsidR="0027534A" w:rsidRPr="0027534A">
        <w:rPr>
          <w:rFonts w:ascii="Times New Roman" w:hAnsi="Times New Roman" w:cs="Times New Roman"/>
          <w:i/>
          <w:sz w:val="24"/>
          <w:szCs w:val="24"/>
        </w:rPr>
        <w:t>in casu</w:t>
      </w:r>
      <w:r w:rsidR="0027534A">
        <w:rPr>
          <w:rFonts w:ascii="Times New Roman" w:hAnsi="Times New Roman" w:cs="Times New Roman"/>
          <w:sz w:val="24"/>
          <w:szCs w:val="24"/>
        </w:rPr>
        <w:t xml:space="preserve">, going by the terms of the lease agreement, the </w:t>
      </w:r>
      <w:r w:rsidR="00827948">
        <w:rPr>
          <w:rFonts w:ascii="Times New Roman" w:hAnsi="Times New Roman" w:cs="Times New Roman"/>
          <w:sz w:val="24"/>
          <w:szCs w:val="24"/>
        </w:rPr>
        <w:t>plaintiffs’</w:t>
      </w:r>
      <w:r w:rsidR="0027534A">
        <w:rPr>
          <w:rFonts w:ascii="Times New Roman" w:hAnsi="Times New Roman" w:cs="Times New Roman"/>
          <w:sz w:val="24"/>
          <w:szCs w:val="24"/>
        </w:rPr>
        <w:t xml:space="preserve"> rights to occupy the property had not fully accrued. </w:t>
      </w:r>
      <w:r w:rsidR="00E8262F">
        <w:rPr>
          <w:rFonts w:ascii="Times New Roman" w:hAnsi="Times New Roman" w:cs="Times New Roman"/>
          <w:sz w:val="24"/>
          <w:szCs w:val="24"/>
        </w:rPr>
        <w:t xml:space="preserve">Reference was made to clauses 4, 5, 11 and 20 of the lease agreement. </w:t>
      </w:r>
    </w:p>
    <w:p w14:paraId="10522F49" w14:textId="2F42A6CB" w:rsidR="00E8262F" w:rsidRDefault="00E8262F"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further submitted that the plaintiffs wish to put up a fence as well as erect a bill board did not constitute possession. The fact that the plaintiffs’ contractors were allegedly chased away by people on the property all but confirmed that when attempts were made to put up structures, the property was already occupied by the first </w:t>
      </w:r>
      <w:r w:rsidR="00467ADD">
        <w:rPr>
          <w:rFonts w:ascii="Times New Roman" w:hAnsi="Times New Roman" w:cs="Times New Roman"/>
          <w:sz w:val="24"/>
          <w:szCs w:val="24"/>
        </w:rPr>
        <w:t>defendant</w:t>
      </w:r>
      <w:r>
        <w:rPr>
          <w:rFonts w:ascii="Times New Roman" w:hAnsi="Times New Roman" w:cs="Times New Roman"/>
          <w:sz w:val="24"/>
          <w:szCs w:val="24"/>
        </w:rPr>
        <w:t xml:space="preserve">. </w:t>
      </w:r>
    </w:p>
    <w:p w14:paraId="52CFF279" w14:textId="0DA00E53" w:rsidR="00E8262F" w:rsidRDefault="00E8262F" w:rsidP="00E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 the foregoing, the first defendant prayed that it be absolved from the insta</w:t>
      </w:r>
      <w:r w:rsidR="00467ADD">
        <w:rPr>
          <w:rFonts w:ascii="Times New Roman" w:hAnsi="Times New Roman" w:cs="Times New Roman"/>
          <w:sz w:val="24"/>
          <w:szCs w:val="24"/>
        </w:rPr>
        <w:t>nce in respect of the plaintiff</w:t>
      </w:r>
      <w:r>
        <w:rPr>
          <w:rFonts w:ascii="Times New Roman" w:hAnsi="Times New Roman" w:cs="Times New Roman"/>
          <w:sz w:val="24"/>
          <w:szCs w:val="24"/>
        </w:rPr>
        <w:t xml:space="preserve">s claim for eviction. </w:t>
      </w:r>
    </w:p>
    <w:p w14:paraId="5E3CA3E1" w14:textId="4394BCC2" w:rsidR="0056799A" w:rsidRDefault="0056799A" w:rsidP="0056799A">
      <w:pPr>
        <w:spacing w:after="0" w:line="360" w:lineRule="auto"/>
        <w:jc w:val="both"/>
        <w:rPr>
          <w:rFonts w:ascii="Times New Roman" w:hAnsi="Times New Roman" w:cs="Times New Roman"/>
          <w:b/>
          <w:sz w:val="24"/>
          <w:szCs w:val="24"/>
        </w:rPr>
      </w:pPr>
      <w:r w:rsidRPr="0056799A">
        <w:rPr>
          <w:rFonts w:ascii="Times New Roman" w:hAnsi="Times New Roman" w:cs="Times New Roman"/>
          <w:b/>
          <w:sz w:val="24"/>
          <w:szCs w:val="24"/>
        </w:rPr>
        <w:t xml:space="preserve">The Plaintiffs’ Submissions </w:t>
      </w:r>
    </w:p>
    <w:p w14:paraId="3CECD678" w14:textId="44D9CADC" w:rsidR="00827948" w:rsidRDefault="0056799A" w:rsidP="0056799A">
      <w:pPr>
        <w:spacing w:after="0" w:line="360" w:lineRule="auto"/>
        <w:jc w:val="both"/>
        <w:rPr>
          <w:rFonts w:ascii="Times New Roman" w:hAnsi="Times New Roman" w:cs="Times New Roman"/>
          <w:sz w:val="24"/>
          <w:szCs w:val="24"/>
        </w:rPr>
      </w:pPr>
      <w:r w:rsidRPr="0056799A">
        <w:rPr>
          <w:rFonts w:ascii="Times New Roman" w:hAnsi="Times New Roman" w:cs="Times New Roman"/>
          <w:sz w:val="24"/>
          <w:szCs w:val="24"/>
        </w:rPr>
        <w:tab/>
        <w:t xml:space="preserve">The submissions </w:t>
      </w:r>
      <w:r>
        <w:rPr>
          <w:rFonts w:ascii="Times New Roman" w:hAnsi="Times New Roman" w:cs="Times New Roman"/>
          <w:sz w:val="24"/>
          <w:szCs w:val="24"/>
        </w:rPr>
        <w:t>were in the form of notice of opposition accompanied by an oppos</w:t>
      </w:r>
      <w:r w:rsidR="00DC4801">
        <w:rPr>
          <w:rFonts w:ascii="Times New Roman" w:hAnsi="Times New Roman" w:cs="Times New Roman"/>
          <w:sz w:val="24"/>
          <w:szCs w:val="24"/>
        </w:rPr>
        <w:t xml:space="preserve">ing affidavit deposed to by </w:t>
      </w:r>
      <w:r w:rsidR="00467ADD">
        <w:rPr>
          <w:rFonts w:ascii="Times New Roman" w:hAnsi="Times New Roman" w:cs="Times New Roman"/>
          <w:sz w:val="24"/>
          <w:szCs w:val="24"/>
        </w:rPr>
        <w:t xml:space="preserve">their legal practitioner, </w:t>
      </w:r>
      <w:r w:rsidR="00DC4801">
        <w:rPr>
          <w:rFonts w:ascii="Times New Roman" w:hAnsi="Times New Roman" w:cs="Times New Roman"/>
          <w:sz w:val="24"/>
          <w:szCs w:val="24"/>
        </w:rPr>
        <w:t xml:space="preserve">Mr </w:t>
      </w:r>
      <w:r w:rsidR="00DC4801" w:rsidRPr="00DC4801">
        <w:rPr>
          <w:rFonts w:ascii="Times New Roman" w:hAnsi="Times New Roman" w:cs="Times New Roman"/>
          <w:i/>
          <w:sz w:val="24"/>
          <w:szCs w:val="24"/>
        </w:rPr>
        <w:t>Matsanura</w:t>
      </w:r>
      <w:r w:rsidR="00DC4801">
        <w:rPr>
          <w:rFonts w:ascii="Times New Roman" w:hAnsi="Times New Roman" w:cs="Times New Roman"/>
          <w:sz w:val="24"/>
          <w:szCs w:val="24"/>
        </w:rPr>
        <w:t xml:space="preserve">. </w:t>
      </w:r>
      <w:r>
        <w:rPr>
          <w:rFonts w:ascii="Times New Roman" w:hAnsi="Times New Roman" w:cs="Times New Roman"/>
          <w:sz w:val="24"/>
          <w:szCs w:val="24"/>
        </w:rPr>
        <w:t xml:space="preserve">The opposing affidavit raised two preliminary points. First it was averred that the application for absolution from instance was fatally defective for want of compliance with the </w:t>
      </w:r>
      <w:r w:rsidR="00467ADD">
        <w:rPr>
          <w:rFonts w:ascii="Times New Roman" w:hAnsi="Times New Roman" w:cs="Times New Roman"/>
          <w:sz w:val="24"/>
          <w:szCs w:val="24"/>
        </w:rPr>
        <w:t xml:space="preserve">rules of the </w:t>
      </w:r>
      <w:r>
        <w:rPr>
          <w:rFonts w:ascii="Times New Roman" w:hAnsi="Times New Roman" w:cs="Times New Roman"/>
          <w:sz w:val="24"/>
          <w:szCs w:val="24"/>
        </w:rPr>
        <w:t>court. The application was not in Form No. 23</w:t>
      </w:r>
      <w:r w:rsidR="00467ADD">
        <w:rPr>
          <w:rFonts w:ascii="Times New Roman" w:hAnsi="Times New Roman" w:cs="Times New Roman"/>
          <w:sz w:val="24"/>
          <w:szCs w:val="24"/>
        </w:rPr>
        <w:t xml:space="preserve"> </w:t>
      </w:r>
      <w:r>
        <w:rPr>
          <w:rFonts w:ascii="Times New Roman" w:hAnsi="Times New Roman" w:cs="Times New Roman"/>
          <w:sz w:val="24"/>
          <w:szCs w:val="24"/>
        </w:rPr>
        <w:t xml:space="preserve">as required by r 59(1) of the High Court </w:t>
      </w:r>
      <w:r w:rsidR="00467ADD">
        <w:rPr>
          <w:rFonts w:ascii="Times New Roman" w:hAnsi="Times New Roman" w:cs="Times New Roman"/>
          <w:sz w:val="24"/>
          <w:szCs w:val="24"/>
        </w:rPr>
        <w:t>R</w:t>
      </w:r>
      <w:r>
        <w:rPr>
          <w:rFonts w:ascii="Times New Roman" w:hAnsi="Times New Roman" w:cs="Times New Roman"/>
          <w:sz w:val="24"/>
          <w:szCs w:val="24"/>
        </w:rPr>
        <w:t>ules, 2021</w:t>
      </w:r>
      <w:r w:rsidR="00467ADD">
        <w:rPr>
          <w:rFonts w:ascii="Times New Roman" w:hAnsi="Times New Roman" w:cs="Times New Roman"/>
          <w:sz w:val="24"/>
          <w:szCs w:val="24"/>
        </w:rPr>
        <w:t xml:space="preserve"> (the Rules)</w:t>
      </w:r>
      <w:r>
        <w:rPr>
          <w:rFonts w:ascii="Times New Roman" w:hAnsi="Times New Roman" w:cs="Times New Roman"/>
          <w:sz w:val="24"/>
          <w:szCs w:val="24"/>
        </w:rPr>
        <w:t xml:space="preserve">. </w:t>
      </w:r>
    </w:p>
    <w:p w14:paraId="3C1A39D1" w14:textId="01C341A2" w:rsidR="0056799A" w:rsidRDefault="0056799A" w:rsidP="008279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827948">
        <w:rPr>
          <w:rFonts w:ascii="Times New Roman" w:hAnsi="Times New Roman" w:cs="Times New Roman"/>
          <w:sz w:val="24"/>
          <w:szCs w:val="24"/>
        </w:rPr>
        <w:t>,</w:t>
      </w:r>
      <w:r>
        <w:rPr>
          <w:rFonts w:ascii="Times New Roman" w:hAnsi="Times New Roman" w:cs="Times New Roman"/>
          <w:sz w:val="24"/>
          <w:szCs w:val="24"/>
        </w:rPr>
        <w:t xml:space="preserve"> it was averred that the application was not accompanied by an affidavit as required by the </w:t>
      </w:r>
      <w:r w:rsidR="00467ADD">
        <w:rPr>
          <w:rFonts w:ascii="Times New Roman" w:hAnsi="Times New Roman" w:cs="Times New Roman"/>
          <w:sz w:val="24"/>
          <w:szCs w:val="24"/>
        </w:rPr>
        <w:t xml:space="preserve">same </w:t>
      </w:r>
      <w:r>
        <w:rPr>
          <w:rFonts w:ascii="Times New Roman" w:hAnsi="Times New Roman" w:cs="Times New Roman"/>
          <w:sz w:val="24"/>
          <w:szCs w:val="24"/>
        </w:rPr>
        <w:t xml:space="preserve">rules. In the absence of an affidavit, then there was no application before the court. The second point was that the application for absolution was fatally defective as it </w:t>
      </w:r>
      <w:r>
        <w:rPr>
          <w:rFonts w:ascii="Times New Roman" w:hAnsi="Times New Roman" w:cs="Times New Roman"/>
          <w:sz w:val="24"/>
          <w:szCs w:val="24"/>
        </w:rPr>
        <w:lastRenderedPageBreak/>
        <w:t xml:space="preserve">was based on the terms of a contract to which the first defendant was not a party. It made serious inroads </w:t>
      </w:r>
      <w:r w:rsidR="006E13D4">
        <w:rPr>
          <w:rFonts w:ascii="Times New Roman" w:hAnsi="Times New Roman" w:cs="Times New Roman"/>
          <w:sz w:val="24"/>
          <w:szCs w:val="24"/>
        </w:rPr>
        <w:t>into the doctrine of privity of contract which precluded a party</w:t>
      </w:r>
      <w:r>
        <w:rPr>
          <w:rFonts w:ascii="Times New Roman" w:hAnsi="Times New Roman" w:cs="Times New Roman"/>
          <w:sz w:val="24"/>
          <w:szCs w:val="24"/>
        </w:rPr>
        <w:t xml:space="preserve"> </w:t>
      </w:r>
      <w:r w:rsidR="006E13D4">
        <w:rPr>
          <w:rFonts w:ascii="Times New Roman" w:hAnsi="Times New Roman" w:cs="Times New Roman"/>
          <w:sz w:val="24"/>
          <w:szCs w:val="24"/>
        </w:rPr>
        <w:t>from seeking to benefit from terms of a c</w:t>
      </w:r>
      <w:r w:rsidR="00467ADD">
        <w:rPr>
          <w:rFonts w:ascii="Times New Roman" w:hAnsi="Times New Roman" w:cs="Times New Roman"/>
          <w:sz w:val="24"/>
          <w:szCs w:val="24"/>
        </w:rPr>
        <w:t>ontract that they were not part</w:t>
      </w:r>
      <w:r w:rsidR="006E13D4">
        <w:rPr>
          <w:rFonts w:ascii="Times New Roman" w:hAnsi="Times New Roman" w:cs="Times New Roman"/>
          <w:sz w:val="24"/>
          <w:szCs w:val="24"/>
        </w:rPr>
        <w:t xml:space="preserve"> to. The alleged breach of the lease agreement between the plaintiffs and the second defendant had nothing to do with the first defendant. The court was urged to dismiss the application for absolution with costs on the punitive scale. </w:t>
      </w:r>
    </w:p>
    <w:p w14:paraId="6D0F1E94" w14:textId="294E39AA" w:rsidR="00592237" w:rsidRDefault="006E13D4" w:rsidP="00567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of the application, the </w:t>
      </w:r>
      <w:r w:rsidR="00467ADD">
        <w:rPr>
          <w:rFonts w:ascii="Times New Roman" w:hAnsi="Times New Roman" w:cs="Times New Roman"/>
          <w:sz w:val="24"/>
          <w:szCs w:val="24"/>
        </w:rPr>
        <w:t xml:space="preserve">deponent </w:t>
      </w:r>
      <w:r>
        <w:rPr>
          <w:rFonts w:ascii="Times New Roman" w:hAnsi="Times New Roman" w:cs="Times New Roman"/>
          <w:sz w:val="24"/>
          <w:szCs w:val="24"/>
        </w:rPr>
        <w:t>responded to the first defendant’s submissions</w:t>
      </w:r>
      <w:r w:rsidR="0080732E">
        <w:rPr>
          <w:rFonts w:ascii="Times New Roman" w:hAnsi="Times New Roman" w:cs="Times New Roman"/>
          <w:sz w:val="24"/>
          <w:szCs w:val="24"/>
        </w:rPr>
        <w:t xml:space="preserve"> paragraph by paragraph as if </w:t>
      </w:r>
      <w:r w:rsidR="00467ADD">
        <w:rPr>
          <w:rFonts w:ascii="Times New Roman" w:hAnsi="Times New Roman" w:cs="Times New Roman"/>
          <w:sz w:val="24"/>
          <w:szCs w:val="24"/>
        </w:rPr>
        <w:t>he</w:t>
      </w:r>
      <w:r w:rsidR="0080732E">
        <w:rPr>
          <w:rFonts w:ascii="Times New Roman" w:hAnsi="Times New Roman" w:cs="Times New Roman"/>
          <w:sz w:val="24"/>
          <w:szCs w:val="24"/>
        </w:rPr>
        <w:t xml:space="preserve"> was responding to a founding affidavit. </w:t>
      </w:r>
      <w:r w:rsidR="00467ADD">
        <w:rPr>
          <w:rFonts w:ascii="Times New Roman" w:hAnsi="Times New Roman" w:cs="Times New Roman"/>
          <w:sz w:val="24"/>
          <w:szCs w:val="24"/>
        </w:rPr>
        <w:t xml:space="preserve">He </w:t>
      </w:r>
      <w:r w:rsidR="0080732E">
        <w:rPr>
          <w:rFonts w:ascii="Times New Roman" w:hAnsi="Times New Roman" w:cs="Times New Roman"/>
          <w:sz w:val="24"/>
          <w:szCs w:val="24"/>
        </w:rPr>
        <w:t xml:space="preserve">denied that construction work on the property had not commenced. </w:t>
      </w:r>
      <w:r w:rsidR="00467ADD">
        <w:rPr>
          <w:rFonts w:ascii="Times New Roman" w:hAnsi="Times New Roman" w:cs="Times New Roman"/>
          <w:sz w:val="24"/>
          <w:szCs w:val="24"/>
        </w:rPr>
        <w:t xml:space="preserve">He </w:t>
      </w:r>
      <w:r w:rsidR="0080732E">
        <w:rPr>
          <w:rFonts w:ascii="Times New Roman" w:hAnsi="Times New Roman" w:cs="Times New Roman"/>
          <w:sz w:val="24"/>
          <w:szCs w:val="24"/>
        </w:rPr>
        <w:t xml:space="preserve">attached to </w:t>
      </w:r>
      <w:r w:rsidR="00467ADD">
        <w:rPr>
          <w:rFonts w:ascii="Times New Roman" w:hAnsi="Times New Roman" w:cs="Times New Roman"/>
          <w:sz w:val="24"/>
          <w:szCs w:val="24"/>
        </w:rPr>
        <w:t xml:space="preserve">the </w:t>
      </w:r>
      <w:r w:rsidR="0080732E">
        <w:rPr>
          <w:rFonts w:ascii="Times New Roman" w:hAnsi="Times New Roman" w:cs="Times New Roman"/>
          <w:sz w:val="24"/>
          <w:szCs w:val="24"/>
        </w:rPr>
        <w:t xml:space="preserve">affidavit a copy of an approved plan drawn on 4 February 2010, and approved by the City </w:t>
      </w:r>
      <w:r w:rsidR="00464B51">
        <w:rPr>
          <w:rFonts w:ascii="Times New Roman" w:hAnsi="Times New Roman" w:cs="Times New Roman"/>
          <w:sz w:val="24"/>
          <w:szCs w:val="24"/>
        </w:rPr>
        <w:t xml:space="preserve">of Harare. </w:t>
      </w:r>
      <w:r w:rsidR="00C37765">
        <w:rPr>
          <w:rFonts w:ascii="Times New Roman" w:hAnsi="Times New Roman" w:cs="Times New Roman"/>
          <w:sz w:val="24"/>
          <w:szCs w:val="24"/>
        </w:rPr>
        <w:t xml:space="preserve">That plan was not tendered in evidence as part of the </w:t>
      </w:r>
      <w:r w:rsidR="00592237">
        <w:rPr>
          <w:rFonts w:ascii="Times New Roman" w:hAnsi="Times New Roman" w:cs="Times New Roman"/>
          <w:sz w:val="24"/>
          <w:szCs w:val="24"/>
        </w:rPr>
        <w:t xml:space="preserve">plaintiffs’ case. </w:t>
      </w:r>
      <w:r w:rsidR="00467ADD">
        <w:rPr>
          <w:rFonts w:ascii="Times New Roman" w:hAnsi="Times New Roman" w:cs="Times New Roman"/>
          <w:sz w:val="24"/>
          <w:szCs w:val="24"/>
        </w:rPr>
        <w:t xml:space="preserve">He </w:t>
      </w:r>
      <w:r w:rsidR="00592237">
        <w:rPr>
          <w:rFonts w:ascii="Times New Roman" w:hAnsi="Times New Roman" w:cs="Times New Roman"/>
          <w:sz w:val="24"/>
          <w:szCs w:val="24"/>
        </w:rPr>
        <w:t xml:space="preserve">argued that the lease agreement remained valid since no allegations of breach had been alleged by </w:t>
      </w:r>
      <w:r w:rsidR="00467ADD">
        <w:rPr>
          <w:rFonts w:ascii="Times New Roman" w:hAnsi="Times New Roman" w:cs="Times New Roman"/>
          <w:sz w:val="24"/>
          <w:szCs w:val="24"/>
        </w:rPr>
        <w:t>e</w:t>
      </w:r>
      <w:r w:rsidR="00592237">
        <w:rPr>
          <w:rFonts w:ascii="Times New Roman" w:hAnsi="Times New Roman" w:cs="Times New Roman"/>
          <w:sz w:val="24"/>
          <w:szCs w:val="24"/>
        </w:rPr>
        <w:t xml:space="preserve">ither party. First defendant could not declare the lease agreement to have been breached when it was not party thereto. </w:t>
      </w:r>
      <w:r w:rsidR="005276A7">
        <w:rPr>
          <w:rFonts w:ascii="Times New Roman" w:hAnsi="Times New Roman" w:cs="Times New Roman"/>
          <w:sz w:val="24"/>
          <w:szCs w:val="24"/>
        </w:rPr>
        <w:t xml:space="preserve">Mr </w:t>
      </w:r>
      <w:r w:rsidR="005276A7" w:rsidRPr="005276A7">
        <w:rPr>
          <w:rFonts w:ascii="Times New Roman" w:hAnsi="Times New Roman" w:cs="Times New Roman"/>
          <w:i/>
          <w:sz w:val="24"/>
          <w:szCs w:val="24"/>
        </w:rPr>
        <w:t xml:space="preserve">Matsanura </w:t>
      </w:r>
      <w:r w:rsidR="005276A7">
        <w:rPr>
          <w:rFonts w:ascii="Times New Roman" w:hAnsi="Times New Roman" w:cs="Times New Roman"/>
          <w:sz w:val="24"/>
          <w:szCs w:val="24"/>
        </w:rPr>
        <w:t xml:space="preserve">further </w:t>
      </w:r>
      <w:r w:rsidR="00592237">
        <w:rPr>
          <w:rFonts w:ascii="Times New Roman" w:hAnsi="Times New Roman" w:cs="Times New Roman"/>
          <w:sz w:val="24"/>
          <w:szCs w:val="24"/>
        </w:rPr>
        <w:t xml:space="preserve">averred that the validity of the lease agreement was confirmed by the second defendant on several occasions. </w:t>
      </w:r>
      <w:r w:rsidR="005276A7">
        <w:rPr>
          <w:rFonts w:ascii="Times New Roman" w:hAnsi="Times New Roman" w:cs="Times New Roman"/>
          <w:sz w:val="24"/>
          <w:szCs w:val="24"/>
        </w:rPr>
        <w:t>He attached to his</w:t>
      </w:r>
      <w:r w:rsidR="00592237">
        <w:rPr>
          <w:rFonts w:ascii="Times New Roman" w:hAnsi="Times New Roman" w:cs="Times New Roman"/>
          <w:sz w:val="24"/>
          <w:szCs w:val="24"/>
        </w:rPr>
        <w:t xml:space="preserve"> affidavit a letter from the second defendant as well as the second defendant’s summary of evidence. The said letter was not tendered during the plaintiff’s case. The summary of evidence was only filed following the joinder of the second defendant. </w:t>
      </w:r>
    </w:p>
    <w:p w14:paraId="07643EBC" w14:textId="67CA9895" w:rsidR="00592237" w:rsidRDefault="00592237" w:rsidP="00567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76A7">
        <w:rPr>
          <w:rFonts w:ascii="Times New Roman" w:hAnsi="Times New Roman" w:cs="Times New Roman"/>
          <w:sz w:val="24"/>
          <w:szCs w:val="24"/>
        </w:rPr>
        <w:t xml:space="preserve">Mr </w:t>
      </w:r>
      <w:r w:rsidR="005276A7" w:rsidRPr="005276A7">
        <w:rPr>
          <w:rFonts w:ascii="Times New Roman" w:hAnsi="Times New Roman" w:cs="Times New Roman"/>
          <w:i/>
          <w:sz w:val="24"/>
          <w:szCs w:val="24"/>
        </w:rPr>
        <w:t xml:space="preserve">Matsanura </w:t>
      </w:r>
      <w:r>
        <w:rPr>
          <w:rFonts w:ascii="Times New Roman" w:hAnsi="Times New Roman" w:cs="Times New Roman"/>
          <w:sz w:val="24"/>
          <w:szCs w:val="24"/>
        </w:rPr>
        <w:t>insisted that the lease agreement gave the plaintiffs absolute rights over the propert</w:t>
      </w:r>
      <w:r w:rsidR="005276A7">
        <w:rPr>
          <w:rFonts w:ascii="Times New Roman" w:hAnsi="Times New Roman" w:cs="Times New Roman"/>
          <w:sz w:val="24"/>
          <w:szCs w:val="24"/>
        </w:rPr>
        <w:t xml:space="preserve">y. In asserting so </w:t>
      </w:r>
      <w:r>
        <w:rPr>
          <w:rFonts w:ascii="Times New Roman" w:hAnsi="Times New Roman" w:cs="Times New Roman"/>
          <w:sz w:val="24"/>
          <w:szCs w:val="24"/>
        </w:rPr>
        <w:t>he relied on clause 12 of the lease agreement which reads:</w:t>
      </w:r>
    </w:p>
    <w:p w14:paraId="5B97E503" w14:textId="77777777" w:rsidR="00C22DFE" w:rsidRDefault="00592237" w:rsidP="00C22DFE">
      <w:pPr>
        <w:spacing w:after="0" w:line="240" w:lineRule="auto"/>
        <w:ind w:left="720"/>
        <w:jc w:val="both"/>
        <w:rPr>
          <w:rFonts w:ascii="Times New Roman" w:hAnsi="Times New Roman" w:cs="Times New Roman"/>
        </w:rPr>
      </w:pPr>
      <w:r w:rsidRPr="00C22DFE">
        <w:rPr>
          <w:rFonts w:ascii="Times New Roman" w:hAnsi="Times New Roman" w:cs="Times New Roman"/>
        </w:rPr>
        <w:t xml:space="preserve">“THAT the Lessee shall not cede or assign this lease or sublet or part with possession of the stand or any part thereof </w:t>
      </w:r>
      <w:r w:rsidR="00C22DFE" w:rsidRPr="00C22DFE">
        <w:rPr>
          <w:rFonts w:ascii="Times New Roman" w:hAnsi="Times New Roman" w:cs="Times New Roman"/>
        </w:rPr>
        <w:t>or alienate</w:t>
      </w:r>
      <w:r w:rsidR="00C22DFE">
        <w:rPr>
          <w:rFonts w:ascii="Times New Roman" w:hAnsi="Times New Roman" w:cs="Times New Roman"/>
        </w:rPr>
        <w:t xml:space="preserve">, mortgage, donate, or otherwise dispose of the same…” </w:t>
      </w:r>
      <w:r w:rsidR="00C22DFE" w:rsidRPr="00C22DFE">
        <w:rPr>
          <w:rFonts w:ascii="Times New Roman" w:hAnsi="Times New Roman" w:cs="Times New Roman"/>
        </w:rPr>
        <w:t xml:space="preserve"> </w:t>
      </w:r>
    </w:p>
    <w:p w14:paraId="5610520C" w14:textId="77777777" w:rsidR="00C22DFE" w:rsidRDefault="00C22DFE" w:rsidP="00C22DFE">
      <w:pPr>
        <w:spacing w:after="0" w:line="240" w:lineRule="auto"/>
        <w:jc w:val="both"/>
        <w:rPr>
          <w:rFonts w:ascii="Times New Roman" w:hAnsi="Times New Roman" w:cs="Times New Roman"/>
        </w:rPr>
      </w:pPr>
    </w:p>
    <w:p w14:paraId="1BA28678" w14:textId="0F6C2818" w:rsidR="006E13D4" w:rsidRDefault="005276A7" w:rsidP="00C22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w:t>
      </w:r>
      <w:r w:rsidR="00C22DFE">
        <w:rPr>
          <w:rFonts w:ascii="Times New Roman" w:hAnsi="Times New Roman" w:cs="Times New Roman"/>
          <w:sz w:val="24"/>
          <w:szCs w:val="24"/>
        </w:rPr>
        <w:t>argued that the</w:t>
      </w:r>
      <w:r>
        <w:rPr>
          <w:rFonts w:ascii="Times New Roman" w:hAnsi="Times New Roman" w:cs="Times New Roman"/>
          <w:sz w:val="24"/>
          <w:szCs w:val="24"/>
        </w:rPr>
        <w:t xml:space="preserve"> plaintiffs co</w:t>
      </w:r>
      <w:r w:rsidR="00C22DFE">
        <w:rPr>
          <w:rFonts w:ascii="Times New Roman" w:hAnsi="Times New Roman" w:cs="Times New Roman"/>
          <w:sz w:val="24"/>
          <w:szCs w:val="24"/>
        </w:rPr>
        <w:t xml:space="preserve">uld not be restrained from parting with the possession that they did </w:t>
      </w:r>
      <w:r w:rsidR="00F85E27">
        <w:rPr>
          <w:rFonts w:ascii="Times New Roman" w:hAnsi="Times New Roman" w:cs="Times New Roman"/>
          <w:sz w:val="24"/>
          <w:szCs w:val="24"/>
        </w:rPr>
        <w:t xml:space="preserve">not </w:t>
      </w:r>
      <w:r w:rsidR="00F85E27" w:rsidRPr="00C22DFE">
        <w:rPr>
          <w:rFonts w:ascii="Times New Roman" w:hAnsi="Times New Roman" w:cs="Times New Roman"/>
          <w:sz w:val="24"/>
          <w:szCs w:val="24"/>
        </w:rPr>
        <w:t>have</w:t>
      </w:r>
      <w:r w:rsidR="00C22DFE">
        <w:rPr>
          <w:rFonts w:ascii="Times New Roman" w:hAnsi="Times New Roman" w:cs="Times New Roman"/>
          <w:sz w:val="24"/>
          <w:szCs w:val="24"/>
        </w:rPr>
        <w:t xml:space="preserve"> in the first place. </w:t>
      </w:r>
      <w:r>
        <w:rPr>
          <w:rFonts w:ascii="Times New Roman" w:hAnsi="Times New Roman" w:cs="Times New Roman"/>
          <w:sz w:val="24"/>
          <w:szCs w:val="24"/>
        </w:rPr>
        <w:t>He</w:t>
      </w:r>
      <w:r w:rsidR="00F85E27">
        <w:rPr>
          <w:rFonts w:ascii="Times New Roman" w:hAnsi="Times New Roman" w:cs="Times New Roman"/>
          <w:sz w:val="24"/>
          <w:szCs w:val="24"/>
        </w:rPr>
        <w:t xml:space="preserve"> further argued that the second defendant even denied allocating the property to the first defendant. </w:t>
      </w:r>
      <w:r>
        <w:rPr>
          <w:rFonts w:ascii="Times New Roman" w:hAnsi="Times New Roman" w:cs="Times New Roman"/>
          <w:sz w:val="24"/>
          <w:szCs w:val="24"/>
        </w:rPr>
        <w:t xml:space="preserve">The second defendant </w:t>
      </w:r>
      <w:r w:rsidR="00241190">
        <w:rPr>
          <w:rFonts w:ascii="Times New Roman" w:hAnsi="Times New Roman" w:cs="Times New Roman"/>
          <w:sz w:val="24"/>
          <w:szCs w:val="24"/>
        </w:rPr>
        <w:t xml:space="preserve">recognised the plaintiffs as the leaseholders. </w:t>
      </w:r>
    </w:p>
    <w:p w14:paraId="58E03C91" w14:textId="5FD825B2" w:rsidR="00841665" w:rsidRDefault="00841665" w:rsidP="00C22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76A7">
        <w:rPr>
          <w:rFonts w:ascii="Times New Roman" w:hAnsi="Times New Roman" w:cs="Times New Roman"/>
          <w:sz w:val="24"/>
          <w:szCs w:val="24"/>
        </w:rPr>
        <w:t xml:space="preserve">Counsel </w:t>
      </w:r>
      <w:r>
        <w:rPr>
          <w:rFonts w:ascii="Times New Roman" w:hAnsi="Times New Roman" w:cs="Times New Roman"/>
          <w:sz w:val="24"/>
          <w:szCs w:val="24"/>
        </w:rPr>
        <w:t xml:space="preserve">insisted that </w:t>
      </w:r>
      <w:r w:rsidR="005276A7">
        <w:rPr>
          <w:rFonts w:ascii="Times New Roman" w:hAnsi="Times New Roman" w:cs="Times New Roman"/>
          <w:sz w:val="24"/>
          <w:szCs w:val="24"/>
        </w:rPr>
        <w:t xml:space="preserve">the plaintiffs </w:t>
      </w:r>
      <w:r>
        <w:rPr>
          <w:rFonts w:ascii="Times New Roman" w:hAnsi="Times New Roman" w:cs="Times New Roman"/>
          <w:sz w:val="24"/>
          <w:szCs w:val="24"/>
        </w:rPr>
        <w:t xml:space="preserve">had established a </w:t>
      </w:r>
      <w:r w:rsidRPr="00841665">
        <w:rPr>
          <w:rFonts w:ascii="Times New Roman" w:hAnsi="Times New Roman" w:cs="Times New Roman"/>
          <w:i/>
          <w:sz w:val="24"/>
          <w:szCs w:val="24"/>
        </w:rPr>
        <w:t>prima facie</w:t>
      </w:r>
      <w:r>
        <w:rPr>
          <w:rFonts w:ascii="Times New Roman" w:hAnsi="Times New Roman" w:cs="Times New Roman"/>
          <w:sz w:val="24"/>
          <w:szCs w:val="24"/>
        </w:rPr>
        <w:t xml:space="preserve"> case. </w:t>
      </w:r>
      <w:r w:rsidR="00C3623B">
        <w:rPr>
          <w:rFonts w:ascii="Times New Roman" w:hAnsi="Times New Roman" w:cs="Times New Roman"/>
          <w:sz w:val="24"/>
          <w:szCs w:val="24"/>
        </w:rPr>
        <w:t xml:space="preserve">Their evidence proved that a valid lease agreement existed. Rentals were paid in compliance with the lease agreement. The balance of the purchase price was paid. </w:t>
      </w:r>
      <w:r w:rsidR="000068A2">
        <w:rPr>
          <w:rFonts w:ascii="Times New Roman" w:hAnsi="Times New Roman" w:cs="Times New Roman"/>
          <w:sz w:val="24"/>
          <w:szCs w:val="24"/>
        </w:rPr>
        <w:t xml:space="preserve">The owner of the property had confirmed that the first defendant was never allocated the land. </w:t>
      </w:r>
      <w:r w:rsidR="005276A7">
        <w:rPr>
          <w:rFonts w:ascii="Times New Roman" w:hAnsi="Times New Roman" w:cs="Times New Roman"/>
          <w:sz w:val="24"/>
          <w:szCs w:val="24"/>
        </w:rPr>
        <w:t>He</w:t>
      </w:r>
      <w:r w:rsidR="000068A2">
        <w:rPr>
          <w:rFonts w:ascii="Times New Roman" w:hAnsi="Times New Roman" w:cs="Times New Roman"/>
          <w:sz w:val="24"/>
          <w:szCs w:val="24"/>
        </w:rPr>
        <w:t xml:space="preserve"> urged the court to dismiss the application for absolution with costs on the legal practitioner and client scale </w:t>
      </w:r>
    </w:p>
    <w:p w14:paraId="1134C261" w14:textId="77777777" w:rsidR="005276A7" w:rsidRDefault="005276A7" w:rsidP="00C22DFE">
      <w:pPr>
        <w:spacing w:after="0" w:line="360" w:lineRule="auto"/>
        <w:jc w:val="both"/>
        <w:rPr>
          <w:rFonts w:ascii="Times New Roman" w:hAnsi="Times New Roman" w:cs="Times New Roman"/>
          <w:sz w:val="24"/>
          <w:szCs w:val="24"/>
        </w:rPr>
      </w:pPr>
    </w:p>
    <w:p w14:paraId="3011B7FD" w14:textId="77777777" w:rsidR="005276A7" w:rsidRDefault="005276A7" w:rsidP="00C22DFE">
      <w:pPr>
        <w:spacing w:after="0" w:line="360" w:lineRule="auto"/>
        <w:jc w:val="both"/>
        <w:rPr>
          <w:rFonts w:ascii="Times New Roman" w:hAnsi="Times New Roman" w:cs="Times New Roman"/>
          <w:sz w:val="24"/>
          <w:szCs w:val="24"/>
        </w:rPr>
      </w:pPr>
    </w:p>
    <w:p w14:paraId="7E98C6DB" w14:textId="6BD493B2" w:rsidR="00F439C6" w:rsidRDefault="00524BD5" w:rsidP="00E954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Analysis </w:t>
      </w:r>
    </w:p>
    <w:p w14:paraId="30D9DA51" w14:textId="022D72DA" w:rsidR="00F439C6" w:rsidRDefault="00B5787E" w:rsidP="007F6644">
      <w:pPr>
        <w:spacing w:after="0" w:line="360" w:lineRule="auto"/>
        <w:jc w:val="both"/>
        <w:rPr>
          <w:rFonts w:ascii="Times New Roman" w:hAnsi="Times New Roman" w:cs="Times New Roman"/>
          <w:sz w:val="24"/>
          <w:szCs w:val="24"/>
        </w:rPr>
      </w:pPr>
      <w:r w:rsidRPr="00B5787E">
        <w:rPr>
          <w:rFonts w:ascii="Times New Roman" w:hAnsi="Times New Roman" w:cs="Times New Roman"/>
          <w:sz w:val="24"/>
          <w:szCs w:val="24"/>
        </w:rPr>
        <w:tab/>
      </w:r>
      <w:r w:rsidR="000068A2">
        <w:rPr>
          <w:rFonts w:ascii="Times New Roman" w:hAnsi="Times New Roman" w:cs="Times New Roman"/>
          <w:sz w:val="24"/>
          <w:szCs w:val="24"/>
        </w:rPr>
        <w:t>After the filing of the closing submissions, counsel were invited to address the court on the preliminary points raised by the plaintiffs as well as clarify other aspects of the</w:t>
      </w:r>
      <w:r w:rsidR="005276A7">
        <w:rPr>
          <w:rFonts w:ascii="Times New Roman" w:hAnsi="Times New Roman" w:cs="Times New Roman"/>
          <w:sz w:val="24"/>
          <w:szCs w:val="24"/>
        </w:rPr>
        <w:t>ir</w:t>
      </w:r>
      <w:r w:rsidR="000068A2">
        <w:rPr>
          <w:rFonts w:ascii="Times New Roman" w:hAnsi="Times New Roman" w:cs="Times New Roman"/>
          <w:sz w:val="24"/>
          <w:szCs w:val="24"/>
        </w:rPr>
        <w:t xml:space="preserve"> submissions.</w:t>
      </w:r>
      <w:r w:rsidR="008F5A01">
        <w:rPr>
          <w:rFonts w:ascii="Times New Roman" w:hAnsi="Times New Roman" w:cs="Times New Roman"/>
          <w:sz w:val="24"/>
          <w:szCs w:val="24"/>
        </w:rPr>
        <w:t xml:space="preserve"> The </w:t>
      </w:r>
      <w:r w:rsidR="005276A7">
        <w:rPr>
          <w:rFonts w:ascii="Times New Roman" w:hAnsi="Times New Roman" w:cs="Times New Roman"/>
          <w:sz w:val="24"/>
          <w:szCs w:val="24"/>
        </w:rPr>
        <w:t xml:space="preserve">first </w:t>
      </w:r>
      <w:r w:rsidR="008F5A01">
        <w:rPr>
          <w:rFonts w:ascii="Times New Roman" w:hAnsi="Times New Roman" w:cs="Times New Roman"/>
          <w:sz w:val="24"/>
          <w:szCs w:val="24"/>
        </w:rPr>
        <w:t>preliminary point</w:t>
      </w:r>
      <w:r w:rsidR="005276A7">
        <w:rPr>
          <w:rFonts w:ascii="Times New Roman" w:hAnsi="Times New Roman" w:cs="Times New Roman"/>
          <w:sz w:val="24"/>
          <w:szCs w:val="24"/>
        </w:rPr>
        <w:t xml:space="preserve"> was </w:t>
      </w:r>
      <w:r w:rsidR="008F5A01">
        <w:rPr>
          <w:rFonts w:ascii="Times New Roman" w:hAnsi="Times New Roman" w:cs="Times New Roman"/>
          <w:sz w:val="24"/>
          <w:szCs w:val="24"/>
        </w:rPr>
        <w:t>t</w:t>
      </w:r>
      <w:r w:rsidR="005276A7">
        <w:rPr>
          <w:rFonts w:ascii="Times New Roman" w:hAnsi="Times New Roman" w:cs="Times New Roman"/>
          <w:sz w:val="24"/>
          <w:szCs w:val="24"/>
        </w:rPr>
        <w:t>hat</w:t>
      </w:r>
      <w:r w:rsidR="008F5A01">
        <w:rPr>
          <w:rFonts w:ascii="Times New Roman" w:hAnsi="Times New Roman" w:cs="Times New Roman"/>
          <w:sz w:val="24"/>
          <w:szCs w:val="24"/>
        </w:rPr>
        <w:t xml:space="preserve"> the application for absolution was defective for want of compliance with the application procedure per r 59(1) of the Rules. The second point was that the application for absolution was defective, relying as it did, on alleged breaches to a contract that the first defendant was not part to. Following </w:t>
      </w:r>
      <w:r w:rsidR="005276A7">
        <w:rPr>
          <w:rFonts w:ascii="Times New Roman" w:hAnsi="Times New Roman" w:cs="Times New Roman"/>
          <w:sz w:val="24"/>
          <w:szCs w:val="24"/>
        </w:rPr>
        <w:t xml:space="preserve">oral </w:t>
      </w:r>
      <w:r w:rsidR="008F5A01">
        <w:rPr>
          <w:rFonts w:ascii="Times New Roman" w:hAnsi="Times New Roman" w:cs="Times New Roman"/>
          <w:sz w:val="24"/>
          <w:szCs w:val="24"/>
        </w:rPr>
        <w:t xml:space="preserve">submissions </w:t>
      </w:r>
      <w:r w:rsidR="005276A7">
        <w:rPr>
          <w:rFonts w:ascii="Times New Roman" w:hAnsi="Times New Roman" w:cs="Times New Roman"/>
          <w:sz w:val="24"/>
          <w:szCs w:val="24"/>
        </w:rPr>
        <w:t xml:space="preserve">by </w:t>
      </w:r>
      <w:r w:rsidR="008F5A01">
        <w:rPr>
          <w:rFonts w:ascii="Times New Roman" w:hAnsi="Times New Roman" w:cs="Times New Roman"/>
          <w:sz w:val="24"/>
          <w:szCs w:val="24"/>
        </w:rPr>
        <w:t xml:space="preserve">counsel and exchanges with the court, Mr </w:t>
      </w:r>
      <w:r w:rsidR="008F5A01" w:rsidRPr="008F5A01">
        <w:rPr>
          <w:rFonts w:ascii="Times New Roman" w:hAnsi="Times New Roman" w:cs="Times New Roman"/>
          <w:i/>
          <w:sz w:val="24"/>
          <w:szCs w:val="24"/>
        </w:rPr>
        <w:t>Matsanura</w:t>
      </w:r>
      <w:r w:rsidR="005276A7">
        <w:rPr>
          <w:rFonts w:ascii="Times New Roman" w:hAnsi="Times New Roman" w:cs="Times New Roman"/>
          <w:sz w:val="24"/>
          <w:szCs w:val="24"/>
        </w:rPr>
        <w:t xml:space="preserve"> understandably </w:t>
      </w:r>
      <w:r w:rsidR="008F5A01">
        <w:rPr>
          <w:rFonts w:ascii="Times New Roman" w:hAnsi="Times New Roman" w:cs="Times New Roman"/>
          <w:sz w:val="24"/>
          <w:szCs w:val="24"/>
        </w:rPr>
        <w:t>abandoned both preliminary points</w:t>
      </w:r>
      <w:r w:rsidR="005276A7">
        <w:rPr>
          <w:rFonts w:ascii="Times New Roman" w:hAnsi="Times New Roman" w:cs="Times New Roman"/>
          <w:sz w:val="24"/>
          <w:szCs w:val="24"/>
        </w:rPr>
        <w:t xml:space="preserve"> for lack of merit</w:t>
      </w:r>
      <w:r w:rsidR="008F5A01">
        <w:rPr>
          <w:rFonts w:ascii="Times New Roman" w:hAnsi="Times New Roman" w:cs="Times New Roman"/>
          <w:sz w:val="24"/>
          <w:szCs w:val="24"/>
        </w:rPr>
        <w:t>. Rule 56(6) does not require that an application for absolution be made in terms of r 59. It provides as follows:</w:t>
      </w:r>
    </w:p>
    <w:p w14:paraId="358EDF4B" w14:textId="11471AB6" w:rsidR="008F5A01" w:rsidRDefault="008F5A01" w:rsidP="009D3A45">
      <w:pPr>
        <w:autoSpaceDE w:val="0"/>
        <w:autoSpaceDN w:val="0"/>
        <w:adjustRightInd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F5A01">
        <w:rPr>
          <w:rFonts w:ascii="Times New Roman" w:hAnsi="Times New Roman" w:cs="Times New Roman"/>
        </w:rPr>
        <w:t>56(6) At the</w:t>
      </w:r>
      <w:r>
        <w:rPr>
          <w:rFonts w:ascii="Times New Roman" w:hAnsi="Times New Roman" w:cs="Times New Roman"/>
          <w:sz w:val="21"/>
          <w:szCs w:val="21"/>
        </w:rPr>
        <w:t xml:space="preserve"> close of the case for the plaintiff, the defendant may apply for absolution from the instance, in which event the defendant or his or her counsel on his or her behalf </w:t>
      </w:r>
      <w:r w:rsidRPr="00C14CEB">
        <w:rPr>
          <w:rFonts w:ascii="Times New Roman" w:hAnsi="Times New Roman" w:cs="Times New Roman"/>
          <w:sz w:val="21"/>
          <w:szCs w:val="21"/>
          <w:u w:val="single"/>
        </w:rPr>
        <w:t>may address</w:t>
      </w:r>
      <w:r>
        <w:rPr>
          <w:rFonts w:ascii="Times New Roman" w:hAnsi="Times New Roman" w:cs="Times New Roman"/>
          <w:sz w:val="21"/>
          <w:szCs w:val="21"/>
        </w:rPr>
        <w:t xml:space="preserve"> the court and the plaintiff or his or her counsel on his or her behalf may reply. The </w:t>
      </w:r>
      <w:r w:rsidRPr="00C14CEB">
        <w:rPr>
          <w:rFonts w:ascii="Times New Roman" w:hAnsi="Times New Roman" w:cs="Times New Roman"/>
          <w:sz w:val="21"/>
          <w:szCs w:val="21"/>
          <w:u w:val="single"/>
        </w:rPr>
        <w:t>defendant or his or her counsel may thereupon reply on any matter arising out of the address</w:t>
      </w:r>
      <w:r>
        <w:rPr>
          <w:rFonts w:ascii="Times New Roman" w:hAnsi="Times New Roman" w:cs="Times New Roman"/>
          <w:sz w:val="21"/>
          <w:szCs w:val="21"/>
        </w:rPr>
        <w:t xml:space="preserve"> of the plaintiff or his or her counsel.”</w:t>
      </w:r>
    </w:p>
    <w:p w14:paraId="4A257C6B" w14:textId="483F94FF" w:rsidR="00827948" w:rsidRDefault="00C14CEB" w:rsidP="00C14CE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proper reading of the rule, an application for absolution from the instance is made by way of an address to the court at the close of the plaintiff’s case. The court may however in the exercise of its discretion in terms of s 176 of the Constitution, require that litigants submit written submissions in aid of their respective positions. This is what the court directed at </w:t>
      </w:r>
      <w:r w:rsidR="001C4386">
        <w:rPr>
          <w:rFonts w:ascii="Times New Roman" w:hAnsi="Times New Roman" w:cs="Times New Roman"/>
          <w:sz w:val="24"/>
          <w:szCs w:val="24"/>
        </w:rPr>
        <w:t xml:space="preserve">the </w:t>
      </w:r>
      <w:r>
        <w:rPr>
          <w:rFonts w:ascii="Times New Roman" w:hAnsi="Times New Roman" w:cs="Times New Roman"/>
          <w:sz w:val="24"/>
          <w:szCs w:val="24"/>
        </w:rPr>
        <w:t xml:space="preserve">close of the plaintiffs’ case. The procedure that had been advocated by Mr </w:t>
      </w:r>
      <w:r w:rsidRPr="00C14CEB">
        <w:rPr>
          <w:rFonts w:ascii="Times New Roman" w:hAnsi="Times New Roman" w:cs="Times New Roman"/>
          <w:i/>
          <w:sz w:val="24"/>
          <w:szCs w:val="24"/>
        </w:rPr>
        <w:t>Matsanura</w:t>
      </w:r>
      <w:r>
        <w:rPr>
          <w:rFonts w:ascii="Times New Roman" w:hAnsi="Times New Roman" w:cs="Times New Roman"/>
          <w:sz w:val="24"/>
          <w:szCs w:val="24"/>
        </w:rPr>
        <w:t xml:space="preserve"> would result in the absurd scenario where motion proceedings are instituted within action proceedings that are at their tail end. It meant that the court would have to grapple with </w:t>
      </w:r>
      <w:r w:rsidR="003901F4">
        <w:rPr>
          <w:rFonts w:ascii="Times New Roman" w:hAnsi="Times New Roman" w:cs="Times New Roman"/>
          <w:sz w:val="24"/>
          <w:szCs w:val="24"/>
        </w:rPr>
        <w:t xml:space="preserve">new </w:t>
      </w:r>
      <w:r>
        <w:rPr>
          <w:rFonts w:ascii="Times New Roman" w:hAnsi="Times New Roman" w:cs="Times New Roman"/>
          <w:sz w:val="24"/>
          <w:szCs w:val="24"/>
        </w:rPr>
        <w:t>evidence adduced through affidavits</w:t>
      </w:r>
      <w:r w:rsidR="003901F4">
        <w:rPr>
          <w:rFonts w:ascii="Times New Roman" w:hAnsi="Times New Roman" w:cs="Times New Roman"/>
          <w:sz w:val="24"/>
          <w:szCs w:val="24"/>
        </w:rPr>
        <w:t>,</w:t>
      </w:r>
      <w:r>
        <w:rPr>
          <w:rFonts w:ascii="Times New Roman" w:hAnsi="Times New Roman" w:cs="Times New Roman"/>
          <w:sz w:val="24"/>
          <w:szCs w:val="24"/>
        </w:rPr>
        <w:t xml:space="preserve"> which </w:t>
      </w:r>
      <w:r w:rsidR="003901F4">
        <w:rPr>
          <w:rFonts w:ascii="Times New Roman" w:hAnsi="Times New Roman" w:cs="Times New Roman"/>
          <w:sz w:val="24"/>
          <w:szCs w:val="24"/>
        </w:rPr>
        <w:t xml:space="preserve">is exactly what Mr </w:t>
      </w:r>
      <w:r w:rsidR="003901F4" w:rsidRPr="003901F4">
        <w:rPr>
          <w:rFonts w:ascii="Times New Roman" w:hAnsi="Times New Roman" w:cs="Times New Roman"/>
          <w:i/>
          <w:sz w:val="24"/>
          <w:szCs w:val="24"/>
        </w:rPr>
        <w:t>Matsanura</w:t>
      </w:r>
      <w:r>
        <w:rPr>
          <w:rFonts w:ascii="Times New Roman" w:hAnsi="Times New Roman" w:cs="Times New Roman"/>
          <w:sz w:val="24"/>
          <w:szCs w:val="24"/>
        </w:rPr>
        <w:t xml:space="preserve"> sought to do in </w:t>
      </w:r>
      <w:r w:rsidR="003901F4">
        <w:rPr>
          <w:rFonts w:ascii="Times New Roman" w:hAnsi="Times New Roman" w:cs="Times New Roman"/>
          <w:sz w:val="24"/>
          <w:szCs w:val="24"/>
        </w:rPr>
        <w:t>his</w:t>
      </w:r>
      <w:r>
        <w:rPr>
          <w:rFonts w:ascii="Times New Roman" w:hAnsi="Times New Roman" w:cs="Times New Roman"/>
          <w:sz w:val="24"/>
          <w:szCs w:val="24"/>
        </w:rPr>
        <w:t xml:space="preserve"> opposing affidavit. </w:t>
      </w:r>
    </w:p>
    <w:p w14:paraId="3360BD89" w14:textId="3FF8F345" w:rsidR="00F8032F" w:rsidRDefault="00C14CEB" w:rsidP="00C14CE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opposing affidavit introduced fresh evidence that was neve</w:t>
      </w:r>
      <w:r w:rsidR="00DC4801">
        <w:rPr>
          <w:rFonts w:ascii="Times New Roman" w:hAnsi="Times New Roman" w:cs="Times New Roman"/>
          <w:sz w:val="24"/>
          <w:szCs w:val="24"/>
        </w:rPr>
        <w:t xml:space="preserve">r placed before the court in the course of the plaintiffs’ case. The plaintiffs sought to introduce new evidence through the backdoor. Once a party has closed its case, it cannot adduce further evidence in the manner attempted by the plaintiffs. To further aggravate an already untenable </w:t>
      </w:r>
      <w:r w:rsidR="003901F4">
        <w:rPr>
          <w:rFonts w:ascii="Times New Roman" w:hAnsi="Times New Roman" w:cs="Times New Roman"/>
          <w:sz w:val="24"/>
          <w:szCs w:val="24"/>
        </w:rPr>
        <w:t>situation</w:t>
      </w:r>
      <w:r w:rsidR="00DC4801">
        <w:rPr>
          <w:rFonts w:ascii="Times New Roman" w:hAnsi="Times New Roman" w:cs="Times New Roman"/>
          <w:sz w:val="24"/>
          <w:szCs w:val="24"/>
        </w:rPr>
        <w:t xml:space="preserve">, the </w:t>
      </w:r>
      <w:r w:rsidR="000807D9">
        <w:rPr>
          <w:rFonts w:ascii="Times New Roman" w:hAnsi="Times New Roman" w:cs="Times New Roman"/>
          <w:sz w:val="24"/>
          <w:szCs w:val="24"/>
        </w:rPr>
        <w:t xml:space="preserve">opposing </w:t>
      </w:r>
      <w:r w:rsidR="00DC4801">
        <w:rPr>
          <w:rFonts w:ascii="Times New Roman" w:hAnsi="Times New Roman" w:cs="Times New Roman"/>
          <w:sz w:val="24"/>
          <w:szCs w:val="24"/>
        </w:rPr>
        <w:t xml:space="preserve">affidavit itself was deposed to by </w:t>
      </w:r>
      <w:r w:rsidR="000807D9">
        <w:rPr>
          <w:rFonts w:ascii="Times New Roman" w:hAnsi="Times New Roman" w:cs="Times New Roman"/>
          <w:sz w:val="24"/>
          <w:szCs w:val="24"/>
        </w:rPr>
        <w:t xml:space="preserve">the </w:t>
      </w:r>
      <w:r w:rsidR="00DC4801">
        <w:rPr>
          <w:rFonts w:ascii="Times New Roman" w:hAnsi="Times New Roman" w:cs="Times New Roman"/>
          <w:sz w:val="24"/>
          <w:szCs w:val="24"/>
        </w:rPr>
        <w:t>plaintiff</w:t>
      </w:r>
      <w:r w:rsidR="00F8032F">
        <w:rPr>
          <w:rFonts w:ascii="Times New Roman" w:hAnsi="Times New Roman" w:cs="Times New Roman"/>
          <w:sz w:val="24"/>
          <w:szCs w:val="24"/>
        </w:rPr>
        <w:t xml:space="preserve">’s counsel who was obviously relating to matters </w:t>
      </w:r>
      <w:r w:rsidR="000807D9">
        <w:rPr>
          <w:rFonts w:ascii="Times New Roman" w:hAnsi="Times New Roman" w:cs="Times New Roman"/>
          <w:sz w:val="24"/>
          <w:szCs w:val="24"/>
        </w:rPr>
        <w:t xml:space="preserve">of an evidentiary nature </w:t>
      </w:r>
      <w:r w:rsidR="00F8032F">
        <w:rPr>
          <w:rFonts w:ascii="Times New Roman" w:hAnsi="Times New Roman" w:cs="Times New Roman"/>
          <w:sz w:val="24"/>
          <w:szCs w:val="24"/>
        </w:rPr>
        <w:t xml:space="preserve">that he </w:t>
      </w:r>
      <w:r w:rsidR="000807D9">
        <w:rPr>
          <w:rFonts w:ascii="Times New Roman" w:hAnsi="Times New Roman" w:cs="Times New Roman"/>
          <w:sz w:val="24"/>
          <w:szCs w:val="24"/>
        </w:rPr>
        <w:t>had no clue of</w:t>
      </w:r>
      <w:r w:rsidR="00F8032F">
        <w:rPr>
          <w:rFonts w:ascii="Times New Roman" w:hAnsi="Times New Roman" w:cs="Times New Roman"/>
          <w:sz w:val="24"/>
          <w:szCs w:val="24"/>
        </w:rPr>
        <w:t xml:space="preserve">. </w:t>
      </w:r>
      <w:r w:rsidR="00DC4801">
        <w:rPr>
          <w:rFonts w:ascii="Times New Roman" w:hAnsi="Times New Roman" w:cs="Times New Roman"/>
          <w:sz w:val="24"/>
          <w:szCs w:val="24"/>
        </w:rPr>
        <w:t xml:space="preserve">The court will only accept </w:t>
      </w:r>
      <w:r w:rsidR="000807D9">
        <w:rPr>
          <w:rFonts w:ascii="Times New Roman" w:hAnsi="Times New Roman" w:cs="Times New Roman"/>
          <w:sz w:val="24"/>
          <w:szCs w:val="24"/>
        </w:rPr>
        <w:t>his affida</w:t>
      </w:r>
      <w:r w:rsidR="00DC4801">
        <w:rPr>
          <w:rFonts w:ascii="Times New Roman" w:hAnsi="Times New Roman" w:cs="Times New Roman"/>
          <w:sz w:val="24"/>
          <w:szCs w:val="24"/>
        </w:rPr>
        <w:t>vit to the extent that it seeks to rebut averments made in the first defendant’s submission</w:t>
      </w:r>
      <w:r w:rsidR="000807D9">
        <w:rPr>
          <w:rFonts w:ascii="Times New Roman" w:hAnsi="Times New Roman" w:cs="Times New Roman"/>
          <w:sz w:val="24"/>
          <w:szCs w:val="24"/>
        </w:rPr>
        <w:t>s</w:t>
      </w:r>
      <w:r w:rsidR="00DC4801">
        <w:rPr>
          <w:rFonts w:ascii="Times New Roman" w:hAnsi="Times New Roman" w:cs="Times New Roman"/>
          <w:sz w:val="24"/>
          <w:szCs w:val="24"/>
        </w:rPr>
        <w:t xml:space="preserve"> without the introduction of fresh evidence. </w:t>
      </w:r>
    </w:p>
    <w:p w14:paraId="12B47252" w14:textId="5D662786" w:rsidR="00C14CEB" w:rsidRDefault="00DC4801" w:rsidP="00C14CE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8032F">
        <w:rPr>
          <w:rFonts w:ascii="Times New Roman" w:hAnsi="Times New Roman" w:cs="Times New Roman"/>
          <w:sz w:val="24"/>
          <w:szCs w:val="24"/>
        </w:rPr>
        <w:t xml:space="preserve">second preliminary point was similarly devoid of merit. </w:t>
      </w:r>
      <w:r w:rsidR="00AF6292">
        <w:rPr>
          <w:rFonts w:ascii="Times New Roman" w:hAnsi="Times New Roman" w:cs="Times New Roman"/>
          <w:sz w:val="24"/>
          <w:szCs w:val="24"/>
        </w:rPr>
        <w:t xml:space="preserve">A reading of the plaintiffs’ declaration shows that the cause of action is premised upon a lease agreement with the second </w:t>
      </w:r>
      <w:r w:rsidR="00AF6292">
        <w:rPr>
          <w:rFonts w:ascii="Times New Roman" w:hAnsi="Times New Roman" w:cs="Times New Roman"/>
          <w:sz w:val="24"/>
          <w:szCs w:val="24"/>
        </w:rPr>
        <w:lastRenderedPageBreak/>
        <w:t xml:space="preserve">defendant. In its plea, the first defendant puts in issue the existence of that lease, alleging that it had long expired and was never renewed. The existence of the lease, or its validity is therefore central to the disposal of the issue before the court. </w:t>
      </w:r>
    </w:p>
    <w:p w14:paraId="4ABED937" w14:textId="421BA8EE" w:rsidR="009D3A45" w:rsidRDefault="006B0E45" w:rsidP="006B0E45">
      <w:pPr>
        <w:spacing w:after="0" w:line="360" w:lineRule="auto"/>
        <w:ind w:firstLine="720"/>
        <w:jc w:val="both"/>
        <w:rPr>
          <w:rFonts w:ascii="Times New Roman" w:hAnsi="Times New Roman" w:cs="Times New Roman"/>
          <w:sz w:val="24"/>
          <w:szCs w:val="24"/>
        </w:rPr>
      </w:pPr>
      <w:r w:rsidRPr="006B0E45">
        <w:rPr>
          <w:rFonts w:ascii="Times New Roman" w:hAnsi="Times New Roman" w:cs="Times New Roman"/>
          <w:sz w:val="24"/>
          <w:szCs w:val="24"/>
        </w:rPr>
        <w:t xml:space="preserve">Absolution from the instance </w:t>
      </w:r>
      <w:r>
        <w:rPr>
          <w:rFonts w:ascii="Times New Roman" w:hAnsi="Times New Roman" w:cs="Times New Roman"/>
          <w:sz w:val="24"/>
          <w:szCs w:val="24"/>
        </w:rPr>
        <w:t xml:space="preserve">is a remedy available to a defendant at the close of the plaintiff’s case, </w:t>
      </w:r>
      <w:r w:rsidRPr="006B0E45">
        <w:rPr>
          <w:rFonts w:ascii="Times New Roman" w:hAnsi="Times New Roman" w:cs="Times New Roman"/>
          <w:sz w:val="24"/>
          <w:szCs w:val="24"/>
        </w:rPr>
        <w:t xml:space="preserve">if the plaintiff has failed to adduce </w:t>
      </w:r>
      <w:r>
        <w:rPr>
          <w:rFonts w:ascii="Times New Roman" w:hAnsi="Times New Roman" w:cs="Times New Roman"/>
          <w:sz w:val="24"/>
          <w:szCs w:val="24"/>
        </w:rPr>
        <w:t xml:space="preserve">such </w:t>
      </w:r>
      <w:r w:rsidRPr="006B0E45">
        <w:rPr>
          <w:rFonts w:ascii="Times New Roman" w:hAnsi="Times New Roman" w:cs="Times New Roman"/>
          <w:sz w:val="24"/>
          <w:szCs w:val="24"/>
        </w:rPr>
        <w:t>sufficient evidence upon which a reasonable court might grant judgment in favour of such plaintiff.</w:t>
      </w:r>
      <w:r>
        <w:rPr>
          <w:rFonts w:ascii="Times New Roman" w:hAnsi="Times New Roman" w:cs="Times New Roman"/>
          <w:sz w:val="24"/>
          <w:szCs w:val="24"/>
        </w:rPr>
        <w:t xml:space="preserve"> Courts are generally loath to grant a</w:t>
      </w:r>
      <w:r w:rsidRPr="006B0E45">
        <w:rPr>
          <w:rFonts w:ascii="Times New Roman" w:hAnsi="Times New Roman" w:cs="Times New Roman"/>
          <w:sz w:val="24"/>
          <w:szCs w:val="24"/>
        </w:rPr>
        <w:t xml:space="preserve">bsolution as </w:t>
      </w:r>
      <w:r w:rsidR="000807D9">
        <w:rPr>
          <w:rFonts w:ascii="Times New Roman" w:hAnsi="Times New Roman" w:cs="Times New Roman"/>
          <w:sz w:val="24"/>
          <w:szCs w:val="24"/>
        </w:rPr>
        <w:t xml:space="preserve">the remedy </w:t>
      </w:r>
      <w:r>
        <w:rPr>
          <w:rFonts w:ascii="Times New Roman" w:hAnsi="Times New Roman" w:cs="Times New Roman"/>
          <w:sz w:val="24"/>
          <w:szCs w:val="24"/>
        </w:rPr>
        <w:t xml:space="preserve">makes serious </w:t>
      </w:r>
      <w:r w:rsidR="000807D9">
        <w:rPr>
          <w:rFonts w:ascii="Times New Roman" w:hAnsi="Times New Roman" w:cs="Times New Roman"/>
          <w:sz w:val="24"/>
          <w:szCs w:val="24"/>
        </w:rPr>
        <w:t xml:space="preserve">encroachment </w:t>
      </w:r>
      <w:r>
        <w:rPr>
          <w:rFonts w:ascii="Times New Roman" w:hAnsi="Times New Roman" w:cs="Times New Roman"/>
          <w:sz w:val="24"/>
          <w:szCs w:val="24"/>
        </w:rPr>
        <w:t xml:space="preserve">into the </w:t>
      </w:r>
      <w:r w:rsidRPr="006B0E45">
        <w:rPr>
          <w:rStyle w:val="Emphasis"/>
          <w:rFonts w:ascii="Times New Roman" w:hAnsi="Times New Roman" w:cs="Times New Roman"/>
          <w:sz w:val="24"/>
          <w:szCs w:val="24"/>
        </w:rPr>
        <w:t xml:space="preserve">audi alteram partem, </w:t>
      </w:r>
      <w:r w:rsidRPr="006B0E45">
        <w:rPr>
          <w:rFonts w:ascii="Times New Roman" w:hAnsi="Times New Roman" w:cs="Times New Roman"/>
          <w:sz w:val="24"/>
          <w:szCs w:val="24"/>
        </w:rPr>
        <w:t xml:space="preserve">which </w:t>
      </w:r>
      <w:r>
        <w:rPr>
          <w:rFonts w:ascii="Times New Roman" w:hAnsi="Times New Roman" w:cs="Times New Roman"/>
          <w:sz w:val="24"/>
          <w:szCs w:val="24"/>
        </w:rPr>
        <w:t xml:space="preserve">requires the other party to be heard before a decision that affects their rights is rendered. </w:t>
      </w:r>
    </w:p>
    <w:p w14:paraId="0CE6DEE3" w14:textId="169FF357" w:rsidR="00764638" w:rsidRPr="00A14AD9" w:rsidRDefault="00764638" w:rsidP="006B0E45">
      <w:pPr>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lang w:eastAsia="en-ZW"/>
        </w:rPr>
        <w:t xml:space="preserve">In </w:t>
      </w:r>
      <w:r w:rsidRPr="00A14AD9">
        <w:rPr>
          <w:rFonts w:ascii="Times New Roman" w:hAnsi="Times New Roman"/>
          <w:i/>
          <w:sz w:val="24"/>
          <w:szCs w:val="24"/>
        </w:rPr>
        <w:t xml:space="preserve">Mazibuko </w:t>
      </w:r>
      <w:r w:rsidRPr="00C26E53">
        <w:rPr>
          <w:rFonts w:ascii="Times New Roman" w:hAnsi="Times New Roman"/>
          <w:sz w:val="24"/>
          <w:szCs w:val="24"/>
        </w:rPr>
        <w:t xml:space="preserve">v </w:t>
      </w:r>
      <w:r w:rsidRPr="00A14AD9">
        <w:rPr>
          <w:rFonts w:ascii="Times New Roman" w:hAnsi="Times New Roman"/>
          <w:i/>
          <w:sz w:val="24"/>
          <w:szCs w:val="24"/>
        </w:rPr>
        <w:t>Santam Insurance Co Ltd and Anor</w:t>
      </w:r>
      <w:r>
        <w:rPr>
          <w:rStyle w:val="FootnoteReference"/>
          <w:rFonts w:ascii="Times New Roman" w:hAnsi="Times New Roman"/>
          <w:i/>
          <w:sz w:val="24"/>
          <w:szCs w:val="24"/>
        </w:rPr>
        <w:footnoteReference w:id="2"/>
      </w:r>
      <w:r>
        <w:rPr>
          <w:rFonts w:ascii="Times New Roman" w:hAnsi="Times New Roman"/>
          <w:i/>
          <w:sz w:val="24"/>
          <w:szCs w:val="24"/>
        </w:rPr>
        <w:t xml:space="preserve">, </w:t>
      </w:r>
      <w:r>
        <w:rPr>
          <w:rFonts w:ascii="Times New Roman" w:hAnsi="Times New Roman"/>
          <w:sz w:val="24"/>
          <w:szCs w:val="24"/>
        </w:rPr>
        <w:t>the court set out the test for absolution from the instance as follows:</w:t>
      </w:r>
      <w:r w:rsidRPr="00A14AD9">
        <w:rPr>
          <w:rFonts w:ascii="Times New Roman" w:hAnsi="Times New Roman"/>
          <w:i/>
          <w:sz w:val="24"/>
          <w:szCs w:val="24"/>
        </w:rPr>
        <w:t xml:space="preserve"> </w:t>
      </w:r>
    </w:p>
    <w:p w14:paraId="1001594C" w14:textId="77777777" w:rsidR="00764638" w:rsidRPr="00764638" w:rsidRDefault="00764638" w:rsidP="00764638">
      <w:pPr>
        <w:spacing w:line="240" w:lineRule="auto"/>
        <w:ind w:left="720"/>
        <w:jc w:val="both"/>
        <w:rPr>
          <w:rFonts w:ascii="Times New Roman" w:hAnsi="Times New Roman"/>
        </w:rPr>
      </w:pPr>
      <w:r w:rsidRPr="00764638">
        <w:rPr>
          <w:rFonts w:ascii="Times New Roman" w:hAnsi="Times New Roman"/>
        </w:rPr>
        <w:t xml:space="preserve">"In an application for absolution made by the defendant at the close of the plaintiff's case the question to which the Court must address itself is </w:t>
      </w:r>
      <w:r w:rsidRPr="00764638">
        <w:rPr>
          <w:rFonts w:ascii="Times New Roman" w:hAnsi="Times New Roman"/>
          <w:u w:val="single"/>
        </w:rPr>
        <w:t>whether the plaintiff has adduced evidence upon which a court, applying its mind reasonably, could or might find for the plaintiff;</w:t>
      </w:r>
      <w:r w:rsidRPr="00764638">
        <w:rPr>
          <w:rFonts w:ascii="Times New Roman" w:hAnsi="Times New Roman"/>
        </w:rPr>
        <w:t xml:space="preserve"> in other words whether plaintiff has made out a </w:t>
      </w:r>
      <w:r w:rsidRPr="00764638">
        <w:rPr>
          <w:rFonts w:ascii="Times New Roman" w:hAnsi="Times New Roman"/>
          <w:i/>
        </w:rPr>
        <w:t>prima facie</w:t>
      </w:r>
      <w:r w:rsidRPr="00764638">
        <w:rPr>
          <w:rFonts w:ascii="Times New Roman" w:hAnsi="Times New Roman"/>
        </w:rPr>
        <w:t xml:space="preserve"> case”.  </w:t>
      </w:r>
    </w:p>
    <w:p w14:paraId="760442C0" w14:textId="47E76BDC" w:rsidR="00764638" w:rsidRPr="00764638" w:rsidRDefault="00764638" w:rsidP="00764638">
      <w:pPr>
        <w:spacing w:after="0" w:line="360" w:lineRule="auto"/>
        <w:jc w:val="both"/>
        <w:rPr>
          <w:rFonts w:ascii="Times New Roman" w:eastAsia="Times New Roman" w:hAnsi="Times New Roman" w:cs="Times New Roman"/>
          <w:sz w:val="24"/>
          <w:szCs w:val="24"/>
          <w:lang w:eastAsia="en-ZW"/>
        </w:rPr>
      </w:pPr>
      <w:r w:rsidRPr="00764638">
        <w:rPr>
          <w:rFonts w:ascii="Times New Roman" w:eastAsia="Times New Roman" w:hAnsi="Times New Roman" w:cs="Times New Roman"/>
          <w:sz w:val="24"/>
          <w:szCs w:val="24"/>
          <w:lang w:eastAsia="en-ZW"/>
        </w:rPr>
        <w:t xml:space="preserve">I </w:t>
      </w:r>
      <w:r>
        <w:rPr>
          <w:rFonts w:ascii="Times New Roman" w:eastAsia="Times New Roman" w:hAnsi="Times New Roman" w:cs="Times New Roman"/>
          <w:sz w:val="24"/>
          <w:szCs w:val="24"/>
          <w:lang w:eastAsia="en-ZW"/>
        </w:rPr>
        <w:t xml:space="preserve">associate myself with the views of the court in the </w:t>
      </w:r>
      <w:r w:rsidRPr="00764638">
        <w:rPr>
          <w:rFonts w:ascii="Times New Roman" w:eastAsia="Times New Roman" w:hAnsi="Times New Roman" w:cs="Times New Roman"/>
          <w:i/>
          <w:sz w:val="24"/>
          <w:szCs w:val="24"/>
          <w:lang w:eastAsia="en-ZW"/>
        </w:rPr>
        <w:t>Mazibuko</w:t>
      </w:r>
      <w:r>
        <w:rPr>
          <w:rFonts w:ascii="Times New Roman" w:eastAsia="Times New Roman" w:hAnsi="Times New Roman" w:cs="Times New Roman"/>
          <w:sz w:val="24"/>
          <w:szCs w:val="24"/>
          <w:lang w:eastAsia="en-ZW"/>
        </w:rPr>
        <w:t xml:space="preserve"> case. In </w:t>
      </w:r>
      <w:r w:rsidRPr="00764638">
        <w:rPr>
          <w:rFonts w:ascii="Times New Roman" w:eastAsia="Times New Roman" w:hAnsi="Times New Roman" w:cs="Times New Roman"/>
          <w:i/>
          <w:sz w:val="24"/>
          <w:szCs w:val="24"/>
          <w:lang w:eastAsia="en-ZW"/>
        </w:rPr>
        <w:t>MC Plumbing (Private) Limited v Hualong Construction (Private) Limited</w:t>
      </w:r>
      <w:r>
        <w:rPr>
          <w:rStyle w:val="FootnoteReference"/>
          <w:rFonts w:ascii="Times New Roman" w:eastAsia="Times New Roman" w:hAnsi="Times New Roman" w:cs="Times New Roman"/>
          <w:i/>
          <w:sz w:val="24"/>
          <w:szCs w:val="24"/>
          <w:lang w:eastAsia="en-ZW"/>
        </w:rPr>
        <w:footnoteReference w:id="3"/>
      </w:r>
      <w:r>
        <w:rPr>
          <w:rFonts w:ascii="Times New Roman" w:eastAsia="Times New Roman" w:hAnsi="Times New Roman" w:cs="Times New Roman"/>
          <w:b/>
          <w:sz w:val="24"/>
          <w:szCs w:val="24"/>
          <w:lang w:eastAsia="en-ZW"/>
        </w:rPr>
        <w:t xml:space="preserve">, </w:t>
      </w:r>
      <w:r w:rsidR="00AA3E69" w:rsidRPr="00AA3E69">
        <w:rPr>
          <w:rFonts w:ascii="Times New Roman" w:eastAsia="Times New Roman" w:hAnsi="Times New Roman" w:cs="Times New Roman"/>
          <w:smallCaps/>
          <w:sz w:val="24"/>
          <w:szCs w:val="24"/>
          <w:lang w:eastAsia="en-ZW"/>
        </w:rPr>
        <w:t>chigumba</w:t>
      </w:r>
      <w:r w:rsidR="00AA3E69" w:rsidRPr="00764638">
        <w:rPr>
          <w:rFonts w:ascii="Times New Roman" w:eastAsia="Times New Roman" w:hAnsi="Times New Roman" w:cs="Times New Roman"/>
          <w:sz w:val="24"/>
          <w:szCs w:val="24"/>
          <w:lang w:eastAsia="en-ZW"/>
        </w:rPr>
        <w:t xml:space="preserve"> </w:t>
      </w:r>
      <w:r w:rsidRPr="00764638">
        <w:rPr>
          <w:rFonts w:ascii="Times New Roman" w:eastAsia="Times New Roman" w:hAnsi="Times New Roman" w:cs="Times New Roman"/>
          <w:sz w:val="24"/>
          <w:szCs w:val="24"/>
          <w:lang w:eastAsia="en-ZW"/>
        </w:rPr>
        <w:t>J explained the position of the law as follows:</w:t>
      </w:r>
    </w:p>
    <w:p w14:paraId="239C85A4" w14:textId="2302825C" w:rsidR="00764638" w:rsidRDefault="00764638" w:rsidP="00F4754A">
      <w:pPr>
        <w:spacing w:after="0" w:line="240" w:lineRule="auto"/>
        <w:ind w:left="720"/>
        <w:jc w:val="both"/>
        <w:rPr>
          <w:rFonts w:ascii="Times New Roman" w:hAnsi="Times New Roman"/>
        </w:rPr>
      </w:pPr>
      <w:r w:rsidRPr="00F4754A">
        <w:rPr>
          <w:rFonts w:ascii="Times New Roman" w:eastAsia="Times New Roman" w:hAnsi="Times New Roman" w:cs="Times New Roman"/>
          <w:lang w:eastAsia="en-ZW"/>
        </w:rPr>
        <w:t>“</w:t>
      </w:r>
      <w:r w:rsidRPr="00F4754A">
        <w:rPr>
          <w:rFonts w:ascii="Times New Roman" w:hAnsi="Times New Roman"/>
        </w:rPr>
        <w:t>Absolution from the instance means that the plaintiff has not proved a case against the defendant, and it is to be distinguished from a positive finding that no claim exists against the defendant. Where a defendant has been absolved from the instance, the plaintiff may reinstitute the action provided that it has not prescribed. The rationale behind absolving a defendant from the instance is that, due to the insufficiency of the plaintiff’s evidence and failure to establish an essential element of its claim, the defendant should be spared the trouble and the expense of continuing to mount a defence to a hopeless claim.</w:t>
      </w:r>
      <w:r w:rsidR="00F4754A" w:rsidRPr="00F4754A">
        <w:rPr>
          <w:rFonts w:ascii="Times New Roman" w:hAnsi="Times New Roman"/>
        </w:rPr>
        <w:t>”</w:t>
      </w:r>
      <w:r w:rsidR="000807D9">
        <w:rPr>
          <w:rStyle w:val="FootnoteReference"/>
          <w:rFonts w:ascii="Times New Roman" w:hAnsi="Times New Roman"/>
        </w:rPr>
        <w:footnoteReference w:id="4"/>
      </w:r>
    </w:p>
    <w:p w14:paraId="6AAB5192" w14:textId="77777777" w:rsidR="006B0E45" w:rsidRPr="00F4754A" w:rsidRDefault="006B0E45" w:rsidP="00F4754A">
      <w:pPr>
        <w:spacing w:after="0" w:line="240" w:lineRule="auto"/>
        <w:ind w:left="720"/>
        <w:jc w:val="both"/>
        <w:rPr>
          <w:rFonts w:ascii="Times New Roman" w:hAnsi="Times New Roman"/>
        </w:rPr>
      </w:pPr>
    </w:p>
    <w:p w14:paraId="036C3EA1" w14:textId="35E35704" w:rsidR="006B0E45" w:rsidRDefault="006B0E45"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After the abandonment of the claim for damages, the only issue that resolves the matter is whether the plaintiffs have asserted a right that entitles them to seek the eviction of the first defendant from the property. It is common cause that the lease agreement between the plaintiffs and the second defendant was set to en</w:t>
      </w:r>
      <w:r w:rsidR="009F7FFC">
        <w:rPr>
          <w:rFonts w:ascii="Times New Roman" w:eastAsia="Times New Roman" w:hAnsi="Times New Roman" w:cs="Times New Roman"/>
          <w:sz w:val="24"/>
          <w:szCs w:val="24"/>
          <w:lang w:eastAsia="en-ZW"/>
        </w:rPr>
        <w:t xml:space="preserve">dure for a period of four years, from 9 March 2010 to 28 February 2014. The letter of 10 May 2010 from the second defendant </w:t>
      </w:r>
      <w:r w:rsidR="00F56B38">
        <w:rPr>
          <w:rFonts w:ascii="Times New Roman" w:eastAsia="Times New Roman" w:hAnsi="Times New Roman" w:cs="Times New Roman"/>
          <w:sz w:val="24"/>
          <w:szCs w:val="24"/>
          <w:lang w:eastAsia="en-ZW"/>
        </w:rPr>
        <w:t xml:space="preserve">to the plaintiffs, </w:t>
      </w:r>
      <w:r w:rsidR="009F7FFC">
        <w:rPr>
          <w:rFonts w:ascii="Times New Roman" w:eastAsia="Times New Roman" w:hAnsi="Times New Roman" w:cs="Times New Roman"/>
          <w:sz w:val="24"/>
          <w:szCs w:val="24"/>
          <w:lang w:eastAsia="en-ZW"/>
        </w:rPr>
        <w:t xml:space="preserve">which accompanied </w:t>
      </w:r>
      <w:r w:rsidR="00F56B38">
        <w:rPr>
          <w:rFonts w:ascii="Times New Roman" w:eastAsia="Times New Roman" w:hAnsi="Times New Roman" w:cs="Times New Roman"/>
          <w:sz w:val="24"/>
          <w:szCs w:val="24"/>
          <w:lang w:eastAsia="en-ZW"/>
        </w:rPr>
        <w:t>the signed</w:t>
      </w:r>
      <w:r w:rsidR="009F7FFC">
        <w:rPr>
          <w:rFonts w:ascii="Times New Roman" w:eastAsia="Times New Roman" w:hAnsi="Times New Roman" w:cs="Times New Roman"/>
          <w:sz w:val="24"/>
          <w:szCs w:val="24"/>
          <w:lang w:eastAsia="en-ZW"/>
        </w:rPr>
        <w:t xml:space="preserve"> agreement stated that buildings worth US$100,000.00 had to be erected on the property on or before 24 February 2014.  </w:t>
      </w:r>
      <w:r w:rsidR="0057721C">
        <w:rPr>
          <w:rFonts w:ascii="Times New Roman" w:eastAsia="Times New Roman" w:hAnsi="Times New Roman" w:cs="Times New Roman"/>
          <w:sz w:val="24"/>
          <w:szCs w:val="24"/>
          <w:lang w:eastAsia="en-ZW"/>
        </w:rPr>
        <w:t xml:space="preserve">The date was significant because it was the date by which the plaintiffs were expected to take occupation of the property. </w:t>
      </w:r>
    </w:p>
    <w:p w14:paraId="7D0338D5" w14:textId="4FDC9A97" w:rsidR="00F56B38" w:rsidRDefault="0057721C"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 xml:space="preserve">While I agree with Mr </w:t>
      </w:r>
      <w:r w:rsidRPr="0057721C">
        <w:rPr>
          <w:rFonts w:ascii="Times New Roman" w:eastAsia="Times New Roman" w:hAnsi="Times New Roman" w:cs="Times New Roman"/>
          <w:i/>
          <w:sz w:val="24"/>
          <w:szCs w:val="24"/>
          <w:lang w:eastAsia="en-ZW"/>
        </w:rPr>
        <w:t>Matsanura’s</w:t>
      </w:r>
      <w:r>
        <w:rPr>
          <w:rFonts w:ascii="Times New Roman" w:eastAsia="Times New Roman" w:hAnsi="Times New Roman" w:cs="Times New Roman"/>
          <w:sz w:val="24"/>
          <w:szCs w:val="24"/>
          <w:lang w:eastAsia="en-ZW"/>
        </w:rPr>
        <w:t xml:space="preserve"> submission that only the plaintiffs and the second defendant were privy to the said lease agreement, still the status of that agreement cannot escape scrutiny in these proceedings. In its plea, the defendant averred that the lease agreement had lapsed. It took occupation of the property</w:t>
      </w:r>
      <w:r w:rsidR="00F56B38">
        <w:rPr>
          <w:rFonts w:ascii="Times New Roman" w:eastAsia="Times New Roman" w:hAnsi="Times New Roman" w:cs="Times New Roman"/>
          <w:sz w:val="24"/>
          <w:szCs w:val="24"/>
          <w:lang w:eastAsia="en-ZW"/>
        </w:rPr>
        <w:t xml:space="preserve"> in 2017, having accepted an off</w:t>
      </w:r>
      <w:r>
        <w:rPr>
          <w:rFonts w:ascii="Times New Roman" w:eastAsia="Times New Roman" w:hAnsi="Times New Roman" w:cs="Times New Roman"/>
          <w:sz w:val="24"/>
          <w:szCs w:val="24"/>
          <w:lang w:eastAsia="en-ZW"/>
        </w:rPr>
        <w:t xml:space="preserve">er by the same second </w:t>
      </w:r>
      <w:r w:rsidR="00F56B38">
        <w:rPr>
          <w:rFonts w:ascii="Times New Roman" w:eastAsia="Times New Roman" w:hAnsi="Times New Roman" w:cs="Times New Roman"/>
          <w:sz w:val="24"/>
          <w:szCs w:val="24"/>
          <w:lang w:eastAsia="en-ZW"/>
        </w:rPr>
        <w:t>defendant</w:t>
      </w:r>
      <w:r>
        <w:rPr>
          <w:rFonts w:ascii="Times New Roman" w:eastAsia="Times New Roman" w:hAnsi="Times New Roman" w:cs="Times New Roman"/>
          <w:sz w:val="24"/>
          <w:szCs w:val="24"/>
          <w:lang w:eastAsia="en-ZW"/>
        </w:rPr>
        <w:t xml:space="preserve"> who signed a lease with the plaintiffs. </w:t>
      </w:r>
      <w:r w:rsidR="00F56B38">
        <w:rPr>
          <w:rFonts w:ascii="Times New Roman" w:eastAsia="Times New Roman" w:hAnsi="Times New Roman" w:cs="Times New Roman"/>
          <w:sz w:val="24"/>
          <w:szCs w:val="24"/>
          <w:lang w:eastAsia="en-ZW"/>
        </w:rPr>
        <w:t xml:space="preserve">The first defendant did so on the understanding that </w:t>
      </w:r>
      <w:r w:rsidR="004224D6">
        <w:rPr>
          <w:rFonts w:ascii="Times New Roman" w:eastAsia="Times New Roman" w:hAnsi="Times New Roman" w:cs="Times New Roman"/>
          <w:sz w:val="24"/>
          <w:szCs w:val="24"/>
          <w:lang w:eastAsia="en-ZW"/>
        </w:rPr>
        <w:t xml:space="preserve">the property was free of any leasehold. </w:t>
      </w:r>
    </w:p>
    <w:p w14:paraId="747B078E" w14:textId="647ECDC5" w:rsidR="00A44C59" w:rsidRDefault="0057721C"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plaintiffs therefore bore the onus </w:t>
      </w:r>
      <w:r w:rsidR="00BB604A">
        <w:rPr>
          <w:rFonts w:ascii="Times New Roman" w:eastAsia="Times New Roman" w:hAnsi="Times New Roman" w:cs="Times New Roman"/>
          <w:sz w:val="24"/>
          <w:szCs w:val="24"/>
          <w:lang w:eastAsia="en-ZW"/>
        </w:rPr>
        <w:t xml:space="preserve">of proving </w:t>
      </w:r>
      <w:r>
        <w:rPr>
          <w:rFonts w:ascii="Times New Roman" w:eastAsia="Times New Roman" w:hAnsi="Times New Roman" w:cs="Times New Roman"/>
          <w:sz w:val="24"/>
          <w:szCs w:val="24"/>
          <w:lang w:eastAsia="en-ZW"/>
        </w:rPr>
        <w:t xml:space="preserve">that the lease </w:t>
      </w:r>
      <w:r w:rsidR="00BB604A">
        <w:rPr>
          <w:rFonts w:ascii="Times New Roman" w:eastAsia="Times New Roman" w:hAnsi="Times New Roman" w:cs="Times New Roman"/>
          <w:sz w:val="24"/>
          <w:szCs w:val="24"/>
          <w:lang w:eastAsia="en-ZW"/>
        </w:rPr>
        <w:t xml:space="preserve">agreement </w:t>
      </w:r>
      <w:r>
        <w:rPr>
          <w:rFonts w:ascii="Times New Roman" w:eastAsia="Times New Roman" w:hAnsi="Times New Roman" w:cs="Times New Roman"/>
          <w:sz w:val="24"/>
          <w:szCs w:val="24"/>
          <w:lang w:eastAsia="en-ZW"/>
        </w:rPr>
        <w:t xml:space="preserve">was still subsisting, having been renewed after it lapsed on 28 February 2014. That was the easiest of burdens to discharge. The plaintiffs could achieve that feat in so many ways. They could place before the court evidence to show that the lease agreement was renewed, and that following its renewal they continued to comply with their obligations under the agreement. </w:t>
      </w:r>
      <w:r w:rsidR="00A44C59">
        <w:rPr>
          <w:rFonts w:ascii="Times New Roman" w:eastAsia="Times New Roman" w:hAnsi="Times New Roman" w:cs="Times New Roman"/>
          <w:sz w:val="24"/>
          <w:szCs w:val="24"/>
          <w:lang w:eastAsia="en-ZW"/>
        </w:rPr>
        <w:t xml:space="preserve">They </w:t>
      </w:r>
      <w:r w:rsidR="00BB604A">
        <w:rPr>
          <w:rFonts w:ascii="Times New Roman" w:eastAsia="Times New Roman" w:hAnsi="Times New Roman" w:cs="Times New Roman"/>
          <w:sz w:val="24"/>
          <w:szCs w:val="24"/>
          <w:lang w:eastAsia="en-ZW"/>
        </w:rPr>
        <w:t>c</w:t>
      </w:r>
      <w:r w:rsidR="00A44C59">
        <w:rPr>
          <w:rFonts w:ascii="Times New Roman" w:eastAsia="Times New Roman" w:hAnsi="Times New Roman" w:cs="Times New Roman"/>
          <w:sz w:val="24"/>
          <w:szCs w:val="24"/>
          <w:lang w:eastAsia="en-ZW"/>
        </w:rPr>
        <w:t>ould have demonstrated that the second defendant condoned the</w:t>
      </w:r>
      <w:r w:rsidR="00BB604A">
        <w:rPr>
          <w:rFonts w:ascii="Times New Roman" w:eastAsia="Times New Roman" w:hAnsi="Times New Roman" w:cs="Times New Roman"/>
          <w:sz w:val="24"/>
          <w:szCs w:val="24"/>
          <w:lang w:eastAsia="en-ZW"/>
        </w:rPr>
        <w:t>ir</w:t>
      </w:r>
      <w:r w:rsidR="00A44C59">
        <w:rPr>
          <w:rFonts w:ascii="Times New Roman" w:eastAsia="Times New Roman" w:hAnsi="Times New Roman" w:cs="Times New Roman"/>
          <w:sz w:val="24"/>
          <w:szCs w:val="24"/>
          <w:lang w:eastAsia="en-ZW"/>
        </w:rPr>
        <w:t xml:space="preserve"> failure to comply with several conditions that they were required to comply with within specific timeframes. The other easier route would have been to call the second defendant, or any of his proxies to give evidence in support of the</w:t>
      </w:r>
      <w:r w:rsidR="00BB604A">
        <w:rPr>
          <w:rFonts w:ascii="Times New Roman" w:eastAsia="Times New Roman" w:hAnsi="Times New Roman" w:cs="Times New Roman"/>
          <w:sz w:val="24"/>
          <w:szCs w:val="24"/>
          <w:lang w:eastAsia="en-ZW"/>
        </w:rPr>
        <w:t>ir cause</w:t>
      </w:r>
      <w:r w:rsidR="00A44C59">
        <w:rPr>
          <w:rFonts w:ascii="Times New Roman" w:eastAsia="Times New Roman" w:hAnsi="Times New Roman" w:cs="Times New Roman"/>
          <w:sz w:val="24"/>
          <w:szCs w:val="24"/>
          <w:lang w:eastAsia="en-ZW"/>
        </w:rPr>
        <w:t xml:space="preserve">. </w:t>
      </w:r>
    </w:p>
    <w:p w14:paraId="2D554745" w14:textId="0940A5E0" w:rsidR="00827948" w:rsidRDefault="00A44C59"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While the evidence of rental payments for the first four years was placed on record and </w:t>
      </w:r>
      <w:r w:rsidR="00BB604A">
        <w:rPr>
          <w:rFonts w:ascii="Times New Roman" w:eastAsia="Times New Roman" w:hAnsi="Times New Roman" w:cs="Times New Roman"/>
          <w:sz w:val="24"/>
          <w:szCs w:val="24"/>
          <w:lang w:eastAsia="en-ZW"/>
        </w:rPr>
        <w:t>was</w:t>
      </w:r>
      <w:r>
        <w:rPr>
          <w:rFonts w:ascii="Times New Roman" w:eastAsia="Times New Roman" w:hAnsi="Times New Roman" w:cs="Times New Roman"/>
          <w:sz w:val="24"/>
          <w:szCs w:val="24"/>
          <w:lang w:eastAsia="en-ZW"/>
        </w:rPr>
        <w:t xml:space="preserve"> not contested, th</w:t>
      </w:r>
      <w:r w:rsidR="00BB604A">
        <w:rPr>
          <w:rFonts w:ascii="Times New Roman" w:eastAsia="Times New Roman" w:hAnsi="Times New Roman" w:cs="Times New Roman"/>
          <w:sz w:val="24"/>
          <w:szCs w:val="24"/>
          <w:lang w:eastAsia="en-ZW"/>
        </w:rPr>
        <w:t xml:space="preserve">at was not the case with rentals for the period after the alleged renewal of lease </w:t>
      </w:r>
      <w:r>
        <w:rPr>
          <w:rFonts w:ascii="Times New Roman" w:eastAsia="Times New Roman" w:hAnsi="Times New Roman" w:cs="Times New Roman"/>
          <w:sz w:val="24"/>
          <w:szCs w:val="24"/>
          <w:lang w:eastAsia="en-ZW"/>
        </w:rPr>
        <w:t>beyond 2014</w:t>
      </w:r>
      <w:r w:rsidR="00BB604A">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There is also no evidence of the renewal of the lease agreement following its expiry in 2014. On 20 November 2018, the plaintiffs </w:t>
      </w:r>
      <w:r w:rsidR="00BB604A">
        <w:rPr>
          <w:rFonts w:ascii="Times New Roman" w:eastAsia="Times New Roman" w:hAnsi="Times New Roman" w:cs="Times New Roman"/>
          <w:sz w:val="24"/>
          <w:szCs w:val="24"/>
          <w:lang w:eastAsia="en-ZW"/>
        </w:rPr>
        <w:t xml:space="preserve">paid </w:t>
      </w:r>
      <w:r>
        <w:rPr>
          <w:rFonts w:ascii="Times New Roman" w:eastAsia="Times New Roman" w:hAnsi="Times New Roman" w:cs="Times New Roman"/>
          <w:sz w:val="24"/>
          <w:szCs w:val="24"/>
          <w:lang w:eastAsia="en-ZW"/>
        </w:rPr>
        <w:t xml:space="preserve">what is endorsed on the face of the receipt as the </w:t>
      </w:r>
      <w:r w:rsidRPr="00BB604A">
        <w:rPr>
          <w:rFonts w:ascii="Times New Roman" w:eastAsia="Times New Roman" w:hAnsi="Times New Roman" w:cs="Times New Roman"/>
          <w:i/>
          <w:sz w:val="24"/>
          <w:szCs w:val="24"/>
          <w:lang w:eastAsia="en-ZW"/>
        </w:rPr>
        <w:t>“balance of the purchase price”</w:t>
      </w:r>
      <w:r>
        <w:rPr>
          <w:rFonts w:ascii="Times New Roman" w:eastAsia="Times New Roman" w:hAnsi="Times New Roman" w:cs="Times New Roman"/>
          <w:sz w:val="24"/>
          <w:szCs w:val="24"/>
          <w:lang w:eastAsia="en-ZW"/>
        </w:rPr>
        <w:t xml:space="preserve">. The first plaintiff could not assertively confirm if that amount included the rentals for the period 2015 to 2018. </w:t>
      </w:r>
      <w:r w:rsidR="00D5692C">
        <w:rPr>
          <w:rFonts w:ascii="Times New Roman" w:eastAsia="Times New Roman" w:hAnsi="Times New Roman" w:cs="Times New Roman"/>
          <w:sz w:val="24"/>
          <w:szCs w:val="24"/>
          <w:lang w:eastAsia="en-ZW"/>
        </w:rPr>
        <w:t xml:space="preserve">In the absence of a confirmation by the second </w:t>
      </w:r>
      <w:r w:rsidR="00BB604A">
        <w:rPr>
          <w:rFonts w:ascii="Times New Roman" w:eastAsia="Times New Roman" w:hAnsi="Times New Roman" w:cs="Times New Roman"/>
          <w:sz w:val="24"/>
          <w:szCs w:val="24"/>
          <w:lang w:eastAsia="en-ZW"/>
        </w:rPr>
        <w:t>defendant</w:t>
      </w:r>
      <w:r w:rsidR="00D5692C">
        <w:rPr>
          <w:rFonts w:ascii="Times New Roman" w:eastAsia="Times New Roman" w:hAnsi="Times New Roman" w:cs="Times New Roman"/>
          <w:sz w:val="24"/>
          <w:szCs w:val="24"/>
          <w:lang w:eastAsia="en-ZW"/>
        </w:rPr>
        <w:t xml:space="preserve">, it is hard to accept that the said payment all but confirms that the lease was indeed renewed. </w:t>
      </w:r>
    </w:p>
    <w:p w14:paraId="48281AD0" w14:textId="56DA8B48" w:rsidR="00827948" w:rsidRDefault="00D5692C"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w:t>
      </w:r>
      <w:r w:rsidR="00BB604A">
        <w:rPr>
          <w:rFonts w:ascii="Times New Roman" w:eastAsia="Times New Roman" w:hAnsi="Times New Roman" w:cs="Times New Roman"/>
          <w:sz w:val="24"/>
          <w:szCs w:val="24"/>
          <w:lang w:eastAsia="en-ZW"/>
        </w:rPr>
        <w:t>plaintiffs’</w:t>
      </w:r>
      <w:r>
        <w:rPr>
          <w:rFonts w:ascii="Times New Roman" w:eastAsia="Times New Roman" w:hAnsi="Times New Roman" w:cs="Times New Roman"/>
          <w:sz w:val="24"/>
          <w:szCs w:val="24"/>
          <w:lang w:eastAsia="en-ZW"/>
        </w:rPr>
        <w:t xml:space="preserve"> </w:t>
      </w:r>
      <w:r w:rsidR="00BB604A">
        <w:rPr>
          <w:rFonts w:ascii="Times New Roman" w:eastAsia="Times New Roman" w:hAnsi="Times New Roman" w:cs="Times New Roman"/>
          <w:sz w:val="24"/>
          <w:szCs w:val="24"/>
          <w:lang w:eastAsia="en-ZW"/>
        </w:rPr>
        <w:t xml:space="preserve">counsel </w:t>
      </w:r>
      <w:r w:rsidR="00710C35">
        <w:rPr>
          <w:rFonts w:ascii="Times New Roman" w:eastAsia="Times New Roman" w:hAnsi="Times New Roman" w:cs="Times New Roman"/>
          <w:sz w:val="24"/>
          <w:szCs w:val="24"/>
          <w:lang w:eastAsia="en-ZW"/>
        </w:rPr>
        <w:t>sought to patch the evident gaps in the</w:t>
      </w:r>
      <w:r w:rsidR="00BB604A">
        <w:rPr>
          <w:rFonts w:ascii="Times New Roman" w:eastAsia="Times New Roman" w:hAnsi="Times New Roman" w:cs="Times New Roman"/>
          <w:sz w:val="24"/>
          <w:szCs w:val="24"/>
          <w:lang w:eastAsia="en-ZW"/>
        </w:rPr>
        <w:t xml:space="preserve"> plaintiffs’ </w:t>
      </w:r>
      <w:r w:rsidR="00710C35">
        <w:rPr>
          <w:rFonts w:ascii="Times New Roman" w:eastAsia="Times New Roman" w:hAnsi="Times New Roman" w:cs="Times New Roman"/>
          <w:sz w:val="24"/>
          <w:szCs w:val="24"/>
          <w:lang w:eastAsia="en-ZW"/>
        </w:rPr>
        <w:t xml:space="preserve">case by surreptitiously attaching the second defendant’s summary of evidence and other documentation to </w:t>
      </w:r>
      <w:r w:rsidR="00BB604A">
        <w:rPr>
          <w:rFonts w:ascii="Times New Roman" w:eastAsia="Times New Roman" w:hAnsi="Times New Roman" w:cs="Times New Roman"/>
          <w:sz w:val="24"/>
          <w:szCs w:val="24"/>
          <w:lang w:eastAsia="en-ZW"/>
        </w:rPr>
        <w:t>his opposing affidavit</w:t>
      </w:r>
      <w:r w:rsidR="00710C35">
        <w:rPr>
          <w:rFonts w:ascii="Times New Roman" w:eastAsia="Times New Roman" w:hAnsi="Times New Roman" w:cs="Times New Roman"/>
          <w:sz w:val="24"/>
          <w:szCs w:val="24"/>
          <w:lang w:eastAsia="en-ZW"/>
        </w:rPr>
        <w:t xml:space="preserve">. </w:t>
      </w:r>
      <w:r w:rsidR="00E27E3E">
        <w:rPr>
          <w:rFonts w:ascii="Times New Roman" w:eastAsia="Times New Roman" w:hAnsi="Times New Roman" w:cs="Times New Roman"/>
          <w:sz w:val="24"/>
          <w:szCs w:val="24"/>
          <w:lang w:eastAsia="en-ZW"/>
        </w:rPr>
        <w:t xml:space="preserve">These documents were never part of the </w:t>
      </w:r>
      <w:r w:rsidR="00BB604A">
        <w:rPr>
          <w:rFonts w:ascii="Times New Roman" w:eastAsia="Times New Roman" w:hAnsi="Times New Roman" w:cs="Times New Roman"/>
          <w:sz w:val="24"/>
          <w:szCs w:val="24"/>
          <w:lang w:eastAsia="en-ZW"/>
        </w:rPr>
        <w:t>plaintiffs’</w:t>
      </w:r>
      <w:r w:rsidR="00E27E3E">
        <w:rPr>
          <w:rFonts w:ascii="Times New Roman" w:eastAsia="Times New Roman" w:hAnsi="Times New Roman" w:cs="Times New Roman"/>
          <w:sz w:val="24"/>
          <w:szCs w:val="24"/>
          <w:lang w:eastAsia="en-ZW"/>
        </w:rPr>
        <w:t xml:space="preserve"> case. </w:t>
      </w:r>
      <w:r w:rsidR="00A44C59">
        <w:rPr>
          <w:rFonts w:ascii="Times New Roman" w:eastAsia="Times New Roman" w:hAnsi="Times New Roman" w:cs="Times New Roman"/>
          <w:sz w:val="24"/>
          <w:szCs w:val="24"/>
          <w:lang w:eastAsia="en-ZW"/>
        </w:rPr>
        <w:t xml:space="preserve"> </w:t>
      </w:r>
      <w:r w:rsidR="003911FE">
        <w:rPr>
          <w:rFonts w:ascii="Times New Roman" w:eastAsia="Times New Roman" w:hAnsi="Times New Roman" w:cs="Times New Roman"/>
          <w:sz w:val="24"/>
          <w:szCs w:val="24"/>
          <w:lang w:eastAsia="en-ZW"/>
        </w:rPr>
        <w:t xml:space="preserve">That was one of the most brainless things to be done by an officer of the court who deposed to that irregular document. That act betrays </w:t>
      </w:r>
      <w:r w:rsidR="00260B1E">
        <w:rPr>
          <w:rFonts w:ascii="Times New Roman" w:eastAsia="Times New Roman" w:hAnsi="Times New Roman" w:cs="Times New Roman"/>
          <w:sz w:val="24"/>
          <w:szCs w:val="24"/>
          <w:lang w:eastAsia="en-ZW"/>
        </w:rPr>
        <w:t xml:space="preserve">either </w:t>
      </w:r>
      <w:r w:rsidR="003911FE">
        <w:rPr>
          <w:rFonts w:ascii="Times New Roman" w:eastAsia="Times New Roman" w:hAnsi="Times New Roman" w:cs="Times New Roman"/>
          <w:sz w:val="24"/>
          <w:szCs w:val="24"/>
          <w:lang w:eastAsia="en-ZW"/>
        </w:rPr>
        <w:t xml:space="preserve">a serious </w:t>
      </w:r>
      <w:r w:rsidR="00260B1E">
        <w:rPr>
          <w:rFonts w:ascii="Times New Roman" w:eastAsia="Times New Roman" w:hAnsi="Times New Roman" w:cs="Times New Roman"/>
          <w:sz w:val="24"/>
          <w:szCs w:val="24"/>
          <w:lang w:eastAsia="en-ZW"/>
        </w:rPr>
        <w:t xml:space="preserve">misunderstanding of elementary principles of the law of evidence or </w:t>
      </w:r>
      <w:r w:rsidR="00BB604A">
        <w:rPr>
          <w:rFonts w:ascii="Times New Roman" w:eastAsia="Times New Roman" w:hAnsi="Times New Roman" w:cs="Times New Roman"/>
          <w:sz w:val="24"/>
          <w:szCs w:val="24"/>
          <w:lang w:eastAsia="en-ZW"/>
        </w:rPr>
        <w:t xml:space="preserve">it is </w:t>
      </w:r>
      <w:r w:rsidR="00EF46E3">
        <w:rPr>
          <w:rFonts w:ascii="Times New Roman" w:eastAsia="Times New Roman" w:hAnsi="Times New Roman" w:cs="Times New Roman"/>
          <w:sz w:val="24"/>
          <w:szCs w:val="24"/>
          <w:lang w:eastAsia="en-ZW"/>
        </w:rPr>
        <w:t xml:space="preserve">outright dishonest. The second defendant’s summary of evidence could only be placed before the court through that party. Unfortunately the application for absolution was made before the second defendant’s evidence was formally placed before the court. </w:t>
      </w:r>
    </w:p>
    <w:p w14:paraId="5595BEEC" w14:textId="45998377" w:rsidR="002537AD" w:rsidRDefault="00EF46E3"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 xml:space="preserve">As already stated, the plaintiffs had an opportunity to call the second defendant as a witness but they chose not, yet they desperately needed his evidence. They had not even cited the second defendant as a party to the proceedings. He was only joined to the proceedings at the instigation of the court. </w:t>
      </w:r>
    </w:p>
    <w:p w14:paraId="3B493E76" w14:textId="104539A8" w:rsidR="00EF46E3" w:rsidRDefault="002537AD" w:rsidP="009F7FF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plaintiffs also failed to prove that they ever had possession of the property either in the sense of having physical occupation or having some rights over the property that would speak to an extension of the lease agreement. According to their own version of events, by the time that they sought to put up a fence and erect billboards on the property, the first defendant was already in occupation. </w:t>
      </w:r>
      <w:r w:rsidR="00EF46E3">
        <w:rPr>
          <w:rFonts w:ascii="Times New Roman" w:eastAsia="Times New Roman" w:hAnsi="Times New Roman" w:cs="Times New Roman"/>
          <w:sz w:val="24"/>
          <w:szCs w:val="24"/>
          <w:lang w:eastAsia="en-ZW"/>
        </w:rPr>
        <w:t xml:space="preserve">In the absence of corroborating evidence from the second defendant on the status of </w:t>
      </w:r>
      <w:r w:rsidR="00E842D1">
        <w:rPr>
          <w:rFonts w:ascii="Times New Roman" w:eastAsia="Times New Roman" w:hAnsi="Times New Roman" w:cs="Times New Roman"/>
          <w:sz w:val="24"/>
          <w:szCs w:val="24"/>
          <w:lang w:eastAsia="en-ZW"/>
        </w:rPr>
        <w:t xml:space="preserve">the </w:t>
      </w:r>
      <w:r w:rsidR="00EF46E3">
        <w:rPr>
          <w:rFonts w:ascii="Times New Roman" w:eastAsia="Times New Roman" w:hAnsi="Times New Roman" w:cs="Times New Roman"/>
          <w:sz w:val="24"/>
          <w:szCs w:val="24"/>
          <w:lang w:eastAsia="en-ZW"/>
        </w:rPr>
        <w:t xml:space="preserve">lease agreement, the court determines that the plaintiffs failed to prove that they hold a valid lease with the second defendant. </w:t>
      </w:r>
      <w:r>
        <w:rPr>
          <w:rFonts w:ascii="Times New Roman" w:eastAsia="Times New Roman" w:hAnsi="Times New Roman" w:cs="Times New Roman"/>
          <w:sz w:val="24"/>
          <w:szCs w:val="24"/>
          <w:lang w:eastAsia="en-ZW"/>
        </w:rPr>
        <w:t xml:space="preserve">In the absence of a valid lease, the plaintiffs have no legal basis to seek the eviction of the first defendant. </w:t>
      </w:r>
    </w:p>
    <w:p w14:paraId="79F65FB9" w14:textId="0D6B3D8E"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0DC25CBB" w14:textId="53909409" w:rsidR="002B2FCC" w:rsidRDefault="009D3A45" w:rsidP="009D3A45">
      <w:pPr>
        <w:spacing w:after="0" w:line="360" w:lineRule="auto"/>
        <w:ind w:firstLine="720"/>
        <w:jc w:val="both"/>
        <w:rPr>
          <w:rFonts w:ascii="Times New Roman" w:hAnsi="Times New Roman" w:cs="Times New Roman"/>
          <w:b/>
        </w:rPr>
      </w:pPr>
      <w:r>
        <w:rPr>
          <w:rFonts w:ascii="Times New Roman" w:hAnsi="Times New Roman" w:cs="Times New Roman"/>
          <w:sz w:val="24"/>
          <w:szCs w:val="24"/>
        </w:rPr>
        <w:t xml:space="preserve">The general rule is that costs follow the event. I see no reason to depart from this general principle. Regrettably, for the plaintiffs, they have to pay the price for the shambolic manner in which their claim was prosecuted. </w:t>
      </w:r>
    </w:p>
    <w:p w14:paraId="7A502BA1" w14:textId="218BDDA2"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Pr="001613C4" w:rsidRDefault="002A1BC5" w:rsidP="001613C4">
      <w:pPr>
        <w:spacing w:after="0"/>
        <w:jc w:val="both"/>
        <w:rPr>
          <w:rFonts w:ascii="Times New Roman" w:hAnsi="Times New Roman" w:cs="Times New Roman"/>
          <w:sz w:val="24"/>
          <w:szCs w:val="24"/>
        </w:rPr>
      </w:pPr>
      <w:r w:rsidRPr="001613C4">
        <w:rPr>
          <w:rFonts w:ascii="Times New Roman" w:hAnsi="Times New Roman" w:cs="Times New Roman"/>
          <w:sz w:val="24"/>
          <w:szCs w:val="24"/>
        </w:rPr>
        <w:t xml:space="preserve">Resultantly </w:t>
      </w:r>
      <w:r w:rsidR="00E66802" w:rsidRPr="001613C4">
        <w:rPr>
          <w:rFonts w:ascii="Times New Roman" w:hAnsi="Times New Roman" w:cs="Times New Roman"/>
          <w:sz w:val="24"/>
          <w:szCs w:val="24"/>
        </w:rPr>
        <w:t xml:space="preserve">it is ordered </w:t>
      </w:r>
      <w:r w:rsidR="008A44CE" w:rsidRPr="001613C4">
        <w:rPr>
          <w:rFonts w:ascii="Times New Roman" w:hAnsi="Times New Roman" w:cs="Times New Roman"/>
          <w:sz w:val="24"/>
          <w:szCs w:val="24"/>
        </w:rPr>
        <w:t>that</w:t>
      </w:r>
      <w:r w:rsidR="00E66802" w:rsidRPr="001613C4">
        <w:rPr>
          <w:rFonts w:ascii="Times New Roman" w:hAnsi="Times New Roman" w:cs="Times New Roman"/>
          <w:sz w:val="24"/>
          <w:szCs w:val="24"/>
        </w:rPr>
        <w:t>:</w:t>
      </w:r>
    </w:p>
    <w:p w14:paraId="724646A3" w14:textId="77777777" w:rsidR="009D3A45" w:rsidRDefault="009D3A45" w:rsidP="009D3A45">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Absolution from the instance is hereby granted.</w:t>
      </w:r>
    </w:p>
    <w:p w14:paraId="0D10C671" w14:textId="5980C1D0" w:rsidR="009D3A45" w:rsidRDefault="009D3A45" w:rsidP="009D3A45">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plaintiffs shall bear the first defendant’s costs of suit.</w:t>
      </w:r>
    </w:p>
    <w:p w14:paraId="4B10689B" w14:textId="51302165" w:rsidR="00206042" w:rsidRDefault="00206042" w:rsidP="007459AC">
      <w:pPr>
        <w:spacing w:after="0" w:line="360" w:lineRule="auto"/>
        <w:jc w:val="right"/>
        <w:rPr>
          <w:noProof/>
          <w:lang w:eastAsia="en-ZW"/>
        </w:rPr>
      </w:pPr>
    </w:p>
    <w:p w14:paraId="3E7E0FDC" w14:textId="0533418B" w:rsidR="002B2FCC" w:rsidRDefault="002B2FCC" w:rsidP="007459AC">
      <w:pPr>
        <w:spacing w:after="0" w:line="360" w:lineRule="auto"/>
        <w:jc w:val="right"/>
        <w:rPr>
          <w:noProof/>
          <w:lang w:eastAsia="en-ZW"/>
        </w:rPr>
      </w:pPr>
    </w:p>
    <w:p w14:paraId="1A662413" w14:textId="5B82B7AE" w:rsidR="002B2FCC" w:rsidRDefault="002B2FCC" w:rsidP="007459AC">
      <w:pPr>
        <w:spacing w:after="0" w:line="360" w:lineRule="auto"/>
        <w:jc w:val="right"/>
        <w:rPr>
          <w:noProof/>
          <w:lang w:eastAsia="en-ZW"/>
        </w:rPr>
      </w:pPr>
    </w:p>
    <w:p w14:paraId="1421B569" w14:textId="77777777" w:rsidR="00AA3E69" w:rsidRDefault="00AA3E69" w:rsidP="007459AC">
      <w:pPr>
        <w:spacing w:after="0" w:line="360" w:lineRule="auto"/>
        <w:jc w:val="right"/>
        <w:rPr>
          <w:noProof/>
          <w:lang w:eastAsia="en-ZW"/>
        </w:rPr>
      </w:pPr>
    </w:p>
    <w:p w14:paraId="6C39327E" w14:textId="77777777" w:rsidR="00AA3E69" w:rsidRDefault="00AA3E69" w:rsidP="007459AC">
      <w:pPr>
        <w:spacing w:after="0" w:line="360" w:lineRule="auto"/>
        <w:jc w:val="right"/>
        <w:rPr>
          <w:noProof/>
          <w:lang w:eastAsia="en-ZW"/>
        </w:rPr>
      </w:pPr>
    </w:p>
    <w:p w14:paraId="6952F233" w14:textId="77777777" w:rsidR="00AA3E69" w:rsidRDefault="00AA3E69" w:rsidP="007459AC">
      <w:pPr>
        <w:spacing w:after="0" w:line="360" w:lineRule="auto"/>
        <w:jc w:val="right"/>
        <w:rPr>
          <w:noProof/>
          <w:lang w:eastAsia="en-ZW"/>
        </w:rPr>
      </w:pPr>
    </w:p>
    <w:p w14:paraId="2E22740E" w14:textId="77777777" w:rsidR="00AA3E69" w:rsidRDefault="00AA3E69" w:rsidP="007459AC">
      <w:pPr>
        <w:spacing w:after="0" w:line="360" w:lineRule="auto"/>
        <w:jc w:val="right"/>
        <w:rPr>
          <w:noProof/>
          <w:lang w:eastAsia="en-ZW"/>
        </w:rPr>
      </w:pPr>
    </w:p>
    <w:p w14:paraId="7ACB1BA4" w14:textId="77777777" w:rsidR="00AA3E69" w:rsidRDefault="00AA3E69" w:rsidP="007459AC">
      <w:pPr>
        <w:spacing w:after="0" w:line="360" w:lineRule="auto"/>
        <w:jc w:val="right"/>
        <w:rPr>
          <w:noProof/>
          <w:lang w:eastAsia="en-ZW"/>
        </w:rPr>
      </w:pPr>
    </w:p>
    <w:p w14:paraId="40CD72B1" w14:textId="77777777" w:rsidR="002B2FCC" w:rsidRDefault="002B2FCC" w:rsidP="007459AC">
      <w:pPr>
        <w:spacing w:after="0" w:line="360" w:lineRule="auto"/>
        <w:jc w:val="right"/>
        <w:rPr>
          <w:noProof/>
          <w:lang w:eastAsia="en-ZW"/>
        </w:rPr>
      </w:pPr>
    </w:p>
    <w:p w14:paraId="001ABC47" w14:textId="2E5A1EE3" w:rsidR="00406CEF" w:rsidRDefault="00D47F8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9D3A45">
        <w:rPr>
          <w:rFonts w:ascii="Times New Roman" w:hAnsi="Times New Roman" w:cs="Times New Roman"/>
          <w:i/>
          <w:sz w:val="24"/>
          <w:szCs w:val="24"/>
        </w:rPr>
        <w:t>boko T.G. Legal Practitioners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5B646EA6" w:rsidR="00AA19F3" w:rsidRDefault="009D3A45"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Zvavanoda Law Chambers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w:t>
      </w:r>
      <w:r w:rsidR="00D47F8C">
        <w:rPr>
          <w:rFonts w:ascii="Times New Roman" w:hAnsi="Times New Roman" w:cs="Times New Roman"/>
          <w:sz w:val="24"/>
          <w:szCs w:val="24"/>
        </w:rPr>
        <w:t xml:space="preserve"> 1</w:t>
      </w:r>
      <w:r w:rsidR="00D47F8C" w:rsidRPr="00D47F8C">
        <w:rPr>
          <w:rFonts w:ascii="Times New Roman" w:hAnsi="Times New Roman" w:cs="Times New Roman"/>
          <w:sz w:val="24"/>
          <w:szCs w:val="24"/>
          <w:vertAlign w:val="superscript"/>
        </w:rPr>
        <w:t>st</w:t>
      </w:r>
      <w:r w:rsidR="00D47F8C">
        <w:rPr>
          <w:rFonts w:ascii="Times New Roman" w:hAnsi="Times New Roman" w:cs="Times New Roman"/>
          <w:sz w:val="24"/>
          <w:szCs w:val="24"/>
        </w:rPr>
        <w:t xml:space="preserve"> </w:t>
      </w:r>
      <w:r w:rsidR="00AA19F3">
        <w:rPr>
          <w:rFonts w:ascii="Times New Roman" w:hAnsi="Times New Roman" w:cs="Times New Roman"/>
          <w:sz w:val="24"/>
          <w:szCs w:val="24"/>
        </w:rPr>
        <w:t>respondent</w:t>
      </w:r>
    </w:p>
    <w:p w14:paraId="59F42C92" w14:textId="24DC1EF9" w:rsidR="00D47F8C" w:rsidRPr="00D47F8C" w:rsidRDefault="00D47F8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w:t>
      </w:r>
      <w:r w:rsidR="009D3A45">
        <w:rPr>
          <w:rFonts w:ascii="Times New Roman" w:hAnsi="Times New Roman" w:cs="Times New Roman"/>
          <w:i/>
          <w:sz w:val="24"/>
          <w:szCs w:val="24"/>
        </w:rPr>
        <w:t>torney General’s Office</w:t>
      </w:r>
      <w:r>
        <w:rPr>
          <w:rFonts w:ascii="Times New Roman" w:hAnsi="Times New Roman" w:cs="Times New Roman"/>
          <w:i/>
          <w:sz w:val="24"/>
          <w:szCs w:val="24"/>
        </w:rPr>
        <w:t xml:space="preserve">, </w:t>
      </w:r>
      <w:r>
        <w:rPr>
          <w:rFonts w:ascii="Times New Roman" w:hAnsi="Times New Roman" w:cs="Times New Roman"/>
          <w:sz w:val="24"/>
          <w:szCs w:val="24"/>
        </w:rPr>
        <w:t>legal practitioners for the 2</w:t>
      </w:r>
      <w:r w:rsidRPr="00D47F8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sectPr w:rsidR="00D47F8C" w:rsidRPr="00D47F8C"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8445" w14:textId="77777777" w:rsidR="00DF4239" w:rsidRDefault="00DF4239" w:rsidP="00EA00E7">
      <w:pPr>
        <w:spacing w:after="0" w:line="240" w:lineRule="auto"/>
      </w:pPr>
      <w:r>
        <w:separator/>
      </w:r>
    </w:p>
  </w:endnote>
  <w:endnote w:type="continuationSeparator" w:id="0">
    <w:p w14:paraId="288332B1" w14:textId="77777777" w:rsidR="00DF4239" w:rsidRDefault="00DF423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F1E25" w14:textId="77777777" w:rsidR="00DF4239" w:rsidRDefault="00DF4239" w:rsidP="00EA00E7">
      <w:pPr>
        <w:spacing w:after="0" w:line="240" w:lineRule="auto"/>
      </w:pPr>
      <w:r>
        <w:separator/>
      </w:r>
    </w:p>
  </w:footnote>
  <w:footnote w:type="continuationSeparator" w:id="0">
    <w:p w14:paraId="01E4FC0D" w14:textId="77777777" w:rsidR="00DF4239" w:rsidRDefault="00DF4239" w:rsidP="00EA00E7">
      <w:pPr>
        <w:spacing w:after="0" w:line="240" w:lineRule="auto"/>
      </w:pPr>
      <w:r>
        <w:continuationSeparator/>
      </w:r>
    </w:p>
  </w:footnote>
  <w:footnote w:id="1">
    <w:p w14:paraId="473C156D" w14:textId="0E5E173F" w:rsidR="00265730" w:rsidRPr="00265730" w:rsidRDefault="00265730">
      <w:pPr>
        <w:pStyle w:val="FootnoteText"/>
        <w:rPr>
          <w:rFonts w:ascii="Times New Roman" w:hAnsi="Times New Roman" w:cs="Times New Roman"/>
          <w:lang w:val="en-US"/>
        </w:rPr>
      </w:pPr>
      <w:r w:rsidRPr="00265730">
        <w:rPr>
          <w:rStyle w:val="FootnoteReference"/>
          <w:rFonts w:ascii="Times New Roman" w:hAnsi="Times New Roman" w:cs="Times New Roman"/>
        </w:rPr>
        <w:footnoteRef/>
      </w:r>
      <w:r w:rsidRPr="00265730">
        <w:rPr>
          <w:rFonts w:ascii="Times New Roman" w:hAnsi="Times New Roman" w:cs="Times New Roman"/>
        </w:rPr>
        <w:t xml:space="preserve"> </w:t>
      </w:r>
      <w:r w:rsidRPr="00265730">
        <w:rPr>
          <w:rFonts w:ascii="Times New Roman" w:hAnsi="Times New Roman" w:cs="Times New Roman"/>
          <w:lang w:val="en-US"/>
        </w:rPr>
        <w:t>1992 (2) ZLR 445 (S)</w:t>
      </w:r>
    </w:p>
  </w:footnote>
  <w:footnote w:id="2">
    <w:p w14:paraId="31A6C2BE" w14:textId="1EDED07E" w:rsidR="00764638" w:rsidRPr="00764638" w:rsidRDefault="00764638">
      <w:pPr>
        <w:pStyle w:val="FootnoteText"/>
        <w:rPr>
          <w:rFonts w:ascii="Times New Roman" w:hAnsi="Times New Roman" w:cs="Times New Roman"/>
          <w:sz w:val="18"/>
          <w:szCs w:val="18"/>
          <w:lang w:val="en-US"/>
        </w:rPr>
      </w:pPr>
      <w:r w:rsidRPr="00764638">
        <w:rPr>
          <w:rStyle w:val="FootnoteReference"/>
          <w:rFonts w:ascii="Times New Roman" w:hAnsi="Times New Roman" w:cs="Times New Roman"/>
          <w:sz w:val="18"/>
          <w:szCs w:val="18"/>
        </w:rPr>
        <w:footnoteRef/>
      </w:r>
      <w:r w:rsidRPr="00764638">
        <w:rPr>
          <w:rFonts w:ascii="Times New Roman" w:hAnsi="Times New Roman" w:cs="Times New Roman"/>
          <w:sz w:val="18"/>
          <w:szCs w:val="18"/>
        </w:rPr>
        <w:t xml:space="preserve"> 1982 (3) SA 125 (AD) at </w:t>
      </w:r>
      <w:r>
        <w:rPr>
          <w:rFonts w:ascii="Times New Roman" w:hAnsi="Times New Roman" w:cs="Times New Roman"/>
          <w:sz w:val="18"/>
          <w:szCs w:val="18"/>
        </w:rPr>
        <w:t>132H.</w:t>
      </w:r>
    </w:p>
  </w:footnote>
  <w:footnote w:id="3">
    <w:p w14:paraId="490DA9DB" w14:textId="6568A375" w:rsidR="00764638" w:rsidRPr="00764638" w:rsidRDefault="00764638">
      <w:pPr>
        <w:pStyle w:val="FootnoteText"/>
        <w:rPr>
          <w:rFonts w:ascii="Times New Roman" w:hAnsi="Times New Roman" w:cs="Times New Roman"/>
          <w:lang w:val="en-US"/>
        </w:rPr>
      </w:pPr>
      <w:r w:rsidRPr="00764638">
        <w:rPr>
          <w:rStyle w:val="FootnoteReference"/>
          <w:rFonts w:ascii="Times New Roman" w:hAnsi="Times New Roman" w:cs="Times New Roman"/>
        </w:rPr>
        <w:footnoteRef/>
      </w:r>
      <w:r w:rsidRPr="00764638">
        <w:rPr>
          <w:rFonts w:ascii="Times New Roman" w:hAnsi="Times New Roman" w:cs="Times New Roman"/>
        </w:rPr>
        <w:t xml:space="preserve"> </w:t>
      </w:r>
      <w:r w:rsidRPr="00764638">
        <w:rPr>
          <w:rFonts w:ascii="Times New Roman" w:hAnsi="Times New Roman" w:cs="Times New Roman"/>
          <w:lang w:val="en-US"/>
        </w:rPr>
        <w:t>HH 88/15</w:t>
      </w:r>
      <w:r>
        <w:rPr>
          <w:rFonts w:ascii="Times New Roman" w:hAnsi="Times New Roman" w:cs="Times New Roman"/>
          <w:lang w:val="en-US"/>
        </w:rPr>
        <w:t xml:space="preserve"> at p 6 of the judgment </w:t>
      </w:r>
    </w:p>
  </w:footnote>
  <w:footnote w:id="4">
    <w:p w14:paraId="15518368" w14:textId="51F4E028" w:rsidR="000807D9" w:rsidRPr="000807D9" w:rsidRDefault="000807D9" w:rsidP="000807D9">
      <w:pPr>
        <w:spacing w:after="0" w:line="240" w:lineRule="auto"/>
        <w:jc w:val="both"/>
        <w:rPr>
          <w:rFonts w:ascii="Times New Roman" w:hAnsi="Times New Roman" w:cs="Times New Roman"/>
          <w:sz w:val="18"/>
          <w:szCs w:val="18"/>
        </w:rPr>
      </w:pPr>
      <w:r>
        <w:rPr>
          <w:rStyle w:val="FootnoteReference"/>
        </w:rPr>
        <w:footnoteRef/>
      </w:r>
      <w:r>
        <w:t xml:space="preserve"> </w:t>
      </w:r>
      <w:r w:rsidRPr="000807D9">
        <w:rPr>
          <w:rFonts w:ascii="Times New Roman" w:hAnsi="Times New Roman" w:cs="Times New Roman"/>
          <w:i/>
          <w:sz w:val="18"/>
          <w:szCs w:val="18"/>
        </w:rPr>
        <w:t xml:space="preserve">Tizai     Chiswanda     (In     His     Capacity     As     Father     And     Guardian     of     Chidochashe     Chiswanda) </w:t>
      </w:r>
      <w:r>
        <w:rPr>
          <w:rFonts w:ascii="Times New Roman" w:hAnsi="Times New Roman" w:cs="Times New Roman"/>
          <w:i/>
          <w:sz w:val="18"/>
          <w:szCs w:val="18"/>
        </w:rPr>
        <w:t>v</w:t>
      </w:r>
      <w:r w:rsidRPr="000807D9">
        <w:rPr>
          <w:rFonts w:ascii="Times New Roman" w:hAnsi="Times New Roman" w:cs="Times New Roman"/>
          <w:i/>
          <w:sz w:val="18"/>
          <w:szCs w:val="18"/>
        </w:rPr>
        <w:t xml:space="preserve"> Ok     Zimbabwe     Limited</w:t>
      </w:r>
      <w:r>
        <w:rPr>
          <w:rFonts w:ascii="Times New Roman" w:hAnsi="Times New Roman" w:cs="Times New Roman"/>
          <w:i/>
          <w:sz w:val="18"/>
          <w:szCs w:val="18"/>
        </w:rPr>
        <w:t xml:space="preserve"> </w:t>
      </w:r>
      <w:r>
        <w:rPr>
          <w:rFonts w:ascii="Times New Roman" w:hAnsi="Times New Roman" w:cs="Times New Roman"/>
          <w:sz w:val="18"/>
          <w:szCs w:val="18"/>
        </w:rPr>
        <w:t>SC 84/20</w:t>
      </w:r>
    </w:p>
    <w:p w14:paraId="324FCD14" w14:textId="25776519" w:rsidR="000807D9" w:rsidRPr="000807D9" w:rsidRDefault="000807D9">
      <w:pPr>
        <w:pStyle w:val="FootnoteText"/>
        <w:rPr>
          <w:i/>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0A3AF1B7"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2D383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61D1E101"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8F7BE9">
          <w:rPr>
            <w:rFonts w:ascii="Times New Roman" w:hAnsi="Times New Roman" w:cs="Times New Roman"/>
            <w:sz w:val="24"/>
            <w:szCs w:val="24"/>
          </w:rPr>
          <w:t>H 117 -23</w:t>
        </w:r>
      </w:p>
      <w:p w14:paraId="1E05EEBD" w14:textId="4476FF2E"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73075C">
          <w:rPr>
            <w:rFonts w:ascii="Times New Roman" w:hAnsi="Times New Roman" w:cs="Times New Roman"/>
            <w:sz w:val="24"/>
            <w:szCs w:val="24"/>
          </w:rPr>
          <w:t>3417/20</w:t>
        </w:r>
      </w:p>
      <w:p w14:paraId="57CD235E" w14:textId="12B9BA16" w:rsidR="00FD619D" w:rsidRPr="002B2FCC" w:rsidRDefault="00DF4239" w:rsidP="002B2FCC">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0020565"/>
    <w:multiLevelType w:val="hybridMultilevel"/>
    <w:tmpl w:val="E6528310"/>
    <w:lvl w:ilvl="0" w:tplc="62745A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07821EB"/>
    <w:multiLevelType w:val="hybridMultilevel"/>
    <w:tmpl w:val="FB8A642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97A46A4"/>
    <w:multiLevelType w:val="hybridMultilevel"/>
    <w:tmpl w:val="646C06CE"/>
    <w:lvl w:ilvl="0" w:tplc="ADC2947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88D390B"/>
    <w:multiLevelType w:val="hybridMultilevel"/>
    <w:tmpl w:val="258CEDDC"/>
    <w:lvl w:ilvl="0" w:tplc="98127B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CF47EF0"/>
    <w:multiLevelType w:val="hybridMultilevel"/>
    <w:tmpl w:val="289E8010"/>
    <w:lvl w:ilvl="0" w:tplc="741007A8">
      <w:start w:val="1"/>
      <w:numFmt w:val="decimal"/>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6"/>
  </w:num>
  <w:num w:numId="3">
    <w:abstractNumId w:val="3"/>
  </w:num>
  <w:num w:numId="4">
    <w:abstractNumId w:val="1"/>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EF0"/>
    <w:rsid w:val="000031AC"/>
    <w:rsid w:val="00003585"/>
    <w:rsid w:val="00003D3A"/>
    <w:rsid w:val="00003D8A"/>
    <w:rsid w:val="000046B5"/>
    <w:rsid w:val="00004A86"/>
    <w:rsid w:val="0000528B"/>
    <w:rsid w:val="000052B4"/>
    <w:rsid w:val="000053BC"/>
    <w:rsid w:val="00005565"/>
    <w:rsid w:val="00005636"/>
    <w:rsid w:val="000068A2"/>
    <w:rsid w:val="00006FEA"/>
    <w:rsid w:val="00007385"/>
    <w:rsid w:val="00007499"/>
    <w:rsid w:val="000074E6"/>
    <w:rsid w:val="00007A23"/>
    <w:rsid w:val="00007D10"/>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8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1BE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7D9"/>
    <w:rsid w:val="00080CEB"/>
    <w:rsid w:val="00080CF7"/>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7E5"/>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D5"/>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222"/>
    <w:rsid w:val="000B26E3"/>
    <w:rsid w:val="000B2E47"/>
    <w:rsid w:val="000B3682"/>
    <w:rsid w:val="000B3898"/>
    <w:rsid w:val="000B3A53"/>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7A9"/>
    <w:rsid w:val="000E7C00"/>
    <w:rsid w:val="000F0436"/>
    <w:rsid w:val="000F0970"/>
    <w:rsid w:val="000F1029"/>
    <w:rsid w:val="000F2E6E"/>
    <w:rsid w:val="000F2F36"/>
    <w:rsid w:val="000F467A"/>
    <w:rsid w:val="000F495C"/>
    <w:rsid w:val="000F497F"/>
    <w:rsid w:val="000F4A71"/>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BD6"/>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0E"/>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30C"/>
    <w:rsid w:val="00150AF2"/>
    <w:rsid w:val="00151853"/>
    <w:rsid w:val="00152085"/>
    <w:rsid w:val="00152284"/>
    <w:rsid w:val="00152AF1"/>
    <w:rsid w:val="00152C55"/>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3C4"/>
    <w:rsid w:val="001615AB"/>
    <w:rsid w:val="00161876"/>
    <w:rsid w:val="00161A3E"/>
    <w:rsid w:val="00161AC6"/>
    <w:rsid w:val="00162798"/>
    <w:rsid w:val="00162B1A"/>
    <w:rsid w:val="00163487"/>
    <w:rsid w:val="00163B99"/>
    <w:rsid w:val="00163D3D"/>
    <w:rsid w:val="001640A4"/>
    <w:rsid w:val="001647B8"/>
    <w:rsid w:val="001653C9"/>
    <w:rsid w:val="001654A3"/>
    <w:rsid w:val="00165B1B"/>
    <w:rsid w:val="00166BF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23E"/>
    <w:rsid w:val="00197049"/>
    <w:rsid w:val="001A0165"/>
    <w:rsid w:val="001A01F4"/>
    <w:rsid w:val="001A0570"/>
    <w:rsid w:val="001A07DA"/>
    <w:rsid w:val="001A0E82"/>
    <w:rsid w:val="001A12AD"/>
    <w:rsid w:val="001A14C6"/>
    <w:rsid w:val="001A175F"/>
    <w:rsid w:val="001A1762"/>
    <w:rsid w:val="001A2C65"/>
    <w:rsid w:val="001A2D66"/>
    <w:rsid w:val="001A345B"/>
    <w:rsid w:val="001A40E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2D0A"/>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386"/>
    <w:rsid w:val="001C4E07"/>
    <w:rsid w:val="001C54AF"/>
    <w:rsid w:val="001C5683"/>
    <w:rsid w:val="001C5D48"/>
    <w:rsid w:val="001C65D0"/>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E7A6F"/>
    <w:rsid w:val="001E7E26"/>
    <w:rsid w:val="001F02AD"/>
    <w:rsid w:val="001F07F0"/>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700"/>
    <w:rsid w:val="00234E7D"/>
    <w:rsid w:val="00235142"/>
    <w:rsid w:val="00235450"/>
    <w:rsid w:val="00235EF5"/>
    <w:rsid w:val="00236064"/>
    <w:rsid w:val="00236077"/>
    <w:rsid w:val="002365E0"/>
    <w:rsid w:val="002366CA"/>
    <w:rsid w:val="0023786D"/>
    <w:rsid w:val="00240258"/>
    <w:rsid w:val="00240FA6"/>
    <w:rsid w:val="00241190"/>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7AD"/>
    <w:rsid w:val="0025380F"/>
    <w:rsid w:val="00253B02"/>
    <w:rsid w:val="00253B5F"/>
    <w:rsid w:val="00254934"/>
    <w:rsid w:val="00254DB2"/>
    <w:rsid w:val="00254E39"/>
    <w:rsid w:val="002552BC"/>
    <w:rsid w:val="00256B41"/>
    <w:rsid w:val="00257346"/>
    <w:rsid w:val="002574B0"/>
    <w:rsid w:val="002575EE"/>
    <w:rsid w:val="002603D6"/>
    <w:rsid w:val="00260B1E"/>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ABD"/>
    <w:rsid w:val="00264D13"/>
    <w:rsid w:val="002652F6"/>
    <w:rsid w:val="00265730"/>
    <w:rsid w:val="00265770"/>
    <w:rsid w:val="00265E33"/>
    <w:rsid w:val="00266437"/>
    <w:rsid w:val="002666E4"/>
    <w:rsid w:val="0026783D"/>
    <w:rsid w:val="00270DEF"/>
    <w:rsid w:val="0027111B"/>
    <w:rsid w:val="0027113C"/>
    <w:rsid w:val="002712E4"/>
    <w:rsid w:val="00271B4B"/>
    <w:rsid w:val="00271DA6"/>
    <w:rsid w:val="00272C6E"/>
    <w:rsid w:val="002732A9"/>
    <w:rsid w:val="0027534A"/>
    <w:rsid w:val="00275A06"/>
    <w:rsid w:val="00276498"/>
    <w:rsid w:val="00276749"/>
    <w:rsid w:val="002800CD"/>
    <w:rsid w:val="00280329"/>
    <w:rsid w:val="00280B7A"/>
    <w:rsid w:val="00280D61"/>
    <w:rsid w:val="002814B2"/>
    <w:rsid w:val="00281B37"/>
    <w:rsid w:val="00281F2E"/>
    <w:rsid w:val="0028234C"/>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6C9"/>
    <w:rsid w:val="002A2796"/>
    <w:rsid w:val="002A2EFD"/>
    <w:rsid w:val="002A2F41"/>
    <w:rsid w:val="002A3421"/>
    <w:rsid w:val="002A3840"/>
    <w:rsid w:val="002A3DFA"/>
    <w:rsid w:val="002A3E81"/>
    <w:rsid w:val="002A5B77"/>
    <w:rsid w:val="002A67B8"/>
    <w:rsid w:val="002A70F3"/>
    <w:rsid w:val="002A76DE"/>
    <w:rsid w:val="002A78F3"/>
    <w:rsid w:val="002A7ECB"/>
    <w:rsid w:val="002B0DC9"/>
    <w:rsid w:val="002B1788"/>
    <w:rsid w:val="002B18F5"/>
    <w:rsid w:val="002B236B"/>
    <w:rsid w:val="002B298F"/>
    <w:rsid w:val="002B2A5D"/>
    <w:rsid w:val="002B2EC1"/>
    <w:rsid w:val="002B2FCC"/>
    <w:rsid w:val="002B3B0F"/>
    <w:rsid w:val="002B3F7B"/>
    <w:rsid w:val="002B4166"/>
    <w:rsid w:val="002B4D4D"/>
    <w:rsid w:val="002B4F17"/>
    <w:rsid w:val="002B501E"/>
    <w:rsid w:val="002B5E80"/>
    <w:rsid w:val="002B5EF7"/>
    <w:rsid w:val="002B64AA"/>
    <w:rsid w:val="002B6946"/>
    <w:rsid w:val="002B6C5F"/>
    <w:rsid w:val="002B6E20"/>
    <w:rsid w:val="002B7449"/>
    <w:rsid w:val="002C04D5"/>
    <w:rsid w:val="002C0614"/>
    <w:rsid w:val="002C0BBE"/>
    <w:rsid w:val="002C1026"/>
    <w:rsid w:val="002C2C26"/>
    <w:rsid w:val="002C3681"/>
    <w:rsid w:val="002C3BA7"/>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83A"/>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365"/>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C9"/>
    <w:rsid w:val="00321CEC"/>
    <w:rsid w:val="00322231"/>
    <w:rsid w:val="0032237C"/>
    <w:rsid w:val="0032334D"/>
    <w:rsid w:val="0032337D"/>
    <w:rsid w:val="00324549"/>
    <w:rsid w:val="003253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446"/>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2DB2"/>
    <w:rsid w:val="00363AD3"/>
    <w:rsid w:val="00363B2C"/>
    <w:rsid w:val="003641A8"/>
    <w:rsid w:val="00364F5B"/>
    <w:rsid w:val="003650EA"/>
    <w:rsid w:val="00365166"/>
    <w:rsid w:val="00365735"/>
    <w:rsid w:val="00365E75"/>
    <w:rsid w:val="00365FD4"/>
    <w:rsid w:val="0036619F"/>
    <w:rsid w:val="00367AFF"/>
    <w:rsid w:val="00370108"/>
    <w:rsid w:val="003701B2"/>
    <w:rsid w:val="00370B94"/>
    <w:rsid w:val="00371A46"/>
    <w:rsid w:val="0037215B"/>
    <w:rsid w:val="00372244"/>
    <w:rsid w:val="003726B4"/>
    <w:rsid w:val="003727EF"/>
    <w:rsid w:val="00373CC0"/>
    <w:rsid w:val="0037485C"/>
    <w:rsid w:val="003751B1"/>
    <w:rsid w:val="0037587D"/>
    <w:rsid w:val="00376370"/>
    <w:rsid w:val="003775FC"/>
    <w:rsid w:val="00380122"/>
    <w:rsid w:val="0038019B"/>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01F4"/>
    <w:rsid w:val="003911FE"/>
    <w:rsid w:val="00391C46"/>
    <w:rsid w:val="00392136"/>
    <w:rsid w:val="003932B7"/>
    <w:rsid w:val="00393BCF"/>
    <w:rsid w:val="00393F3B"/>
    <w:rsid w:val="00394057"/>
    <w:rsid w:val="00394615"/>
    <w:rsid w:val="003946BA"/>
    <w:rsid w:val="0039499E"/>
    <w:rsid w:val="0039694B"/>
    <w:rsid w:val="00396ACA"/>
    <w:rsid w:val="00396B2C"/>
    <w:rsid w:val="00396C5E"/>
    <w:rsid w:val="00397313"/>
    <w:rsid w:val="00397E83"/>
    <w:rsid w:val="003A0634"/>
    <w:rsid w:val="003A082A"/>
    <w:rsid w:val="003A1077"/>
    <w:rsid w:val="003A108E"/>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9F"/>
    <w:rsid w:val="003B0DC2"/>
    <w:rsid w:val="003B12B9"/>
    <w:rsid w:val="003B1335"/>
    <w:rsid w:val="003B13FB"/>
    <w:rsid w:val="003B2E91"/>
    <w:rsid w:val="003B32A4"/>
    <w:rsid w:val="003B393E"/>
    <w:rsid w:val="003B3C48"/>
    <w:rsid w:val="003B3E80"/>
    <w:rsid w:val="003B4015"/>
    <w:rsid w:val="003B49EE"/>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1EEC"/>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111"/>
    <w:rsid w:val="003E768E"/>
    <w:rsid w:val="003E7771"/>
    <w:rsid w:val="003E77C1"/>
    <w:rsid w:val="003F0EFF"/>
    <w:rsid w:val="003F1BC7"/>
    <w:rsid w:val="003F1E9B"/>
    <w:rsid w:val="003F2258"/>
    <w:rsid w:val="003F2BF8"/>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4E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4D6"/>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676A"/>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2E5B"/>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4B51"/>
    <w:rsid w:val="00465688"/>
    <w:rsid w:val="00465750"/>
    <w:rsid w:val="004658E6"/>
    <w:rsid w:val="00466A63"/>
    <w:rsid w:val="00466B8C"/>
    <w:rsid w:val="00466B90"/>
    <w:rsid w:val="00467ADD"/>
    <w:rsid w:val="00467C56"/>
    <w:rsid w:val="00467DE0"/>
    <w:rsid w:val="00467DF6"/>
    <w:rsid w:val="004700A9"/>
    <w:rsid w:val="004700BF"/>
    <w:rsid w:val="004706CE"/>
    <w:rsid w:val="00470ADF"/>
    <w:rsid w:val="004713D2"/>
    <w:rsid w:val="004729AA"/>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2E8E"/>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0FDE"/>
    <w:rsid w:val="004A1152"/>
    <w:rsid w:val="004A25C3"/>
    <w:rsid w:val="004A26A4"/>
    <w:rsid w:val="004A2867"/>
    <w:rsid w:val="004A2F43"/>
    <w:rsid w:val="004A304E"/>
    <w:rsid w:val="004A35F9"/>
    <w:rsid w:val="004A3E4D"/>
    <w:rsid w:val="004A3E58"/>
    <w:rsid w:val="004A3EB0"/>
    <w:rsid w:val="004A420E"/>
    <w:rsid w:val="004A52A3"/>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B7C86"/>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1D3A"/>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6CD"/>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9DC"/>
    <w:rsid w:val="004F2EBF"/>
    <w:rsid w:val="004F31E3"/>
    <w:rsid w:val="004F3682"/>
    <w:rsid w:val="004F37C1"/>
    <w:rsid w:val="004F54A0"/>
    <w:rsid w:val="004F5B17"/>
    <w:rsid w:val="004F5F54"/>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76B"/>
    <w:rsid w:val="00506920"/>
    <w:rsid w:val="00506C92"/>
    <w:rsid w:val="00506D00"/>
    <w:rsid w:val="00507338"/>
    <w:rsid w:val="00510785"/>
    <w:rsid w:val="00511402"/>
    <w:rsid w:val="00511B24"/>
    <w:rsid w:val="0051214E"/>
    <w:rsid w:val="0051222D"/>
    <w:rsid w:val="005124C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16F"/>
    <w:rsid w:val="005247C9"/>
    <w:rsid w:val="00524BD5"/>
    <w:rsid w:val="00525093"/>
    <w:rsid w:val="0052544D"/>
    <w:rsid w:val="0052562F"/>
    <w:rsid w:val="005262CD"/>
    <w:rsid w:val="00527214"/>
    <w:rsid w:val="005276A7"/>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A7B"/>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579E9"/>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6799A"/>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21C"/>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60F2"/>
    <w:rsid w:val="00587805"/>
    <w:rsid w:val="00587C72"/>
    <w:rsid w:val="00587D59"/>
    <w:rsid w:val="005901E2"/>
    <w:rsid w:val="00590586"/>
    <w:rsid w:val="0059160C"/>
    <w:rsid w:val="00592237"/>
    <w:rsid w:val="0059229C"/>
    <w:rsid w:val="0059232D"/>
    <w:rsid w:val="005926C7"/>
    <w:rsid w:val="00592A96"/>
    <w:rsid w:val="005945B7"/>
    <w:rsid w:val="00594947"/>
    <w:rsid w:val="005949BD"/>
    <w:rsid w:val="00595BF4"/>
    <w:rsid w:val="00595E65"/>
    <w:rsid w:val="005963C4"/>
    <w:rsid w:val="00596FA0"/>
    <w:rsid w:val="005A027D"/>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4BE"/>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E7970"/>
    <w:rsid w:val="005F0A12"/>
    <w:rsid w:val="005F1201"/>
    <w:rsid w:val="005F17E8"/>
    <w:rsid w:val="005F1909"/>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09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7F4"/>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538"/>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0D75"/>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2EAE"/>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22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692"/>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24"/>
    <w:rsid w:val="006A4782"/>
    <w:rsid w:val="006A5BDB"/>
    <w:rsid w:val="006A62C9"/>
    <w:rsid w:val="006A6998"/>
    <w:rsid w:val="006A6BD3"/>
    <w:rsid w:val="006A78F0"/>
    <w:rsid w:val="006B00FA"/>
    <w:rsid w:val="006B012D"/>
    <w:rsid w:val="006B082C"/>
    <w:rsid w:val="006B0B8A"/>
    <w:rsid w:val="006B0E45"/>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289F"/>
    <w:rsid w:val="006C3A56"/>
    <w:rsid w:val="006C3E4A"/>
    <w:rsid w:val="006C3E4B"/>
    <w:rsid w:val="006C42C9"/>
    <w:rsid w:val="006C47F2"/>
    <w:rsid w:val="006C4872"/>
    <w:rsid w:val="006C4F00"/>
    <w:rsid w:val="006C57AD"/>
    <w:rsid w:val="006C5C28"/>
    <w:rsid w:val="006C6532"/>
    <w:rsid w:val="006C6622"/>
    <w:rsid w:val="006C6E9F"/>
    <w:rsid w:val="006C73D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055"/>
    <w:rsid w:val="006D6407"/>
    <w:rsid w:val="006D6760"/>
    <w:rsid w:val="006D6EA5"/>
    <w:rsid w:val="006D7C85"/>
    <w:rsid w:val="006E029D"/>
    <w:rsid w:val="006E0DE4"/>
    <w:rsid w:val="006E0ECE"/>
    <w:rsid w:val="006E128A"/>
    <w:rsid w:val="006E13D4"/>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74A"/>
    <w:rsid w:val="006F1ECD"/>
    <w:rsid w:val="006F253B"/>
    <w:rsid w:val="006F2D4B"/>
    <w:rsid w:val="006F3136"/>
    <w:rsid w:val="006F34B8"/>
    <w:rsid w:val="006F3A08"/>
    <w:rsid w:val="006F4E7D"/>
    <w:rsid w:val="006F59C2"/>
    <w:rsid w:val="006F60E2"/>
    <w:rsid w:val="006F66AD"/>
    <w:rsid w:val="006F6EC2"/>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4B00"/>
    <w:rsid w:val="00705B50"/>
    <w:rsid w:val="00705E2B"/>
    <w:rsid w:val="00706607"/>
    <w:rsid w:val="00706B20"/>
    <w:rsid w:val="00706E14"/>
    <w:rsid w:val="00707967"/>
    <w:rsid w:val="00707F09"/>
    <w:rsid w:val="0071001E"/>
    <w:rsid w:val="00710C35"/>
    <w:rsid w:val="00711051"/>
    <w:rsid w:val="00711527"/>
    <w:rsid w:val="0071167A"/>
    <w:rsid w:val="007117E3"/>
    <w:rsid w:val="00711803"/>
    <w:rsid w:val="0071190B"/>
    <w:rsid w:val="007123A0"/>
    <w:rsid w:val="007134B1"/>
    <w:rsid w:val="00714050"/>
    <w:rsid w:val="00714434"/>
    <w:rsid w:val="00714D7D"/>
    <w:rsid w:val="007151D9"/>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9BB"/>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075C"/>
    <w:rsid w:val="0073109F"/>
    <w:rsid w:val="00731B13"/>
    <w:rsid w:val="00731ED9"/>
    <w:rsid w:val="00731FB7"/>
    <w:rsid w:val="007321D9"/>
    <w:rsid w:val="007328AF"/>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64"/>
    <w:rsid w:val="00736EBE"/>
    <w:rsid w:val="00737271"/>
    <w:rsid w:val="007377FC"/>
    <w:rsid w:val="00737C15"/>
    <w:rsid w:val="00737D3D"/>
    <w:rsid w:val="00740214"/>
    <w:rsid w:val="00740BBD"/>
    <w:rsid w:val="00740D64"/>
    <w:rsid w:val="00740DA7"/>
    <w:rsid w:val="00740E80"/>
    <w:rsid w:val="00741729"/>
    <w:rsid w:val="00741CC8"/>
    <w:rsid w:val="007426AC"/>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1AF"/>
    <w:rsid w:val="007505E2"/>
    <w:rsid w:val="00750891"/>
    <w:rsid w:val="0075095D"/>
    <w:rsid w:val="00750D1E"/>
    <w:rsid w:val="00751389"/>
    <w:rsid w:val="00751475"/>
    <w:rsid w:val="0075171A"/>
    <w:rsid w:val="00751884"/>
    <w:rsid w:val="00751959"/>
    <w:rsid w:val="00751C38"/>
    <w:rsid w:val="00751E88"/>
    <w:rsid w:val="00751FFE"/>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14B"/>
    <w:rsid w:val="00763225"/>
    <w:rsid w:val="00763560"/>
    <w:rsid w:val="0076371C"/>
    <w:rsid w:val="00764638"/>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849"/>
    <w:rsid w:val="00776C7D"/>
    <w:rsid w:val="00776CA3"/>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039"/>
    <w:rsid w:val="007D4417"/>
    <w:rsid w:val="007D499F"/>
    <w:rsid w:val="007D5919"/>
    <w:rsid w:val="007D5939"/>
    <w:rsid w:val="007D60C6"/>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78F"/>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BF4"/>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328A"/>
    <w:rsid w:val="00805114"/>
    <w:rsid w:val="0080564D"/>
    <w:rsid w:val="008059A0"/>
    <w:rsid w:val="008060C2"/>
    <w:rsid w:val="00806234"/>
    <w:rsid w:val="00806D86"/>
    <w:rsid w:val="00806E9C"/>
    <w:rsid w:val="0080732E"/>
    <w:rsid w:val="008073D5"/>
    <w:rsid w:val="0080758B"/>
    <w:rsid w:val="00807C29"/>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27948"/>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65"/>
    <w:rsid w:val="008416A7"/>
    <w:rsid w:val="0084181D"/>
    <w:rsid w:val="008422D6"/>
    <w:rsid w:val="008424DA"/>
    <w:rsid w:val="008425AA"/>
    <w:rsid w:val="008429A7"/>
    <w:rsid w:val="00842E8E"/>
    <w:rsid w:val="0084318C"/>
    <w:rsid w:val="008432EA"/>
    <w:rsid w:val="00843D5C"/>
    <w:rsid w:val="0084451C"/>
    <w:rsid w:val="008449B8"/>
    <w:rsid w:val="0084544F"/>
    <w:rsid w:val="00846CB6"/>
    <w:rsid w:val="00847173"/>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05"/>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09D"/>
    <w:rsid w:val="00877834"/>
    <w:rsid w:val="00877A20"/>
    <w:rsid w:val="00880562"/>
    <w:rsid w:val="00880A3D"/>
    <w:rsid w:val="00880BF4"/>
    <w:rsid w:val="0088125C"/>
    <w:rsid w:val="0088130A"/>
    <w:rsid w:val="00881502"/>
    <w:rsid w:val="00881510"/>
    <w:rsid w:val="00881929"/>
    <w:rsid w:val="00881954"/>
    <w:rsid w:val="00881EB4"/>
    <w:rsid w:val="00882B89"/>
    <w:rsid w:val="00883094"/>
    <w:rsid w:val="00883222"/>
    <w:rsid w:val="00883D92"/>
    <w:rsid w:val="00884B61"/>
    <w:rsid w:val="00885582"/>
    <w:rsid w:val="008858BE"/>
    <w:rsid w:val="00885BFD"/>
    <w:rsid w:val="00885D6C"/>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AF1"/>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30B8"/>
    <w:rsid w:val="008F4EE9"/>
    <w:rsid w:val="008F52E9"/>
    <w:rsid w:val="008F53F0"/>
    <w:rsid w:val="008F58CD"/>
    <w:rsid w:val="008F5A01"/>
    <w:rsid w:val="008F5D23"/>
    <w:rsid w:val="008F7112"/>
    <w:rsid w:val="008F7BE9"/>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44"/>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6AB4"/>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52F"/>
    <w:rsid w:val="0094681A"/>
    <w:rsid w:val="00947FB1"/>
    <w:rsid w:val="009500E4"/>
    <w:rsid w:val="0095060E"/>
    <w:rsid w:val="0095083D"/>
    <w:rsid w:val="009509AD"/>
    <w:rsid w:val="00951359"/>
    <w:rsid w:val="00952A03"/>
    <w:rsid w:val="00952D77"/>
    <w:rsid w:val="00952FF9"/>
    <w:rsid w:val="00953077"/>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2E87"/>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77E60"/>
    <w:rsid w:val="00980346"/>
    <w:rsid w:val="00981008"/>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5FCB"/>
    <w:rsid w:val="0098612A"/>
    <w:rsid w:val="009864A2"/>
    <w:rsid w:val="0098652C"/>
    <w:rsid w:val="0098658B"/>
    <w:rsid w:val="00986692"/>
    <w:rsid w:val="00986ABE"/>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6E3"/>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A45"/>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9F7FFC"/>
    <w:rsid w:val="00A004C8"/>
    <w:rsid w:val="00A00D0A"/>
    <w:rsid w:val="00A017C5"/>
    <w:rsid w:val="00A01A2C"/>
    <w:rsid w:val="00A02040"/>
    <w:rsid w:val="00A023C4"/>
    <w:rsid w:val="00A038EE"/>
    <w:rsid w:val="00A03E1C"/>
    <w:rsid w:val="00A03F40"/>
    <w:rsid w:val="00A043C5"/>
    <w:rsid w:val="00A043EB"/>
    <w:rsid w:val="00A0541C"/>
    <w:rsid w:val="00A05E9A"/>
    <w:rsid w:val="00A071A5"/>
    <w:rsid w:val="00A072E7"/>
    <w:rsid w:val="00A075C3"/>
    <w:rsid w:val="00A076B1"/>
    <w:rsid w:val="00A10813"/>
    <w:rsid w:val="00A115C9"/>
    <w:rsid w:val="00A11CBA"/>
    <w:rsid w:val="00A11F34"/>
    <w:rsid w:val="00A128CD"/>
    <w:rsid w:val="00A1298F"/>
    <w:rsid w:val="00A12E85"/>
    <w:rsid w:val="00A13768"/>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595C"/>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79E"/>
    <w:rsid w:val="00A409C2"/>
    <w:rsid w:val="00A42635"/>
    <w:rsid w:val="00A43234"/>
    <w:rsid w:val="00A43EB0"/>
    <w:rsid w:val="00A442B7"/>
    <w:rsid w:val="00A44C59"/>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C08"/>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57B"/>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3E69"/>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168"/>
    <w:rsid w:val="00AD1A7B"/>
    <w:rsid w:val="00AD1B3A"/>
    <w:rsid w:val="00AD2178"/>
    <w:rsid w:val="00AD2257"/>
    <w:rsid w:val="00AD24AF"/>
    <w:rsid w:val="00AD3345"/>
    <w:rsid w:val="00AD3869"/>
    <w:rsid w:val="00AD4003"/>
    <w:rsid w:val="00AD4278"/>
    <w:rsid w:val="00AD487F"/>
    <w:rsid w:val="00AD4889"/>
    <w:rsid w:val="00AD5343"/>
    <w:rsid w:val="00AD5FD4"/>
    <w:rsid w:val="00AD6279"/>
    <w:rsid w:val="00AD6512"/>
    <w:rsid w:val="00AE1181"/>
    <w:rsid w:val="00AE12E5"/>
    <w:rsid w:val="00AE12F6"/>
    <w:rsid w:val="00AE13C5"/>
    <w:rsid w:val="00AE1422"/>
    <w:rsid w:val="00AE1E98"/>
    <w:rsid w:val="00AE3141"/>
    <w:rsid w:val="00AE3AB8"/>
    <w:rsid w:val="00AE3DE1"/>
    <w:rsid w:val="00AE3FC4"/>
    <w:rsid w:val="00AE42D8"/>
    <w:rsid w:val="00AE44FF"/>
    <w:rsid w:val="00AE541B"/>
    <w:rsid w:val="00AE5A5A"/>
    <w:rsid w:val="00AE5DDE"/>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6292"/>
    <w:rsid w:val="00AF7413"/>
    <w:rsid w:val="00AF75FC"/>
    <w:rsid w:val="00B000A9"/>
    <w:rsid w:val="00B000B3"/>
    <w:rsid w:val="00B005EF"/>
    <w:rsid w:val="00B00730"/>
    <w:rsid w:val="00B01838"/>
    <w:rsid w:val="00B0192D"/>
    <w:rsid w:val="00B01937"/>
    <w:rsid w:val="00B01A4B"/>
    <w:rsid w:val="00B01B22"/>
    <w:rsid w:val="00B01D7A"/>
    <w:rsid w:val="00B02089"/>
    <w:rsid w:val="00B0266D"/>
    <w:rsid w:val="00B026A7"/>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3EF5"/>
    <w:rsid w:val="00B14BE5"/>
    <w:rsid w:val="00B1529C"/>
    <w:rsid w:val="00B15838"/>
    <w:rsid w:val="00B16252"/>
    <w:rsid w:val="00B162A8"/>
    <w:rsid w:val="00B16C8F"/>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A6D"/>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87E"/>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56EF"/>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11"/>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4A"/>
    <w:rsid w:val="00BB60C7"/>
    <w:rsid w:val="00BB6F8D"/>
    <w:rsid w:val="00BB70A5"/>
    <w:rsid w:val="00BB7B3B"/>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BC8"/>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ED2"/>
    <w:rsid w:val="00BF6B61"/>
    <w:rsid w:val="00BF7384"/>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CEB"/>
    <w:rsid w:val="00C14E6C"/>
    <w:rsid w:val="00C1556F"/>
    <w:rsid w:val="00C178F9"/>
    <w:rsid w:val="00C20676"/>
    <w:rsid w:val="00C209A1"/>
    <w:rsid w:val="00C20D59"/>
    <w:rsid w:val="00C21E6A"/>
    <w:rsid w:val="00C22D36"/>
    <w:rsid w:val="00C22DFE"/>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23B"/>
    <w:rsid w:val="00C3658D"/>
    <w:rsid w:val="00C3673E"/>
    <w:rsid w:val="00C36C47"/>
    <w:rsid w:val="00C37765"/>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1802"/>
    <w:rsid w:val="00C5270A"/>
    <w:rsid w:val="00C52BE1"/>
    <w:rsid w:val="00C530DD"/>
    <w:rsid w:val="00C5318A"/>
    <w:rsid w:val="00C535C6"/>
    <w:rsid w:val="00C537DC"/>
    <w:rsid w:val="00C54206"/>
    <w:rsid w:val="00C5487E"/>
    <w:rsid w:val="00C54B87"/>
    <w:rsid w:val="00C56546"/>
    <w:rsid w:val="00C56CBD"/>
    <w:rsid w:val="00C570A6"/>
    <w:rsid w:val="00C57146"/>
    <w:rsid w:val="00C578A0"/>
    <w:rsid w:val="00C60E5F"/>
    <w:rsid w:val="00C6201B"/>
    <w:rsid w:val="00C625C2"/>
    <w:rsid w:val="00C6279D"/>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528"/>
    <w:rsid w:val="00C7164E"/>
    <w:rsid w:val="00C716D8"/>
    <w:rsid w:val="00C72CE1"/>
    <w:rsid w:val="00C73B88"/>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243"/>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0CF"/>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69F"/>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1F1B"/>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836"/>
    <w:rsid w:val="00D00AE0"/>
    <w:rsid w:val="00D010FB"/>
    <w:rsid w:val="00D015E7"/>
    <w:rsid w:val="00D019F2"/>
    <w:rsid w:val="00D01A6F"/>
    <w:rsid w:val="00D0202D"/>
    <w:rsid w:val="00D020B0"/>
    <w:rsid w:val="00D021DC"/>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4A3"/>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3EA4"/>
    <w:rsid w:val="00D441A1"/>
    <w:rsid w:val="00D444EB"/>
    <w:rsid w:val="00D45078"/>
    <w:rsid w:val="00D457CC"/>
    <w:rsid w:val="00D46846"/>
    <w:rsid w:val="00D469E9"/>
    <w:rsid w:val="00D46E9E"/>
    <w:rsid w:val="00D47438"/>
    <w:rsid w:val="00D4745B"/>
    <w:rsid w:val="00D47F8C"/>
    <w:rsid w:val="00D50029"/>
    <w:rsid w:val="00D51916"/>
    <w:rsid w:val="00D5242A"/>
    <w:rsid w:val="00D52F14"/>
    <w:rsid w:val="00D53340"/>
    <w:rsid w:val="00D536CF"/>
    <w:rsid w:val="00D55D07"/>
    <w:rsid w:val="00D56098"/>
    <w:rsid w:val="00D560B6"/>
    <w:rsid w:val="00D561B8"/>
    <w:rsid w:val="00D5692C"/>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1B1"/>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0C"/>
    <w:rsid w:val="00D816A0"/>
    <w:rsid w:val="00D81A13"/>
    <w:rsid w:val="00D82026"/>
    <w:rsid w:val="00D82979"/>
    <w:rsid w:val="00D82CB4"/>
    <w:rsid w:val="00D82F25"/>
    <w:rsid w:val="00D83AA7"/>
    <w:rsid w:val="00D84484"/>
    <w:rsid w:val="00D846E1"/>
    <w:rsid w:val="00D8479E"/>
    <w:rsid w:val="00D84839"/>
    <w:rsid w:val="00D85B14"/>
    <w:rsid w:val="00D85EB1"/>
    <w:rsid w:val="00D874A8"/>
    <w:rsid w:val="00D8778A"/>
    <w:rsid w:val="00D8789E"/>
    <w:rsid w:val="00D90485"/>
    <w:rsid w:val="00D90752"/>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801"/>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0C0B"/>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A86"/>
    <w:rsid w:val="00DF2B13"/>
    <w:rsid w:val="00DF37A1"/>
    <w:rsid w:val="00DF3FA5"/>
    <w:rsid w:val="00DF4239"/>
    <w:rsid w:val="00DF4EA6"/>
    <w:rsid w:val="00DF53CD"/>
    <w:rsid w:val="00DF5405"/>
    <w:rsid w:val="00DF5648"/>
    <w:rsid w:val="00DF579A"/>
    <w:rsid w:val="00DF622C"/>
    <w:rsid w:val="00DF6F60"/>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B83"/>
    <w:rsid w:val="00E05D82"/>
    <w:rsid w:val="00E06CCA"/>
    <w:rsid w:val="00E07BB8"/>
    <w:rsid w:val="00E1038F"/>
    <w:rsid w:val="00E103F1"/>
    <w:rsid w:val="00E106B6"/>
    <w:rsid w:val="00E10E54"/>
    <w:rsid w:val="00E10F4A"/>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4B"/>
    <w:rsid w:val="00E24DD5"/>
    <w:rsid w:val="00E25296"/>
    <w:rsid w:val="00E25618"/>
    <w:rsid w:val="00E25A80"/>
    <w:rsid w:val="00E26159"/>
    <w:rsid w:val="00E26481"/>
    <w:rsid w:val="00E27E36"/>
    <w:rsid w:val="00E27E3E"/>
    <w:rsid w:val="00E27EAB"/>
    <w:rsid w:val="00E300A3"/>
    <w:rsid w:val="00E30244"/>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4C98"/>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736A"/>
    <w:rsid w:val="00E67A17"/>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2F"/>
    <w:rsid w:val="00E826F1"/>
    <w:rsid w:val="00E8295F"/>
    <w:rsid w:val="00E83396"/>
    <w:rsid w:val="00E83523"/>
    <w:rsid w:val="00E838E6"/>
    <w:rsid w:val="00E839ED"/>
    <w:rsid w:val="00E83B46"/>
    <w:rsid w:val="00E83F3E"/>
    <w:rsid w:val="00E842D1"/>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4B1"/>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6D6"/>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E8A"/>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30B"/>
    <w:rsid w:val="00EF3435"/>
    <w:rsid w:val="00EF3C29"/>
    <w:rsid w:val="00EF3D5C"/>
    <w:rsid w:val="00EF453E"/>
    <w:rsid w:val="00EF46E3"/>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1FF0"/>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2BE"/>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39C6"/>
    <w:rsid w:val="00F4526D"/>
    <w:rsid w:val="00F46398"/>
    <w:rsid w:val="00F4754A"/>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EA1"/>
    <w:rsid w:val="00F55F79"/>
    <w:rsid w:val="00F5612D"/>
    <w:rsid w:val="00F56595"/>
    <w:rsid w:val="00F568E7"/>
    <w:rsid w:val="00F56B38"/>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32F"/>
    <w:rsid w:val="00F804C7"/>
    <w:rsid w:val="00F80740"/>
    <w:rsid w:val="00F81C18"/>
    <w:rsid w:val="00F82A36"/>
    <w:rsid w:val="00F8333A"/>
    <w:rsid w:val="00F83630"/>
    <w:rsid w:val="00F841F7"/>
    <w:rsid w:val="00F85047"/>
    <w:rsid w:val="00F85B40"/>
    <w:rsid w:val="00F85E27"/>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1BB"/>
    <w:rsid w:val="00FB7A7E"/>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4D9B"/>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ACB"/>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36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0F56-01BA-4496-97AB-76999E69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2023-01-26T08:10:00Z</cp:lastPrinted>
  <dcterms:created xsi:type="dcterms:W3CDTF">2023-02-17T09:08:00Z</dcterms:created>
  <dcterms:modified xsi:type="dcterms:W3CDTF">2023-02-17T09:08:00Z</dcterms:modified>
</cp:coreProperties>
</file>