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47594" w:rsidRDefault="0011530D" w:rsidP="0011530D">
      <w:pPr>
        <w:spacing w:after="0" w:line="360" w:lineRule="auto"/>
        <w:rPr>
          <w:rFonts w:ascii="Arial" w:hAnsi="Arial" w:cs="Arial"/>
          <w:b/>
          <w:sz w:val="25"/>
          <w:szCs w:val="25"/>
        </w:rPr>
      </w:pPr>
      <w:bookmarkStart w:id="0" w:name="_GoBack"/>
      <w:bookmarkEnd w:id="0"/>
      <w:proofErr w:type="gramStart"/>
      <w:r w:rsidRPr="00947594">
        <w:rPr>
          <w:rFonts w:ascii="Arial" w:hAnsi="Arial" w:cs="Arial"/>
          <w:b/>
          <w:sz w:val="25"/>
          <w:szCs w:val="25"/>
        </w:rPr>
        <w:t>IN THE LABOUR COURT OF ZIMBABWE</w:t>
      </w:r>
      <w:r w:rsidRPr="00947594">
        <w:rPr>
          <w:rFonts w:ascii="Arial" w:hAnsi="Arial" w:cs="Arial"/>
          <w:b/>
          <w:sz w:val="25"/>
          <w:szCs w:val="25"/>
        </w:rPr>
        <w:tab/>
      </w:r>
      <w:r w:rsidR="00761EF7" w:rsidRPr="00947594">
        <w:rPr>
          <w:rFonts w:ascii="Arial" w:hAnsi="Arial" w:cs="Arial"/>
          <w:b/>
          <w:sz w:val="25"/>
          <w:szCs w:val="25"/>
        </w:rPr>
        <w:t xml:space="preserve">  </w:t>
      </w:r>
      <w:r w:rsidR="000449EA" w:rsidRPr="00947594">
        <w:rPr>
          <w:rFonts w:ascii="Arial" w:hAnsi="Arial" w:cs="Arial"/>
          <w:b/>
          <w:sz w:val="25"/>
          <w:szCs w:val="25"/>
        </w:rPr>
        <w:t xml:space="preserve"> </w:t>
      </w:r>
      <w:r w:rsidRPr="00947594">
        <w:rPr>
          <w:rFonts w:ascii="Arial" w:hAnsi="Arial" w:cs="Arial"/>
          <w:b/>
          <w:sz w:val="25"/>
          <w:szCs w:val="25"/>
        </w:rPr>
        <w:t>JUDGMENT NO.</w:t>
      </w:r>
      <w:proofErr w:type="gramEnd"/>
      <w:r w:rsidRPr="00947594">
        <w:rPr>
          <w:rFonts w:ascii="Arial" w:hAnsi="Arial" w:cs="Arial"/>
          <w:b/>
          <w:sz w:val="25"/>
          <w:szCs w:val="25"/>
        </w:rPr>
        <w:t xml:space="preserve"> LC/H/</w:t>
      </w:r>
      <w:r w:rsidR="00F121A3">
        <w:rPr>
          <w:rFonts w:ascii="Arial" w:hAnsi="Arial" w:cs="Arial"/>
          <w:b/>
          <w:sz w:val="25"/>
          <w:szCs w:val="25"/>
        </w:rPr>
        <w:t>139</w:t>
      </w:r>
      <w:r w:rsidR="00BD43C4" w:rsidRPr="00947594">
        <w:rPr>
          <w:rFonts w:ascii="Arial" w:hAnsi="Arial" w:cs="Arial"/>
          <w:b/>
          <w:sz w:val="25"/>
          <w:szCs w:val="25"/>
        </w:rPr>
        <w:t>/16</w:t>
      </w:r>
    </w:p>
    <w:p w:rsidR="0011530D" w:rsidRPr="00947594" w:rsidRDefault="0011530D" w:rsidP="0011530D">
      <w:pPr>
        <w:spacing w:after="0" w:line="360" w:lineRule="auto"/>
        <w:rPr>
          <w:rFonts w:ascii="Arial" w:hAnsi="Arial" w:cs="Arial"/>
          <w:b/>
          <w:sz w:val="25"/>
          <w:szCs w:val="25"/>
        </w:rPr>
      </w:pPr>
      <w:r w:rsidRPr="00947594">
        <w:rPr>
          <w:rFonts w:ascii="Arial" w:hAnsi="Arial" w:cs="Arial"/>
          <w:b/>
          <w:sz w:val="25"/>
          <w:szCs w:val="25"/>
        </w:rPr>
        <w:t xml:space="preserve">HELD AT HARARE ON </w:t>
      </w:r>
      <w:r w:rsidR="009111D0" w:rsidRPr="00947594">
        <w:rPr>
          <w:rFonts w:ascii="Arial" w:hAnsi="Arial" w:cs="Arial"/>
          <w:b/>
          <w:sz w:val="25"/>
          <w:szCs w:val="25"/>
        </w:rPr>
        <w:t>1</w:t>
      </w:r>
      <w:r w:rsidR="00947594">
        <w:rPr>
          <w:rFonts w:ascii="Arial" w:hAnsi="Arial" w:cs="Arial"/>
          <w:b/>
          <w:sz w:val="25"/>
          <w:szCs w:val="25"/>
        </w:rPr>
        <w:t>7</w:t>
      </w:r>
      <w:r w:rsidR="009111D0" w:rsidRPr="00947594">
        <w:rPr>
          <w:rFonts w:ascii="Arial" w:hAnsi="Arial" w:cs="Arial"/>
          <w:b/>
          <w:sz w:val="25"/>
          <w:szCs w:val="25"/>
          <w:vertAlign w:val="superscript"/>
        </w:rPr>
        <w:t>th</w:t>
      </w:r>
      <w:r w:rsidR="007A3E60" w:rsidRPr="00947594">
        <w:rPr>
          <w:rFonts w:ascii="Arial" w:hAnsi="Arial" w:cs="Arial"/>
          <w:b/>
          <w:sz w:val="25"/>
          <w:szCs w:val="25"/>
        </w:rPr>
        <w:t xml:space="preserve"> </w:t>
      </w:r>
      <w:r w:rsidR="00947594">
        <w:rPr>
          <w:rFonts w:ascii="Arial" w:hAnsi="Arial" w:cs="Arial"/>
          <w:b/>
          <w:sz w:val="25"/>
          <w:szCs w:val="25"/>
        </w:rPr>
        <w:t>NOVEMBER</w:t>
      </w:r>
      <w:r w:rsidRPr="00947594">
        <w:rPr>
          <w:rFonts w:ascii="Arial" w:hAnsi="Arial" w:cs="Arial"/>
          <w:b/>
          <w:sz w:val="25"/>
          <w:szCs w:val="25"/>
        </w:rPr>
        <w:t>,</w:t>
      </w:r>
      <w:r w:rsidR="00947594">
        <w:rPr>
          <w:rFonts w:ascii="Arial" w:hAnsi="Arial" w:cs="Arial"/>
          <w:b/>
          <w:sz w:val="25"/>
          <w:szCs w:val="25"/>
        </w:rPr>
        <w:t xml:space="preserve"> 2015</w:t>
      </w:r>
      <w:r w:rsidR="00761EF7" w:rsidRPr="00947594">
        <w:rPr>
          <w:rFonts w:ascii="Arial" w:hAnsi="Arial" w:cs="Arial"/>
          <w:b/>
          <w:sz w:val="25"/>
          <w:szCs w:val="25"/>
        </w:rPr>
        <w:t xml:space="preserve">  </w:t>
      </w:r>
      <w:r w:rsidR="00F2481E" w:rsidRPr="00947594">
        <w:rPr>
          <w:rFonts w:ascii="Arial" w:hAnsi="Arial" w:cs="Arial"/>
          <w:b/>
          <w:sz w:val="25"/>
          <w:szCs w:val="25"/>
        </w:rPr>
        <w:t xml:space="preserve"> </w:t>
      </w:r>
      <w:r w:rsidR="001B7DFE" w:rsidRPr="00947594">
        <w:rPr>
          <w:rFonts w:ascii="Arial" w:hAnsi="Arial" w:cs="Arial"/>
          <w:b/>
          <w:sz w:val="25"/>
          <w:szCs w:val="25"/>
        </w:rPr>
        <w:t xml:space="preserve">  </w:t>
      </w:r>
      <w:r w:rsidR="00F2481E" w:rsidRPr="00947594">
        <w:rPr>
          <w:rFonts w:ascii="Arial" w:hAnsi="Arial" w:cs="Arial"/>
          <w:b/>
          <w:sz w:val="25"/>
          <w:szCs w:val="25"/>
        </w:rPr>
        <w:t>CASE NO.</w:t>
      </w:r>
      <w:r w:rsidR="001B7DFE" w:rsidRPr="00947594">
        <w:rPr>
          <w:rFonts w:ascii="Arial" w:hAnsi="Arial" w:cs="Arial"/>
          <w:b/>
          <w:sz w:val="25"/>
          <w:szCs w:val="25"/>
        </w:rPr>
        <w:t xml:space="preserve"> </w:t>
      </w:r>
      <w:r w:rsidR="00542814" w:rsidRPr="00947594">
        <w:rPr>
          <w:rFonts w:ascii="Arial" w:hAnsi="Arial" w:cs="Arial"/>
          <w:b/>
          <w:sz w:val="25"/>
          <w:szCs w:val="25"/>
        </w:rPr>
        <w:t>LC/</w:t>
      </w:r>
      <w:r w:rsidR="00257EAA" w:rsidRPr="00947594">
        <w:rPr>
          <w:rFonts w:ascii="Arial" w:hAnsi="Arial" w:cs="Arial"/>
          <w:b/>
          <w:sz w:val="25"/>
          <w:szCs w:val="25"/>
        </w:rPr>
        <w:t>H/</w:t>
      </w:r>
      <w:r w:rsidR="009111D0" w:rsidRPr="00947594">
        <w:rPr>
          <w:rFonts w:ascii="Arial" w:hAnsi="Arial" w:cs="Arial"/>
          <w:b/>
          <w:sz w:val="25"/>
          <w:szCs w:val="25"/>
        </w:rPr>
        <w:t>5</w:t>
      </w:r>
      <w:r w:rsidR="00947594">
        <w:rPr>
          <w:rFonts w:ascii="Arial" w:hAnsi="Arial" w:cs="Arial"/>
          <w:b/>
          <w:sz w:val="25"/>
          <w:szCs w:val="25"/>
        </w:rPr>
        <w:t>60</w:t>
      </w:r>
      <w:r w:rsidR="00192EC2" w:rsidRPr="00947594">
        <w:rPr>
          <w:rFonts w:ascii="Arial" w:hAnsi="Arial" w:cs="Arial"/>
          <w:b/>
          <w:sz w:val="25"/>
          <w:szCs w:val="25"/>
        </w:rPr>
        <w:t>/</w:t>
      </w:r>
      <w:r w:rsidR="00947594">
        <w:rPr>
          <w:rFonts w:ascii="Arial" w:hAnsi="Arial" w:cs="Arial"/>
          <w:b/>
          <w:sz w:val="25"/>
          <w:szCs w:val="25"/>
        </w:rPr>
        <w:t>11</w:t>
      </w:r>
    </w:p>
    <w:p w:rsidR="007A3E60" w:rsidRPr="00D95B8F" w:rsidRDefault="0011530D" w:rsidP="00F2481E">
      <w:pPr>
        <w:spacing w:after="0" w:line="360" w:lineRule="auto"/>
        <w:rPr>
          <w:rFonts w:ascii="Tahoma" w:hAnsi="Tahoma" w:cs="Tahoma"/>
          <w:b/>
          <w:sz w:val="25"/>
          <w:szCs w:val="25"/>
        </w:rPr>
      </w:pPr>
      <w:r w:rsidRPr="00947594">
        <w:rPr>
          <w:rFonts w:ascii="Arial" w:hAnsi="Arial" w:cs="Arial"/>
          <w:b/>
          <w:sz w:val="25"/>
          <w:szCs w:val="25"/>
        </w:rPr>
        <w:t xml:space="preserve">AND </w:t>
      </w:r>
      <w:r w:rsidR="00947594">
        <w:rPr>
          <w:rFonts w:ascii="Arial" w:hAnsi="Arial" w:cs="Arial"/>
          <w:b/>
          <w:sz w:val="25"/>
          <w:szCs w:val="25"/>
        </w:rPr>
        <w:t>18</w:t>
      </w:r>
      <w:r w:rsidR="000E5A35" w:rsidRPr="00947594">
        <w:rPr>
          <w:rFonts w:ascii="Arial" w:hAnsi="Arial" w:cs="Arial"/>
          <w:b/>
          <w:sz w:val="25"/>
          <w:szCs w:val="25"/>
          <w:vertAlign w:val="superscript"/>
        </w:rPr>
        <w:t>TH</w:t>
      </w:r>
      <w:r w:rsidR="000E5A35" w:rsidRPr="00947594">
        <w:rPr>
          <w:rFonts w:ascii="Arial" w:hAnsi="Arial" w:cs="Arial"/>
          <w:b/>
          <w:sz w:val="25"/>
          <w:szCs w:val="25"/>
        </w:rPr>
        <w:t xml:space="preserve"> MARCH</w:t>
      </w:r>
      <w:r w:rsidR="00BD43C4" w:rsidRPr="00947594">
        <w:rPr>
          <w:rFonts w:ascii="Arial" w:hAnsi="Arial" w:cs="Arial"/>
          <w:b/>
          <w:sz w:val="25"/>
          <w:szCs w:val="25"/>
        </w:rPr>
        <w:t>, 2016</w:t>
      </w:r>
      <w:r w:rsidR="004E6DBC" w:rsidRPr="00947594">
        <w:rPr>
          <w:rFonts w:ascii="Arial" w:hAnsi="Arial" w:cs="Arial"/>
          <w:b/>
          <w:sz w:val="25"/>
          <w:szCs w:val="25"/>
        </w:rPr>
        <w:tab/>
      </w:r>
      <w:r w:rsidR="001B7DFE" w:rsidRPr="00947594">
        <w:rPr>
          <w:rFonts w:ascii="Arial" w:hAnsi="Arial" w:cs="Arial"/>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947594" w:rsidP="0011530D">
      <w:pPr>
        <w:spacing w:after="0" w:line="360" w:lineRule="auto"/>
        <w:rPr>
          <w:rFonts w:ascii="Tahoma" w:hAnsi="Tahoma" w:cs="Tahoma"/>
          <w:b/>
          <w:sz w:val="25"/>
          <w:szCs w:val="25"/>
        </w:rPr>
      </w:pPr>
      <w:r>
        <w:rPr>
          <w:rFonts w:ascii="Tahoma" w:hAnsi="Tahoma" w:cs="Tahoma"/>
          <w:b/>
          <w:sz w:val="25"/>
          <w:szCs w:val="25"/>
        </w:rPr>
        <w:t>MARONDERA MUNICIPALITY</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D7FC8">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947594" w:rsidP="0011530D">
      <w:pPr>
        <w:spacing w:after="0" w:line="240" w:lineRule="auto"/>
        <w:rPr>
          <w:rFonts w:ascii="Tahoma" w:hAnsi="Tahoma" w:cs="Tahoma"/>
          <w:b/>
          <w:sz w:val="25"/>
          <w:szCs w:val="25"/>
        </w:rPr>
      </w:pPr>
      <w:r>
        <w:rPr>
          <w:rFonts w:ascii="Tahoma" w:hAnsi="Tahoma" w:cs="Tahoma"/>
          <w:b/>
          <w:sz w:val="25"/>
          <w:szCs w:val="25"/>
        </w:rPr>
        <w:t>BONGANI GUSWANA</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roofErr w:type="gramEnd"/>
    </w:p>
    <w:p w:rsidR="00652B98" w:rsidRDefault="004C0E8D" w:rsidP="00947594">
      <w:pPr>
        <w:spacing w:after="0" w:line="360" w:lineRule="auto"/>
        <w:rPr>
          <w:rFonts w:ascii="Tahoma" w:hAnsi="Tahoma" w:cs="Tahoma"/>
          <w:b/>
          <w:sz w:val="25"/>
          <w:szCs w:val="25"/>
        </w:rPr>
      </w:pPr>
      <w:r w:rsidRPr="00D95B8F">
        <w:rPr>
          <w:rFonts w:ascii="Tahoma" w:hAnsi="Tahoma" w:cs="Tahoma"/>
          <w:b/>
          <w:sz w:val="25"/>
          <w:szCs w:val="25"/>
        </w:rPr>
        <w:t>For App</w:t>
      </w:r>
      <w:r w:rsidR="001F6C80">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947594">
        <w:rPr>
          <w:rFonts w:ascii="Tahoma" w:hAnsi="Tahoma" w:cs="Tahoma"/>
          <w:b/>
          <w:sz w:val="25"/>
          <w:szCs w:val="25"/>
        </w:rPr>
        <w:t xml:space="preserve">Mr O. </w:t>
      </w:r>
      <w:proofErr w:type="spellStart"/>
      <w:r w:rsidR="00947594">
        <w:rPr>
          <w:rFonts w:ascii="Tahoma" w:hAnsi="Tahoma" w:cs="Tahoma"/>
          <w:b/>
          <w:sz w:val="25"/>
          <w:szCs w:val="25"/>
        </w:rPr>
        <w:t>Shava</w:t>
      </w:r>
      <w:proofErr w:type="spellEnd"/>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w:t>
      </w:r>
      <w:r w:rsidR="00947594">
        <w:rPr>
          <w:rFonts w:ascii="Tahoma" w:hAnsi="Tahoma" w:cs="Tahoma"/>
          <w:b/>
          <w:sz w:val="25"/>
          <w:szCs w:val="25"/>
        </w:rPr>
        <w:t>r</w:t>
      </w:r>
      <w:r w:rsidR="003102CF" w:rsidRPr="00D95B8F">
        <w:rPr>
          <w:rFonts w:ascii="Tahoma" w:hAnsi="Tahoma" w:cs="Tahoma"/>
          <w:b/>
          <w:sz w:val="25"/>
          <w:szCs w:val="25"/>
        </w:rPr>
        <w:t xml:space="preserve"> </w:t>
      </w:r>
      <w:r w:rsidR="00947594">
        <w:rPr>
          <w:rFonts w:ascii="Tahoma" w:hAnsi="Tahoma" w:cs="Tahoma"/>
          <w:b/>
          <w:sz w:val="25"/>
          <w:szCs w:val="25"/>
        </w:rPr>
        <w:t>S</w:t>
      </w:r>
      <w:r w:rsidR="00F11DA5">
        <w:rPr>
          <w:rFonts w:ascii="Tahoma" w:hAnsi="Tahoma" w:cs="Tahoma"/>
          <w:b/>
          <w:sz w:val="25"/>
          <w:szCs w:val="25"/>
        </w:rPr>
        <w:t xml:space="preserve">. </w:t>
      </w:r>
      <w:proofErr w:type="spellStart"/>
      <w:r w:rsidR="00652B98">
        <w:rPr>
          <w:rFonts w:ascii="Tahoma" w:hAnsi="Tahoma" w:cs="Tahoma"/>
          <w:b/>
          <w:sz w:val="25"/>
          <w:szCs w:val="25"/>
        </w:rPr>
        <w:t>Z</w:t>
      </w:r>
      <w:r w:rsidR="00947594">
        <w:rPr>
          <w:rFonts w:ascii="Tahoma" w:hAnsi="Tahoma" w:cs="Tahoma"/>
          <w:b/>
          <w:sz w:val="25"/>
          <w:szCs w:val="25"/>
        </w:rPr>
        <w:t>vinavakobvu</w:t>
      </w:r>
      <w:proofErr w:type="spellEnd"/>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947594"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947594">
        <w:rPr>
          <w:rFonts w:ascii="Tahoma" w:hAnsi="Tahoma" w:cs="Tahoma"/>
          <w:sz w:val="25"/>
          <w:szCs w:val="25"/>
        </w:rPr>
        <w:t xml:space="preserve">A brief background of the matter which has brought about this </w:t>
      </w:r>
      <w:proofErr w:type="gramStart"/>
      <w:r w:rsidR="00947594">
        <w:rPr>
          <w:rFonts w:ascii="Tahoma" w:hAnsi="Tahoma" w:cs="Tahoma"/>
          <w:sz w:val="25"/>
          <w:szCs w:val="25"/>
        </w:rPr>
        <w:t>appeal,</w:t>
      </w:r>
      <w:proofErr w:type="gramEnd"/>
      <w:r w:rsidR="00947594">
        <w:rPr>
          <w:rFonts w:ascii="Tahoma" w:hAnsi="Tahoma" w:cs="Tahoma"/>
          <w:sz w:val="25"/>
          <w:szCs w:val="25"/>
        </w:rPr>
        <w:t xml:space="preserve"> is that Respondent was Appellant’s employee as an Accounting Assistant Projects as from October, 2009.  </w:t>
      </w:r>
      <w:proofErr w:type="gramStart"/>
      <w:r w:rsidR="00947594">
        <w:rPr>
          <w:rFonts w:ascii="Tahoma" w:hAnsi="Tahoma" w:cs="Tahoma"/>
          <w:sz w:val="25"/>
          <w:szCs w:val="25"/>
        </w:rPr>
        <w:t xml:space="preserve">Prior to that he had been moved from Appellant’s employ to </w:t>
      </w:r>
      <w:proofErr w:type="spellStart"/>
      <w:r w:rsidR="00947594">
        <w:rPr>
          <w:rFonts w:ascii="Tahoma" w:hAnsi="Tahoma" w:cs="Tahoma"/>
          <w:sz w:val="25"/>
          <w:szCs w:val="25"/>
        </w:rPr>
        <w:t>Zinwa</w:t>
      </w:r>
      <w:proofErr w:type="spellEnd"/>
      <w:r w:rsidR="00947594">
        <w:rPr>
          <w:rFonts w:ascii="Tahoma" w:hAnsi="Tahoma" w:cs="Tahoma"/>
          <w:sz w:val="25"/>
          <w:szCs w:val="25"/>
        </w:rPr>
        <w:t xml:space="preserve"> and back after having joined Appellant in 1996.</w:t>
      </w:r>
      <w:proofErr w:type="gramEnd"/>
      <w:r w:rsidR="00947594">
        <w:rPr>
          <w:rFonts w:ascii="Tahoma" w:hAnsi="Tahoma" w:cs="Tahoma"/>
          <w:sz w:val="25"/>
          <w:szCs w:val="25"/>
        </w:rPr>
        <w:t xml:space="preserve"> </w:t>
      </w:r>
    </w:p>
    <w:p w:rsidR="00947594" w:rsidRDefault="00947594" w:rsidP="00A42E04">
      <w:pPr>
        <w:spacing w:after="0" w:line="360" w:lineRule="auto"/>
        <w:jc w:val="both"/>
        <w:rPr>
          <w:rFonts w:ascii="Tahoma" w:hAnsi="Tahoma" w:cs="Tahoma"/>
          <w:sz w:val="25"/>
          <w:szCs w:val="25"/>
        </w:rPr>
      </w:pPr>
    </w:p>
    <w:p w:rsidR="00947594" w:rsidRDefault="00947594" w:rsidP="00A42E04">
      <w:pPr>
        <w:spacing w:after="0" w:line="360" w:lineRule="auto"/>
        <w:jc w:val="both"/>
        <w:rPr>
          <w:rFonts w:ascii="Tahoma" w:hAnsi="Tahoma" w:cs="Tahoma"/>
          <w:sz w:val="25"/>
          <w:szCs w:val="25"/>
        </w:rPr>
      </w:pPr>
      <w:r>
        <w:rPr>
          <w:rFonts w:ascii="Tahoma" w:hAnsi="Tahoma" w:cs="Tahoma"/>
          <w:sz w:val="25"/>
          <w:szCs w:val="25"/>
        </w:rPr>
        <w:tab/>
        <w:t>On the 26</w:t>
      </w:r>
      <w:r w:rsidRPr="00947594">
        <w:rPr>
          <w:rFonts w:ascii="Tahoma" w:hAnsi="Tahoma" w:cs="Tahoma"/>
          <w:sz w:val="25"/>
          <w:szCs w:val="25"/>
          <w:vertAlign w:val="superscript"/>
        </w:rPr>
        <w:t>th</w:t>
      </w:r>
      <w:r>
        <w:rPr>
          <w:rFonts w:ascii="Tahoma" w:hAnsi="Tahoma" w:cs="Tahoma"/>
          <w:sz w:val="25"/>
          <w:szCs w:val="25"/>
        </w:rPr>
        <w:t xml:space="preserve"> February, 2010 Respondent appeared before a Disciplinary Committee to answer nine charges of acts of misconduct.  The Disciplinary Committee found him guilty of the said charges and he was dismissed from Appellant’s employ. </w:t>
      </w:r>
    </w:p>
    <w:p w:rsidR="00947594" w:rsidRDefault="00947594" w:rsidP="00A42E04">
      <w:pPr>
        <w:spacing w:after="0" w:line="360" w:lineRule="auto"/>
        <w:jc w:val="both"/>
        <w:rPr>
          <w:rFonts w:ascii="Tahoma" w:hAnsi="Tahoma" w:cs="Tahoma"/>
          <w:sz w:val="25"/>
          <w:szCs w:val="25"/>
        </w:rPr>
      </w:pPr>
    </w:p>
    <w:p w:rsidR="00F23AD5" w:rsidRDefault="00947594" w:rsidP="00A42E04">
      <w:pPr>
        <w:spacing w:after="0" w:line="360" w:lineRule="auto"/>
        <w:jc w:val="both"/>
        <w:rPr>
          <w:rFonts w:ascii="Tahoma" w:hAnsi="Tahoma" w:cs="Tahoma"/>
          <w:sz w:val="25"/>
          <w:szCs w:val="25"/>
        </w:rPr>
      </w:pPr>
      <w:r>
        <w:rPr>
          <w:rFonts w:ascii="Tahoma" w:hAnsi="Tahoma" w:cs="Tahoma"/>
          <w:sz w:val="25"/>
          <w:szCs w:val="25"/>
        </w:rPr>
        <w:tab/>
        <w:t>The matter was referred to arbitration whereupon the verdict of guilty was not interfered with.  It was only the dismissal penalty that was interfered with.  The Arbitrator had this to say in his analysis of the evidence,</w:t>
      </w:r>
    </w:p>
    <w:p w:rsidR="00F23AD5" w:rsidRDefault="00F23AD5" w:rsidP="00A42E04">
      <w:pPr>
        <w:spacing w:after="0" w:line="360" w:lineRule="auto"/>
        <w:jc w:val="both"/>
        <w:rPr>
          <w:rFonts w:ascii="Tahoma" w:hAnsi="Tahoma" w:cs="Tahoma"/>
          <w:sz w:val="25"/>
          <w:szCs w:val="25"/>
        </w:rPr>
      </w:pPr>
    </w:p>
    <w:p w:rsidR="00F23AD5" w:rsidRPr="00F23AD5" w:rsidRDefault="00F23AD5" w:rsidP="00F23AD5">
      <w:pPr>
        <w:spacing w:after="0" w:line="360" w:lineRule="auto"/>
        <w:ind w:left="720"/>
        <w:jc w:val="both"/>
        <w:rPr>
          <w:rFonts w:ascii="Times New Roman" w:hAnsi="Times New Roman" w:cs="Times New Roman"/>
          <w:b/>
          <w:i/>
          <w:sz w:val="24"/>
          <w:szCs w:val="24"/>
        </w:rPr>
      </w:pPr>
      <w:r w:rsidRPr="00F23AD5">
        <w:rPr>
          <w:rFonts w:ascii="Times New Roman" w:hAnsi="Times New Roman" w:cs="Times New Roman"/>
          <w:b/>
          <w:i/>
          <w:sz w:val="24"/>
          <w:szCs w:val="24"/>
        </w:rPr>
        <w:lastRenderedPageBreak/>
        <w:t>“Two penalties were handed down for the same offence, i.e. dismissal and reimbursement/payment of restitution amounting to USD784</w:t>
      </w:r>
      <w:proofErr w:type="gramStart"/>
      <w:r w:rsidRPr="00F23AD5">
        <w:rPr>
          <w:rFonts w:ascii="Times New Roman" w:hAnsi="Times New Roman" w:cs="Times New Roman"/>
          <w:b/>
          <w:i/>
          <w:sz w:val="24"/>
          <w:szCs w:val="24"/>
        </w:rPr>
        <w:t>,00</w:t>
      </w:r>
      <w:proofErr w:type="gramEnd"/>
      <w:r w:rsidRPr="00F23AD5">
        <w:rPr>
          <w:rFonts w:ascii="Times New Roman" w:hAnsi="Times New Roman" w:cs="Times New Roman"/>
          <w:b/>
          <w:i/>
          <w:sz w:val="24"/>
          <w:szCs w:val="24"/>
        </w:rPr>
        <w:t>.</w:t>
      </w:r>
      <w:r w:rsidR="004C0E8D" w:rsidRPr="00F23AD5">
        <w:rPr>
          <w:rFonts w:ascii="Times New Roman" w:hAnsi="Times New Roman" w:cs="Times New Roman"/>
          <w:b/>
          <w:i/>
          <w:sz w:val="24"/>
          <w:szCs w:val="24"/>
        </w:rPr>
        <w:t xml:space="preserve"> </w:t>
      </w:r>
      <w:r w:rsidRPr="00F23AD5">
        <w:rPr>
          <w:rFonts w:ascii="Times New Roman" w:hAnsi="Times New Roman" w:cs="Times New Roman"/>
          <w:b/>
          <w:i/>
          <w:sz w:val="24"/>
          <w:szCs w:val="24"/>
        </w:rPr>
        <w:t xml:space="preserve"> In my view dismissal should be a sanction of last resort.  The employer should consider giving warnings, providing training for under performers or were (sic) someone is given new duties as is the case in this matter. </w:t>
      </w:r>
    </w:p>
    <w:p w:rsidR="00F23AD5" w:rsidRPr="00F23AD5" w:rsidRDefault="00F23AD5" w:rsidP="00F23AD5">
      <w:pPr>
        <w:spacing w:after="0" w:line="360" w:lineRule="auto"/>
        <w:ind w:left="720"/>
        <w:jc w:val="both"/>
        <w:rPr>
          <w:rFonts w:ascii="Times New Roman" w:hAnsi="Times New Roman" w:cs="Times New Roman"/>
          <w:b/>
          <w:i/>
          <w:sz w:val="24"/>
          <w:szCs w:val="24"/>
        </w:rPr>
      </w:pPr>
    </w:p>
    <w:p w:rsidR="00F23AD5" w:rsidRPr="00F23AD5" w:rsidRDefault="00F23AD5" w:rsidP="00F23AD5">
      <w:pPr>
        <w:spacing w:after="0" w:line="360" w:lineRule="auto"/>
        <w:ind w:left="720"/>
        <w:jc w:val="both"/>
        <w:rPr>
          <w:rFonts w:ascii="Times New Roman" w:hAnsi="Times New Roman" w:cs="Times New Roman"/>
          <w:b/>
          <w:i/>
          <w:sz w:val="24"/>
          <w:szCs w:val="24"/>
        </w:rPr>
      </w:pPr>
      <w:r w:rsidRPr="00F23AD5">
        <w:rPr>
          <w:rFonts w:ascii="Times New Roman" w:hAnsi="Times New Roman" w:cs="Times New Roman"/>
          <w:b/>
          <w:i/>
          <w:sz w:val="24"/>
          <w:szCs w:val="24"/>
        </w:rPr>
        <w:t xml:space="preserve">Before termination the employer should also consider employee’s disciplinary record, period of service and other </w:t>
      </w:r>
      <w:proofErr w:type="spellStart"/>
      <w:r w:rsidRPr="00F23AD5">
        <w:rPr>
          <w:rFonts w:ascii="Times New Roman" w:hAnsi="Times New Roman" w:cs="Times New Roman"/>
          <w:b/>
          <w:i/>
          <w:sz w:val="24"/>
          <w:szCs w:val="24"/>
        </w:rPr>
        <w:t>mitigatory</w:t>
      </w:r>
      <w:proofErr w:type="spellEnd"/>
      <w:r w:rsidRPr="00F23AD5">
        <w:rPr>
          <w:rFonts w:ascii="Times New Roman" w:hAnsi="Times New Roman" w:cs="Times New Roman"/>
          <w:b/>
          <w:i/>
          <w:sz w:val="24"/>
          <w:szCs w:val="24"/>
        </w:rPr>
        <w:t xml:space="preserve"> factors.  In this matter employee had served council since 1996.”</w:t>
      </w:r>
    </w:p>
    <w:p w:rsidR="00F23AD5" w:rsidRPr="00F23AD5" w:rsidRDefault="00F23AD5" w:rsidP="00F23AD5">
      <w:pPr>
        <w:spacing w:after="0" w:line="360" w:lineRule="auto"/>
        <w:ind w:left="720"/>
        <w:jc w:val="both"/>
        <w:rPr>
          <w:rFonts w:ascii="Times New Roman" w:hAnsi="Times New Roman" w:cs="Times New Roman"/>
          <w:b/>
          <w:i/>
          <w:sz w:val="24"/>
          <w:szCs w:val="24"/>
        </w:rPr>
      </w:pPr>
    </w:p>
    <w:p w:rsidR="00F23AD5" w:rsidRDefault="00F23AD5" w:rsidP="00F23AD5">
      <w:pPr>
        <w:spacing w:after="0" w:line="360" w:lineRule="auto"/>
        <w:jc w:val="both"/>
        <w:rPr>
          <w:rFonts w:ascii="Tahoma" w:hAnsi="Tahoma" w:cs="Tahoma"/>
          <w:sz w:val="25"/>
          <w:szCs w:val="25"/>
        </w:rPr>
      </w:pPr>
      <w:r>
        <w:rPr>
          <w:rFonts w:ascii="Tahoma" w:hAnsi="Tahoma" w:cs="Tahoma"/>
          <w:sz w:val="25"/>
          <w:szCs w:val="25"/>
        </w:rPr>
        <w:tab/>
        <w:t>In his award, the Arbitrator stated:</w:t>
      </w:r>
    </w:p>
    <w:p w:rsidR="00F23AD5" w:rsidRDefault="00F23AD5" w:rsidP="00F23AD5">
      <w:pPr>
        <w:spacing w:after="0" w:line="360" w:lineRule="auto"/>
        <w:jc w:val="both"/>
        <w:rPr>
          <w:rFonts w:ascii="Tahoma" w:hAnsi="Tahoma" w:cs="Tahoma"/>
          <w:sz w:val="25"/>
          <w:szCs w:val="25"/>
        </w:rPr>
      </w:pPr>
    </w:p>
    <w:p w:rsidR="00F23AD5" w:rsidRPr="0024417B" w:rsidRDefault="00F23AD5" w:rsidP="00F23AD5">
      <w:pPr>
        <w:spacing w:after="0" w:line="360" w:lineRule="auto"/>
        <w:ind w:left="720"/>
        <w:jc w:val="both"/>
        <w:rPr>
          <w:rFonts w:ascii="Times New Roman" w:hAnsi="Times New Roman" w:cs="Times New Roman"/>
          <w:b/>
          <w:i/>
          <w:sz w:val="24"/>
          <w:szCs w:val="24"/>
        </w:rPr>
      </w:pPr>
      <w:r w:rsidRPr="0024417B">
        <w:rPr>
          <w:rFonts w:ascii="Times New Roman" w:hAnsi="Times New Roman" w:cs="Times New Roman"/>
          <w:b/>
          <w:i/>
          <w:sz w:val="24"/>
          <w:szCs w:val="24"/>
        </w:rPr>
        <w:t>“…In my view the employer was supposed to give one sanction either dismissal or payment of restitution and not both …”</w:t>
      </w:r>
    </w:p>
    <w:p w:rsidR="00A42E04" w:rsidRDefault="00A42E04" w:rsidP="00A42E04">
      <w:pPr>
        <w:spacing w:after="0" w:line="360" w:lineRule="auto"/>
        <w:jc w:val="both"/>
        <w:rPr>
          <w:rFonts w:ascii="Tahoma" w:hAnsi="Tahoma" w:cs="Tahoma"/>
          <w:sz w:val="25"/>
          <w:szCs w:val="25"/>
        </w:rPr>
      </w:pPr>
    </w:p>
    <w:p w:rsidR="0024417B" w:rsidRDefault="0024417B" w:rsidP="00A42E04">
      <w:pPr>
        <w:spacing w:after="0" w:line="360" w:lineRule="auto"/>
        <w:jc w:val="both"/>
        <w:rPr>
          <w:rFonts w:ascii="Tahoma" w:hAnsi="Tahoma" w:cs="Tahoma"/>
          <w:sz w:val="25"/>
          <w:szCs w:val="25"/>
        </w:rPr>
      </w:pPr>
      <w:r>
        <w:rPr>
          <w:rFonts w:ascii="Tahoma" w:hAnsi="Tahoma" w:cs="Tahoma"/>
          <w:sz w:val="25"/>
          <w:szCs w:val="25"/>
        </w:rPr>
        <w:tab/>
        <w:t xml:space="preserve">I find two issues on which the Arbitrator grossly misdirected himself.  The first one being the finding that Appellant imposed two penalties.  </w:t>
      </w:r>
      <w:proofErr w:type="gramStart"/>
      <w:r>
        <w:rPr>
          <w:rFonts w:ascii="Tahoma" w:hAnsi="Tahoma" w:cs="Tahoma"/>
          <w:sz w:val="25"/>
          <w:szCs w:val="25"/>
        </w:rPr>
        <w:t xml:space="preserve">The second one being the interference with the </w:t>
      </w:r>
      <w:proofErr w:type="spellStart"/>
      <w:r>
        <w:rPr>
          <w:rFonts w:ascii="Tahoma" w:hAnsi="Tahoma" w:cs="Tahoma"/>
          <w:sz w:val="25"/>
          <w:szCs w:val="25"/>
        </w:rPr>
        <w:t>exercuse</w:t>
      </w:r>
      <w:proofErr w:type="spellEnd"/>
      <w:r>
        <w:rPr>
          <w:rFonts w:ascii="Tahoma" w:hAnsi="Tahoma" w:cs="Tahoma"/>
          <w:sz w:val="25"/>
          <w:szCs w:val="25"/>
        </w:rPr>
        <w:t xml:space="preserve"> of the employer’s discretion on the penalty where the employer has taken a serious view of the acts of misconduct.</w:t>
      </w:r>
      <w:proofErr w:type="gramEnd"/>
      <w:r>
        <w:rPr>
          <w:rFonts w:ascii="Tahoma" w:hAnsi="Tahoma" w:cs="Tahoma"/>
          <w:sz w:val="25"/>
          <w:szCs w:val="25"/>
        </w:rPr>
        <w:t xml:space="preserve"> </w:t>
      </w:r>
    </w:p>
    <w:p w:rsidR="0024417B" w:rsidRDefault="0024417B" w:rsidP="00A42E04">
      <w:pPr>
        <w:spacing w:after="0" w:line="360" w:lineRule="auto"/>
        <w:jc w:val="both"/>
        <w:rPr>
          <w:rFonts w:ascii="Tahoma" w:hAnsi="Tahoma" w:cs="Tahoma"/>
          <w:sz w:val="25"/>
          <w:szCs w:val="25"/>
        </w:rPr>
      </w:pPr>
    </w:p>
    <w:p w:rsidR="0024417B" w:rsidRDefault="0024417B" w:rsidP="00A42E04">
      <w:pPr>
        <w:spacing w:after="0" w:line="360" w:lineRule="auto"/>
        <w:jc w:val="both"/>
        <w:rPr>
          <w:rFonts w:ascii="Tahoma" w:hAnsi="Tahoma" w:cs="Tahoma"/>
          <w:sz w:val="25"/>
          <w:szCs w:val="25"/>
        </w:rPr>
      </w:pPr>
      <w:r>
        <w:rPr>
          <w:rFonts w:ascii="Tahoma" w:hAnsi="Tahoma" w:cs="Tahoma"/>
          <w:sz w:val="25"/>
          <w:szCs w:val="25"/>
        </w:rPr>
        <w:tab/>
        <w:t xml:space="preserve">The Disciplinary Committee’s determination is found under paragraph 3.3 of the Disciplinary Committee’s minutes of the proceedings (record page 32) I hereunder reproduce it, </w:t>
      </w:r>
    </w:p>
    <w:p w:rsidR="0024417B" w:rsidRDefault="0024417B" w:rsidP="0011607C">
      <w:pPr>
        <w:spacing w:after="0" w:line="240" w:lineRule="auto"/>
        <w:jc w:val="both"/>
        <w:rPr>
          <w:rFonts w:ascii="Tahoma" w:hAnsi="Tahoma" w:cs="Tahoma"/>
          <w:sz w:val="25"/>
          <w:szCs w:val="25"/>
        </w:rPr>
      </w:pPr>
    </w:p>
    <w:p w:rsidR="0024417B" w:rsidRPr="0011607C" w:rsidRDefault="0024417B" w:rsidP="0024417B">
      <w:pPr>
        <w:spacing w:after="0" w:line="360" w:lineRule="auto"/>
        <w:ind w:left="720"/>
        <w:jc w:val="both"/>
        <w:rPr>
          <w:rFonts w:ascii="Times New Roman" w:hAnsi="Times New Roman" w:cs="Times New Roman"/>
          <w:b/>
          <w:i/>
          <w:sz w:val="24"/>
          <w:szCs w:val="24"/>
        </w:rPr>
      </w:pPr>
      <w:r w:rsidRPr="0011607C">
        <w:rPr>
          <w:rFonts w:ascii="Times New Roman" w:hAnsi="Times New Roman" w:cs="Times New Roman"/>
          <w:b/>
          <w:i/>
          <w:sz w:val="24"/>
          <w:szCs w:val="24"/>
        </w:rPr>
        <w:t xml:space="preserve">“The chamber Secretary said Mr. B. </w:t>
      </w:r>
      <w:proofErr w:type="spellStart"/>
      <w:r w:rsidRPr="0011607C">
        <w:rPr>
          <w:rFonts w:ascii="Times New Roman" w:hAnsi="Times New Roman" w:cs="Times New Roman"/>
          <w:b/>
          <w:i/>
          <w:sz w:val="24"/>
          <w:szCs w:val="24"/>
        </w:rPr>
        <w:t>Guswana</w:t>
      </w:r>
      <w:proofErr w:type="spellEnd"/>
      <w:r w:rsidRPr="0011607C">
        <w:rPr>
          <w:rFonts w:ascii="Times New Roman" w:hAnsi="Times New Roman" w:cs="Times New Roman"/>
          <w:b/>
          <w:i/>
          <w:sz w:val="24"/>
          <w:szCs w:val="24"/>
        </w:rPr>
        <w:t xml:space="preserve"> should be discharged from council employment with effect from the date of suspension. </w:t>
      </w:r>
    </w:p>
    <w:p w:rsidR="0024417B" w:rsidRPr="0011607C" w:rsidRDefault="0024417B" w:rsidP="0011607C">
      <w:pPr>
        <w:spacing w:after="0" w:line="240" w:lineRule="auto"/>
        <w:jc w:val="both"/>
        <w:rPr>
          <w:rFonts w:ascii="Times New Roman" w:hAnsi="Times New Roman" w:cs="Times New Roman"/>
          <w:b/>
          <w:i/>
          <w:sz w:val="24"/>
          <w:szCs w:val="24"/>
        </w:rPr>
      </w:pPr>
    </w:p>
    <w:p w:rsidR="0024417B" w:rsidRPr="0011607C" w:rsidRDefault="0024417B" w:rsidP="0011607C">
      <w:pPr>
        <w:spacing w:after="0" w:line="360" w:lineRule="auto"/>
        <w:ind w:left="720"/>
        <w:jc w:val="both"/>
        <w:rPr>
          <w:rFonts w:ascii="Times New Roman" w:hAnsi="Times New Roman" w:cs="Times New Roman"/>
          <w:b/>
          <w:i/>
          <w:sz w:val="24"/>
          <w:szCs w:val="24"/>
        </w:rPr>
      </w:pPr>
      <w:r w:rsidRPr="0011607C">
        <w:rPr>
          <w:rFonts w:ascii="Times New Roman" w:hAnsi="Times New Roman" w:cs="Times New Roman"/>
          <w:b/>
          <w:i/>
          <w:sz w:val="24"/>
          <w:szCs w:val="24"/>
        </w:rPr>
        <w:t>The Assistant Director of Housing and Community Services seconded and said the gravity of the case was considered by the committee to co</w:t>
      </w:r>
      <w:r w:rsidR="0011607C" w:rsidRPr="0011607C">
        <w:rPr>
          <w:rFonts w:ascii="Times New Roman" w:hAnsi="Times New Roman" w:cs="Times New Roman"/>
          <w:b/>
          <w:i/>
          <w:sz w:val="24"/>
          <w:szCs w:val="24"/>
        </w:rPr>
        <w:t xml:space="preserve">me up with such a determination.  He said Mr. B. </w:t>
      </w:r>
      <w:proofErr w:type="spellStart"/>
      <w:r w:rsidR="0011607C" w:rsidRPr="0011607C">
        <w:rPr>
          <w:rFonts w:ascii="Times New Roman" w:hAnsi="Times New Roman" w:cs="Times New Roman"/>
          <w:b/>
          <w:i/>
          <w:sz w:val="24"/>
          <w:szCs w:val="24"/>
        </w:rPr>
        <w:t>Guswana</w:t>
      </w:r>
      <w:proofErr w:type="spellEnd"/>
      <w:r w:rsidR="0011607C" w:rsidRPr="0011607C">
        <w:rPr>
          <w:rFonts w:ascii="Times New Roman" w:hAnsi="Times New Roman" w:cs="Times New Roman"/>
          <w:b/>
          <w:i/>
          <w:sz w:val="24"/>
          <w:szCs w:val="24"/>
        </w:rPr>
        <w:t xml:space="preserve"> showed dishonest and fraudulent behavior.</w:t>
      </w:r>
    </w:p>
    <w:p w:rsidR="0011607C" w:rsidRPr="0011607C" w:rsidRDefault="0011607C" w:rsidP="0011607C">
      <w:pPr>
        <w:spacing w:after="0" w:line="240" w:lineRule="auto"/>
        <w:ind w:left="720"/>
        <w:jc w:val="both"/>
        <w:rPr>
          <w:rFonts w:ascii="Times New Roman" w:hAnsi="Times New Roman" w:cs="Times New Roman"/>
          <w:b/>
          <w:i/>
          <w:sz w:val="24"/>
          <w:szCs w:val="24"/>
        </w:rPr>
      </w:pPr>
    </w:p>
    <w:p w:rsidR="0011607C" w:rsidRPr="0011607C" w:rsidRDefault="0011607C" w:rsidP="0011607C">
      <w:pPr>
        <w:spacing w:after="0" w:line="360" w:lineRule="auto"/>
        <w:ind w:left="720"/>
        <w:jc w:val="both"/>
        <w:rPr>
          <w:rFonts w:ascii="Times New Roman" w:hAnsi="Times New Roman" w:cs="Times New Roman"/>
          <w:b/>
          <w:i/>
          <w:sz w:val="24"/>
          <w:szCs w:val="24"/>
        </w:rPr>
      </w:pPr>
      <w:proofErr w:type="spellStart"/>
      <w:r w:rsidRPr="0011607C">
        <w:rPr>
          <w:rFonts w:ascii="Times New Roman" w:hAnsi="Times New Roman" w:cs="Times New Roman"/>
          <w:b/>
          <w:i/>
          <w:sz w:val="24"/>
          <w:szCs w:val="24"/>
        </w:rPr>
        <w:t>Clr</w:t>
      </w:r>
      <w:proofErr w:type="spellEnd"/>
      <w:r w:rsidRPr="0011607C">
        <w:rPr>
          <w:rFonts w:ascii="Times New Roman" w:hAnsi="Times New Roman" w:cs="Times New Roman"/>
          <w:b/>
          <w:i/>
          <w:sz w:val="24"/>
          <w:szCs w:val="24"/>
        </w:rPr>
        <w:t xml:space="preserve">. </w:t>
      </w:r>
      <w:proofErr w:type="spellStart"/>
      <w:r w:rsidRPr="0011607C">
        <w:rPr>
          <w:rFonts w:ascii="Times New Roman" w:hAnsi="Times New Roman" w:cs="Times New Roman"/>
          <w:b/>
          <w:i/>
          <w:sz w:val="24"/>
          <w:szCs w:val="24"/>
        </w:rPr>
        <w:t>Makangira</w:t>
      </w:r>
      <w:proofErr w:type="spellEnd"/>
      <w:r w:rsidRPr="0011607C">
        <w:rPr>
          <w:rFonts w:ascii="Times New Roman" w:hAnsi="Times New Roman" w:cs="Times New Roman"/>
          <w:b/>
          <w:i/>
          <w:sz w:val="24"/>
          <w:szCs w:val="24"/>
        </w:rPr>
        <w:t xml:space="preserve"> and </w:t>
      </w:r>
      <w:proofErr w:type="spellStart"/>
      <w:r w:rsidRPr="0011607C">
        <w:rPr>
          <w:rFonts w:ascii="Times New Roman" w:hAnsi="Times New Roman" w:cs="Times New Roman"/>
          <w:b/>
          <w:i/>
          <w:sz w:val="24"/>
          <w:szCs w:val="24"/>
        </w:rPr>
        <w:t>Clr</w:t>
      </w:r>
      <w:proofErr w:type="spellEnd"/>
      <w:r w:rsidRPr="0011607C">
        <w:rPr>
          <w:rFonts w:ascii="Times New Roman" w:hAnsi="Times New Roman" w:cs="Times New Roman"/>
          <w:b/>
          <w:i/>
          <w:sz w:val="24"/>
          <w:szCs w:val="24"/>
        </w:rPr>
        <w:t xml:space="preserve"> </w:t>
      </w:r>
      <w:proofErr w:type="spellStart"/>
      <w:r w:rsidRPr="0011607C">
        <w:rPr>
          <w:rFonts w:ascii="Times New Roman" w:hAnsi="Times New Roman" w:cs="Times New Roman"/>
          <w:b/>
          <w:i/>
          <w:sz w:val="24"/>
          <w:szCs w:val="24"/>
        </w:rPr>
        <w:t>Mudzongo</w:t>
      </w:r>
      <w:proofErr w:type="spellEnd"/>
      <w:r w:rsidRPr="0011607C">
        <w:rPr>
          <w:rFonts w:ascii="Times New Roman" w:hAnsi="Times New Roman" w:cs="Times New Roman"/>
          <w:b/>
          <w:i/>
          <w:sz w:val="24"/>
          <w:szCs w:val="24"/>
        </w:rPr>
        <w:t xml:space="preserve"> concurred.”</w:t>
      </w:r>
    </w:p>
    <w:p w:rsidR="0024417B" w:rsidRDefault="0011607C" w:rsidP="00A42E04">
      <w:pPr>
        <w:spacing w:after="0" w:line="360" w:lineRule="auto"/>
        <w:jc w:val="both"/>
        <w:rPr>
          <w:rFonts w:ascii="Tahoma" w:hAnsi="Tahoma" w:cs="Tahoma"/>
          <w:sz w:val="25"/>
          <w:szCs w:val="25"/>
        </w:rPr>
      </w:pPr>
      <w:r>
        <w:rPr>
          <w:rFonts w:ascii="Tahoma" w:hAnsi="Tahoma" w:cs="Tahoma"/>
          <w:sz w:val="25"/>
          <w:szCs w:val="25"/>
        </w:rPr>
        <w:tab/>
      </w:r>
      <w:proofErr w:type="gramStart"/>
      <w:r>
        <w:rPr>
          <w:rFonts w:ascii="Tahoma" w:hAnsi="Tahoma" w:cs="Tahoma"/>
          <w:sz w:val="25"/>
          <w:szCs w:val="25"/>
        </w:rPr>
        <w:t>The trite position of the law that the imposition of a dismissal person penalty is at the discretion of the employer and where such as has been exercised, an Appellate Court should not interfere with it unless it has been shown that it was improperly exercised is very apt in this case.</w:t>
      </w:r>
      <w:proofErr w:type="gramEnd"/>
      <w:r>
        <w:rPr>
          <w:rFonts w:ascii="Tahoma" w:hAnsi="Tahoma" w:cs="Tahoma"/>
          <w:sz w:val="25"/>
          <w:szCs w:val="25"/>
        </w:rPr>
        <w:t xml:space="preserve"> </w:t>
      </w:r>
    </w:p>
    <w:p w:rsidR="0011607C" w:rsidRDefault="0011607C" w:rsidP="00A42E04">
      <w:pPr>
        <w:spacing w:after="0" w:line="360" w:lineRule="auto"/>
        <w:jc w:val="both"/>
        <w:rPr>
          <w:rFonts w:ascii="Tahoma" w:hAnsi="Tahoma" w:cs="Tahoma"/>
          <w:sz w:val="25"/>
          <w:szCs w:val="25"/>
        </w:rPr>
      </w:pPr>
    </w:p>
    <w:p w:rsidR="0011607C" w:rsidRDefault="0011607C" w:rsidP="0011607C">
      <w:pPr>
        <w:spacing w:after="0" w:line="24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TREGERS PLASTICS (PRIVATE) LIMITED</w:t>
      </w:r>
    </w:p>
    <w:p w:rsidR="0011607C" w:rsidRDefault="0011607C" w:rsidP="0011607C">
      <w:pPr>
        <w:spacing w:after="0" w:line="24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gramStart"/>
      <w:r>
        <w:rPr>
          <w:rFonts w:ascii="Tahoma" w:hAnsi="Tahoma" w:cs="Tahoma"/>
          <w:b/>
          <w:i/>
          <w:sz w:val="25"/>
          <w:szCs w:val="25"/>
        </w:rPr>
        <w:t>vs</w:t>
      </w:r>
      <w:proofErr w:type="gramEnd"/>
    </w:p>
    <w:p w:rsidR="0011607C" w:rsidRDefault="0011607C" w:rsidP="0011607C">
      <w:pPr>
        <w:pStyle w:val="ListParagraph"/>
        <w:numPr>
          <w:ilvl w:val="0"/>
          <w:numId w:val="2"/>
        </w:numPr>
        <w:spacing w:after="0" w:line="360" w:lineRule="auto"/>
        <w:jc w:val="both"/>
        <w:rPr>
          <w:rFonts w:ascii="Tahoma" w:hAnsi="Tahoma" w:cs="Tahoma"/>
          <w:b/>
          <w:i/>
          <w:sz w:val="25"/>
          <w:szCs w:val="25"/>
        </w:rPr>
      </w:pPr>
      <w:r>
        <w:rPr>
          <w:rFonts w:ascii="Tahoma" w:hAnsi="Tahoma" w:cs="Tahoma"/>
          <w:b/>
          <w:i/>
          <w:sz w:val="25"/>
          <w:szCs w:val="25"/>
        </w:rPr>
        <w:t xml:space="preserve"> WOODRECK SIBANDA </w:t>
      </w:r>
    </w:p>
    <w:p w:rsidR="0011607C" w:rsidRDefault="0011607C" w:rsidP="0011607C">
      <w:pPr>
        <w:pStyle w:val="ListParagraph"/>
        <w:numPr>
          <w:ilvl w:val="0"/>
          <w:numId w:val="2"/>
        </w:numPr>
        <w:spacing w:after="0" w:line="360" w:lineRule="auto"/>
        <w:jc w:val="both"/>
        <w:rPr>
          <w:rFonts w:ascii="Tahoma" w:hAnsi="Tahoma" w:cs="Tahoma"/>
          <w:b/>
          <w:i/>
          <w:sz w:val="25"/>
          <w:szCs w:val="25"/>
        </w:rPr>
      </w:pPr>
      <w:r>
        <w:rPr>
          <w:rFonts w:ascii="Tahoma" w:hAnsi="Tahoma" w:cs="Tahoma"/>
          <w:b/>
          <w:i/>
          <w:sz w:val="25"/>
          <w:szCs w:val="25"/>
        </w:rPr>
        <w:t>PAUL MAGONDO SC 22/12</w:t>
      </w:r>
    </w:p>
    <w:p w:rsidR="0011607C" w:rsidRPr="0011607C" w:rsidRDefault="0011607C" w:rsidP="0011607C">
      <w:pPr>
        <w:spacing w:after="0" w:line="360" w:lineRule="auto"/>
        <w:jc w:val="both"/>
        <w:rPr>
          <w:rFonts w:ascii="Tahoma" w:hAnsi="Tahoma" w:cs="Tahoma"/>
          <w:b/>
          <w:i/>
          <w:sz w:val="25"/>
          <w:szCs w:val="25"/>
        </w:rPr>
      </w:pPr>
    </w:p>
    <w:p w:rsidR="00A42E04" w:rsidRPr="0011607C" w:rsidRDefault="00A42E04" w:rsidP="00F208FD">
      <w:pPr>
        <w:spacing w:after="0" w:line="240" w:lineRule="auto"/>
        <w:jc w:val="both"/>
        <w:rPr>
          <w:rFonts w:ascii="Tahoma" w:hAnsi="Tahoma" w:cs="Tahoma"/>
          <w:b/>
          <w:i/>
          <w:sz w:val="25"/>
          <w:szCs w:val="25"/>
        </w:rPr>
      </w:pPr>
      <w:r w:rsidRPr="0011607C">
        <w:rPr>
          <w:rFonts w:ascii="Tahoma" w:hAnsi="Tahoma" w:cs="Tahoma"/>
          <w:b/>
          <w:sz w:val="25"/>
          <w:szCs w:val="25"/>
        </w:rPr>
        <w:tab/>
      </w:r>
      <w:r w:rsidR="0011607C" w:rsidRPr="0011607C">
        <w:rPr>
          <w:rFonts w:ascii="Tahoma" w:hAnsi="Tahoma" w:cs="Tahoma"/>
          <w:b/>
          <w:i/>
          <w:sz w:val="25"/>
          <w:szCs w:val="25"/>
        </w:rPr>
        <w:t>INNSCOR AFRICA (PRIVATE) LIMITED</w:t>
      </w:r>
    </w:p>
    <w:p w:rsidR="00A42E04" w:rsidRDefault="0011607C" w:rsidP="00F208FD">
      <w:pPr>
        <w:spacing w:after="0" w:line="240" w:lineRule="auto"/>
        <w:jc w:val="both"/>
        <w:rPr>
          <w:rFonts w:ascii="Tahoma" w:hAnsi="Tahoma" w:cs="Tahoma"/>
          <w:b/>
          <w:i/>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proofErr w:type="gramStart"/>
      <w:r>
        <w:rPr>
          <w:rFonts w:ascii="Tahoma" w:hAnsi="Tahoma" w:cs="Tahoma"/>
          <w:b/>
          <w:i/>
          <w:sz w:val="25"/>
          <w:szCs w:val="25"/>
        </w:rPr>
        <w:t>vs</w:t>
      </w:r>
      <w:proofErr w:type="gramEnd"/>
    </w:p>
    <w:p w:rsidR="0011607C" w:rsidRPr="0011607C" w:rsidRDefault="0011607C" w:rsidP="00F208FD">
      <w:pPr>
        <w:spacing w:after="0" w:line="240" w:lineRule="auto"/>
        <w:jc w:val="both"/>
        <w:rPr>
          <w:rFonts w:ascii="Tahoma" w:hAnsi="Tahoma" w:cs="Tahoma"/>
          <w:b/>
          <w:i/>
          <w:sz w:val="25"/>
          <w:szCs w:val="25"/>
        </w:rPr>
      </w:pPr>
      <w:r>
        <w:rPr>
          <w:rFonts w:ascii="Tahoma" w:hAnsi="Tahoma" w:cs="Tahoma"/>
          <w:b/>
          <w:i/>
          <w:sz w:val="25"/>
          <w:szCs w:val="25"/>
        </w:rPr>
        <w:tab/>
        <w:t>LETRON CHIMOTO SC 6/2012</w:t>
      </w:r>
    </w:p>
    <w:p w:rsidR="00025B6C" w:rsidRDefault="00025B6C" w:rsidP="00B10417">
      <w:pPr>
        <w:spacing w:after="0" w:line="360" w:lineRule="auto"/>
        <w:rPr>
          <w:rFonts w:ascii="Tahoma" w:hAnsi="Tahoma" w:cs="Tahoma"/>
          <w:sz w:val="25"/>
          <w:szCs w:val="25"/>
        </w:rPr>
      </w:pPr>
    </w:p>
    <w:p w:rsidR="00F208FD" w:rsidRDefault="00F208FD" w:rsidP="00F208FD">
      <w:pPr>
        <w:spacing w:after="0" w:line="360" w:lineRule="auto"/>
        <w:jc w:val="both"/>
        <w:rPr>
          <w:rFonts w:ascii="Tahoma" w:hAnsi="Tahoma" w:cs="Tahoma"/>
          <w:sz w:val="25"/>
          <w:szCs w:val="25"/>
        </w:rPr>
      </w:pPr>
      <w:r>
        <w:rPr>
          <w:rFonts w:ascii="Tahoma" w:hAnsi="Tahoma" w:cs="Tahoma"/>
          <w:sz w:val="25"/>
          <w:szCs w:val="25"/>
        </w:rPr>
        <w:tab/>
        <w:t>From the Disciplinary Committee’s determination quoted above, the Disciplinary Committee took a serious view of the acts of misconduct.  The Disciplinary Committee found as established an element of dishonest and fraudulent behaviour on the part of Respondent.  Other ways to have Respondent remain in Appellant’s employ were considered by the Disciplinary Committee but it was su</w:t>
      </w:r>
      <w:r w:rsidR="007C6286">
        <w:rPr>
          <w:rFonts w:ascii="Tahoma" w:hAnsi="Tahoma" w:cs="Tahoma"/>
          <w:sz w:val="25"/>
          <w:szCs w:val="25"/>
        </w:rPr>
        <w:t>bmitted that that would set a wr</w:t>
      </w:r>
      <w:r>
        <w:rPr>
          <w:rFonts w:ascii="Tahoma" w:hAnsi="Tahoma" w:cs="Tahoma"/>
          <w:sz w:val="25"/>
          <w:szCs w:val="25"/>
        </w:rPr>
        <w:t xml:space="preserve">ong precedent.  A discharge penalty was recommended. </w:t>
      </w:r>
    </w:p>
    <w:p w:rsidR="00F208FD" w:rsidRDefault="00F208FD" w:rsidP="00F208FD">
      <w:pPr>
        <w:spacing w:after="0" w:line="360" w:lineRule="auto"/>
        <w:jc w:val="both"/>
        <w:rPr>
          <w:rFonts w:ascii="Tahoma" w:hAnsi="Tahoma" w:cs="Tahoma"/>
          <w:sz w:val="25"/>
          <w:szCs w:val="25"/>
        </w:rPr>
      </w:pPr>
    </w:p>
    <w:p w:rsidR="00F208FD" w:rsidRDefault="00F208FD" w:rsidP="00F208FD">
      <w:pPr>
        <w:spacing w:after="0" w:line="360" w:lineRule="auto"/>
        <w:jc w:val="both"/>
        <w:rPr>
          <w:rFonts w:ascii="Tahoma" w:hAnsi="Tahoma" w:cs="Tahoma"/>
          <w:sz w:val="25"/>
          <w:szCs w:val="25"/>
        </w:rPr>
      </w:pPr>
      <w:r>
        <w:rPr>
          <w:rFonts w:ascii="Tahoma" w:hAnsi="Tahoma" w:cs="Tahoma"/>
          <w:sz w:val="25"/>
          <w:szCs w:val="25"/>
        </w:rPr>
        <w:tab/>
        <w:t xml:space="preserve">It does not </w:t>
      </w:r>
      <w:r w:rsidR="007C6286">
        <w:rPr>
          <w:rFonts w:ascii="Tahoma" w:hAnsi="Tahoma" w:cs="Tahoma"/>
          <w:sz w:val="25"/>
          <w:szCs w:val="25"/>
        </w:rPr>
        <w:t xml:space="preserve">necessarily mean, in my view, that where other forms of penalties (educational corrective) are recommended, these must be imposed first as of right before a dismissal penalty is imposed.  Where this is not considered, this does not confer upon a judicial officer the power to interfere with the dismissal where the employer is of the view that the act </w:t>
      </w:r>
      <w:r w:rsidR="00472CFC">
        <w:rPr>
          <w:rFonts w:ascii="Tahoma" w:hAnsi="Tahoma" w:cs="Tahoma"/>
          <w:sz w:val="25"/>
          <w:szCs w:val="25"/>
        </w:rPr>
        <w:t>of misconduct goes to the root of the employer employee relationship.</w:t>
      </w:r>
    </w:p>
    <w:p w:rsidR="00472CFC" w:rsidRDefault="00472CFC" w:rsidP="004077AE">
      <w:pPr>
        <w:spacing w:after="0" w:line="240" w:lineRule="auto"/>
        <w:jc w:val="both"/>
        <w:rPr>
          <w:rFonts w:ascii="Tahoma" w:hAnsi="Tahoma" w:cs="Tahoma"/>
          <w:sz w:val="25"/>
          <w:szCs w:val="25"/>
        </w:rPr>
      </w:pPr>
    </w:p>
    <w:p w:rsidR="004077AE" w:rsidRDefault="004077AE" w:rsidP="00F208FD">
      <w:pPr>
        <w:spacing w:after="0" w:line="360" w:lineRule="auto"/>
        <w:jc w:val="both"/>
        <w:rPr>
          <w:rFonts w:ascii="Tahoma" w:hAnsi="Tahoma" w:cs="Tahoma"/>
          <w:sz w:val="25"/>
          <w:szCs w:val="25"/>
        </w:rPr>
      </w:pPr>
      <w:r>
        <w:rPr>
          <w:rFonts w:ascii="Tahoma" w:hAnsi="Tahoma" w:cs="Tahoma"/>
          <w:sz w:val="25"/>
          <w:szCs w:val="25"/>
        </w:rPr>
        <w:tab/>
        <w:t xml:space="preserve">See the remarks in the case of </w:t>
      </w:r>
    </w:p>
    <w:p w:rsidR="004077AE" w:rsidRDefault="004077AE" w:rsidP="00F208FD">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CIRCLE CEMENT (PRIVATE) LIMITED</w:t>
      </w:r>
    </w:p>
    <w:p w:rsidR="004077AE" w:rsidRDefault="004077AE" w:rsidP="00F208FD">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gramStart"/>
      <w:r>
        <w:rPr>
          <w:rFonts w:ascii="Tahoma" w:hAnsi="Tahoma" w:cs="Tahoma"/>
          <w:b/>
          <w:i/>
          <w:sz w:val="25"/>
          <w:szCs w:val="25"/>
        </w:rPr>
        <w:t>vs</w:t>
      </w:r>
      <w:proofErr w:type="gramEnd"/>
    </w:p>
    <w:p w:rsidR="004077AE" w:rsidRDefault="004077AE" w:rsidP="00F208FD">
      <w:pPr>
        <w:spacing w:after="0" w:line="360" w:lineRule="auto"/>
        <w:jc w:val="both"/>
        <w:rPr>
          <w:rFonts w:ascii="Tahoma" w:hAnsi="Tahoma" w:cs="Tahoma"/>
          <w:b/>
          <w:i/>
          <w:sz w:val="25"/>
          <w:szCs w:val="25"/>
        </w:rPr>
      </w:pPr>
      <w:r>
        <w:rPr>
          <w:rFonts w:ascii="Tahoma" w:hAnsi="Tahoma" w:cs="Tahoma"/>
          <w:b/>
          <w:i/>
          <w:sz w:val="25"/>
          <w:szCs w:val="25"/>
        </w:rPr>
        <w:tab/>
        <w:t>CHIPO NYAWASHA SC 60/02</w:t>
      </w:r>
    </w:p>
    <w:p w:rsidR="004077AE" w:rsidRDefault="00BA4ED2" w:rsidP="00F208FD">
      <w:pPr>
        <w:spacing w:after="0" w:line="360" w:lineRule="auto"/>
        <w:jc w:val="both"/>
        <w:rPr>
          <w:rFonts w:ascii="Tahoma" w:hAnsi="Tahoma" w:cs="Tahoma"/>
          <w:sz w:val="25"/>
          <w:szCs w:val="25"/>
        </w:rPr>
      </w:pPr>
      <w:proofErr w:type="gramStart"/>
      <w:r>
        <w:rPr>
          <w:rFonts w:ascii="Tahoma" w:hAnsi="Tahoma" w:cs="Tahoma"/>
          <w:sz w:val="25"/>
          <w:szCs w:val="25"/>
        </w:rPr>
        <w:t>at</w:t>
      </w:r>
      <w:proofErr w:type="gramEnd"/>
      <w:r>
        <w:rPr>
          <w:rFonts w:ascii="Tahoma" w:hAnsi="Tahoma" w:cs="Tahoma"/>
          <w:sz w:val="25"/>
          <w:szCs w:val="25"/>
        </w:rPr>
        <w:t xml:space="preserve"> page 5 of the cyclostyled judgment that </w:t>
      </w:r>
    </w:p>
    <w:p w:rsidR="00BA4ED2" w:rsidRPr="00BA4ED2" w:rsidRDefault="00BA4ED2" w:rsidP="00BA4ED2">
      <w:pPr>
        <w:spacing w:after="0" w:line="360" w:lineRule="auto"/>
        <w:ind w:left="720"/>
        <w:jc w:val="both"/>
        <w:rPr>
          <w:rFonts w:ascii="Times New Roman" w:hAnsi="Times New Roman" w:cs="Times New Roman"/>
          <w:b/>
          <w:i/>
          <w:sz w:val="24"/>
          <w:szCs w:val="24"/>
        </w:rPr>
      </w:pPr>
      <w:r w:rsidRPr="00BA4ED2">
        <w:rPr>
          <w:rFonts w:ascii="Times New Roman" w:hAnsi="Times New Roman" w:cs="Times New Roman"/>
          <w:b/>
          <w:i/>
          <w:sz w:val="24"/>
          <w:szCs w:val="24"/>
        </w:rPr>
        <w:t>“Once an employer has taken a serious view of the act of misconduct committed by the employee to the extent that it considered it to be a repudiation of contract which it accepted by dismissing her from employment the question of a penalty less severe than dismissal being available for consideration does will not arise.”</w:t>
      </w:r>
    </w:p>
    <w:p w:rsidR="00F208FD" w:rsidRPr="00BA4ED2" w:rsidRDefault="00F208FD" w:rsidP="00B10417">
      <w:pPr>
        <w:spacing w:after="0" w:line="360" w:lineRule="auto"/>
        <w:rPr>
          <w:rFonts w:ascii="Times New Roman" w:hAnsi="Times New Roman" w:cs="Times New Roman"/>
          <w:b/>
          <w:i/>
          <w:sz w:val="24"/>
          <w:szCs w:val="24"/>
        </w:rPr>
      </w:pPr>
    </w:p>
    <w:p w:rsidR="00FA3B97" w:rsidRDefault="00BA4ED2" w:rsidP="00FA3B97">
      <w:pPr>
        <w:spacing w:after="0" w:line="360" w:lineRule="auto"/>
        <w:jc w:val="both"/>
        <w:rPr>
          <w:rFonts w:ascii="Tahoma" w:hAnsi="Tahoma" w:cs="Tahoma"/>
          <w:sz w:val="25"/>
          <w:szCs w:val="25"/>
        </w:rPr>
      </w:pPr>
      <w:r>
        <w:rPr>
          <w:rFonts w:ascii="Tahoma" w:hAnsi="Tahoma" w:cs="Tahoma"/>
          <w:sz w:val="25"/>
          <w:szCs w:val="25"/>
        </w:rPr>
        <w:tab/>
        <w:t>I find that the arbitrator fell into error by interfering with Appellant’s exercise of discretion.  In view of the acts of misconduct Respondent was found guilty of – which had an element of dishonest, breach of</w:t>
      </w:r>
      <w:r w:rsidR="00FA3B97">
        <w:rPr>
          <w:rFonts w:ascii="Tahoma" w:hAnsi="Tahoma" w:cs="Tahoma"/>
          <w:sz w:val="25"/>
          <w:szCs w:val="25"/>
        </w:rPr>
        <w:t xml:space="preserve"> trust, which went to the root of the contract of employment, and in view of the remarks in the above case, it was not even it was not even necessary for Appellant to consider any other penalty apart from dismissal.</w:t>
      </w:r>
    </w:p>
    <w:p w:rsidR="00FA3B97" w:rsidRDefault="00FA3B97" w:rsidP="00FA3B97">
      <w:pPr>
        <w:spacing w:after="0" w:line="360" w:lineRule="auto"/>
        <w:jc w:val="both"/>
        <w:rPr>
          <w:rFonts w:ascii="Tahoma" w:hAnsi="Tahoma" w:cs="Tahoma"/>
          <w:sz w:val="25"/>
          <w:szCs w:val="25"/>
        </w:rPr>
      </w:pPr>
    </w:p>
    <w:p w:rsidR="009573AD" w:rsidRDefault="00FA3B97" w:rsidP="00FA3B97">
      <w:pPr>
        <w:spacing w:after="0" w:line="360" w:lineRule="auto"/>
        <w:jc w:val="both"/>
        <w:rPr>
          <w:rFonts w:ascii="Tahoma" w:hAnsi="Tahoma" w:cs="Tahoma"/>
          <w:sz w:val="25"/>
          <w:szCs w:val="25"/>
        </w:rPr>
      </w:pPr>
      <w:r>
        <w:rPr>
          <w:rFonts w:ascii="Tahoma" w:hAnsi="Tahoma" w:cs="Tahoma"/>
          <w:sz w:val="25"/>
          <w:szCs w:val="25"/>
        </w:rPr>
        <w:tab/>
        <w:t>Further, it is a trite position of the law that an employer is not to be completed to keep in his employment a person with whom the relationship</w:t>
      </w:r>
      <w:r w:rsidR="009573AD">
        <w:rPr>
          <w:rFonts w:ascii="Tahoma" w:hAnsi="Tahoma" w:cs="Tahoma"/>
          <w:sz w:val="25"/>
          <w:szCs w:val="25"/>
        </w:rPr>
        <w:t xml:space="preserve"> has soured beyond reconciliation.  As such an order of reinstatement must have an alternative of payment of damages.  The award in </w:t>
      </w:r>
      <w:proofErr w:type="spellStart"/>
      <w:r w:rsidR="009573AD">
        <w:rPr>
          <w:rFonts w:ascii="Tahoma" w:hAnsi="Tahoma" w:cs="Tahoma"/>
          <w:sz w:val="25"/>
          <w:szCs w:val="25"/>
        </w:rPr>
        <w:t>casu</w:t>
      </w:r>
      <w:proofErr w:type="spellEnd"/>
      <w:r w:rsidR="009573AD">
        <w:rPr>
          <w:rFonts w:ascii="Tahoma" w:hAnsi="Tahoma" w:cs="Tahoma"/>
          <w:sz w:val="25"/>
          <w:szCs w:val="25"/>
        </w:rPr>
        <w:t xml:space="preserve"> was silent on the payment of damages as an alternative.  This was an error on the part of the arbitrator more so since the guilty verdict was not interfered with.</w:t>
      </w:r>
    </w:p>
    <w:p w:rsidR="009573AD" w:rsidRDefault="009573AD" w:rsidP="009573AD">
      <w:pPr>
        <w:spacing w:after="0" w:line="240" w:lineRule="auto"/>
        <w:jc w:val="both"/>
        <w:rPr>
          <w:rFonts w:ascii="Tahoma" w:hAnsi="Tahoma" w:cs="Tahoma"/>
          <w:sz w:val="25"/>
          <w:szCs w:val="25"/>
        </w:rPr>
      </w:pPr>
    </w:p>
    <w:p w:rsidR="009573AD" w:rsidRDefault="009573AD" w:rsidP="00FA3B97">
      <w:pPr>
        <w:spacing w:after="0" w:line="360" w:lineRule="auto"/>
        <w:jc w:val="both"/>
        <w:rPr>
          <w:rFonts w:ascii="Tahoma" w:hAnsi="Tahoma" w:cs="Tahoma"/>
          <w:sz w:val="25"/>
          <w:szCs w:val="25"/>
        </w:rPr>
      </w:pPr>
      <w:r>
        <w:rPr>
          <w:rFonts w:ascii="Tahoma" w:hAnsi="Tahoma" w:cs="Tahoma"/>
          <w:sz w:val="25"/>
          <w:szCs w:val="25"/>
        </w:rPr>
        <w:tab/>
        <w:t xml:space="preserve">The arbitral award cannot be allowed to stand.  </w:t>
      </w:r>
    </w:p>
    <w:p w:rsidR="009573AD" w:rsidRDefault="009573AD" w:rsidP="009573AD">
      <w:pPr>
        <w:spacing w:after="0" w:line="240" w:lineRule="auto"/>
        <w:jc w:val="both"/>
        <w:rPr>
          <w:rFonts w:ascii="Tahoma" w:hAnsi="Tahoma" w:cs="Tahoma"/>
          <w:sz w:val="25"/>
          <w:szCs w:val="25"/>
        </w:rPr>
      </w:pPr>
      <w:r>
        <w:rPr>
          <w:rFonts w:ascii="Tahoma" w:hAnsi="Tahoma" w:cs="Tahoma"/>
          <w:sz w:val="25"/>
          <w:szCs w:val="25"/>
        </w:rPr>
        <w:tab/>
      </w:r>
    </w:p>
    <w:p w:rsidR="00F208FD" w:rsidRDefault="009573AD" w:rsidP="00FA3B97">
      <w:pPr>
        <w:spacing w:after="0" w:line="360" w:lineRule="auto"/>
        <w:jc w:val="both"/>
        <w:rPr>
          <w:rFonts w:ascii="Tahoma" w:hAnsi="Tahoma" w:cs="Tahoma"/>
          <w:sz w:val="25"/>
          <w:szCs w:val="25"/>
        </w:rPr>
      </w:pPr>
      <w:r>
        <w:rPr>
          <w:rFonts w:ascii="Tahoma" w:hAnsi="Tahoma" w:cs="Tahoma"/>
          <w:sz w:val="25"/>
          <w:szCs w:val="25"/>
        </w:rPr>
        <w:tab/>
        <w:t xml:space="preserve">It is ordered that the appeal be and is hereby allowed. </w:t>
      </w:r>
      <w:r w:rsidR="00FA3B97">
        <w:rPr>
          <w:rFonts w:ascii="Tahoma" w:hAnsi="Tahoma" w:cs="Tahoma"/>
          <w:sz w:val="25"/>
          <w:szCs w:val="25"/>
        </w:rPr>
        <w:t xml:space="preserve"> </w:t>
      </w:r>
    </w:p>
    <w:p w:rsidR="00F208FD" w:rsidRPr="00D95B8F" w:rsidRDefault="00F208FD" w:rsidP="00B10417">
      <w:pPr>
        <w:spacing w:after="0" w:line="360" w:lineRule="auto"/>
        <w:rPr>
          <w:rFonts w:ascii="Tahoma" w:hAnsi="Tahoma" w:cs="Tahoma"/>
          <w:sz w:val="25"/>
          <w:szCs w:val="25"/>
        </w:rPr>
      </w:pPr>
    </w:p>
    <w:p w:rsidR="00B8682C" w:rsidRPr="00D95B8F" w:rsidRDefault="00B8682C" w:rsidP="00B10417">
      <w:pPr>
        <w:spacing w:after="0" w:line="360" w:lineRule="auto"/>
        <w:rPr>
          <w:rFonts w:ascii="Tahoma" w:hAnsi="Tahoma" w:cs="Tahoma"/>
          <w:b/>
          <w:i/>
          <w:sz w:val="25"/>
          <w:szCs w:val="25"/>
        </w:rPr>
      </w:pPr>
    </w:p>
    <w:p w:rsidR="00025B6C" w:rsidRPr="00D95B8F" w:rsidRDefault="009573AD" w:rsidP="00B10417">
      <w:pPr>
        <w:spacing w:after="0" w:line="360" w:lineRule="auto"/>
        <w:rPr>
          <w:rFonts w:ascii="Tahoma" w:hAnsi="Tahoma" w:cs="Tahoma"/>
          <w:b/>
          <w:i/>
          <w:sz w:val="25"/>
          <w:szCs w:val="25"/>
        </w:rPr>
      </w:pPr>
      <w:proofErr w:type="spellStart"/>
      <w:r>
        <w:rPr>
          <w:rFonts w:ascii="Tahoma" w:hAnsi="Tahoma" w:cs="Tahoma"/>
          <w:b/>
          <w:i/>
          <w:sz w:val="25"/>
          <w:szCs w:val="25"/>
        </w:rPr>
        <w:t>Mutsahuni</w:t>
      </w:r>
      <w:proofErr w:type="spellEnd"/>
      <w:r>
        <w:rPr>
          <w:rFonts w:ascii="Tahoma" w:hAnsi="Tahoma" w:cs="Tahoma"/>
          <w:b/>
          <w:i/>
          <w:sz w:val="25"/>
          <w:szCs w:val="25"/>
        </w:rPr>
        <w:t xml:space="preserve"> </w:t>
      </w:r>
      <w:proofErr w:type="spellStart"/>
      <w:r>
        <w:rPr>
          <w:rFonts w:ascii="Tahoma" w:hAnsi="Tahoma" w:cs="Tahoma"/>
          <w:b/>
          <w:i/>
          <w:sz w:val="25"/>
          <w:szCs w:val="25"/>
        </w:rPr>
        <w:t>Chikore</w:t>
      </w:r>
      <w:proofErr w:type="spellEnd"/>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7C5CA3" w:rsidRDefault="009573AD" w:rsidP="007D717D">
      <w:pPr>
        <w:spacing w:after="0" w:line="240" w:lineRule="auto"/>
        <w:rPr>
          <w:rFonts w:ascii="Tahoma" w:hAnsi="Tahoma" w:cs="Tahoma"/>
          <w:b/>
          <w:i/>
          <w:sz w:val="25"/>
          <w:szCs w:val="25"/>
        </w:rPr>
      </w:pPr>
      <w:proofErr w:type="spellStart"/>
      <w:r>
        <w:rPr>
          <w:rFonts w:ascii="Tahoma" w:hAnsi="Tahoma" w:cs="Tahoma"/>
          <w:b/>
          <w:i/>
          <w:sz w:val="25"/>
          <w:szCs w:val="25"/>
        </w:rPr>
        <w:t>Mbidzo</w:t>
      </w:r>
      <w:proofErr w:type="spellEnd"/>
      <w:r>
        <w:rPr>
          <w:rFonts w:ascii="Tahoma" w:hAnsi="Tahoma" w:cs="Tahoma"/>
          <w:b/>
          <w:i/>
          <w:sz w:val="25"/>
          <w:szCs w:val="25"/>
        </w:rPr>
        <w:t xml:space="preserve">, </w:t>
      </w:r>
      <w:proofErr w:type="spellStart"/>
      <w:r>
        <w:rPr>
          <w:rFonts w:ascii="Tahoma" w:hAnsi="Tahoma" w:cs="Tahoma"/>
          <w:b/>
          <w:i/>
          <w:sz w:val="25"/>
          <w:szCs w:val="25"/>
        </w:rPr>
        <w:t>Muchadehama</w:t>
      </w:r>
      <w:proofErr w:type="spellEnd"/>
      <w:r>
        <w:rPr>
          <w:rFonts w:ascii="Tahoma" w:hAnsi="Tahoma" w:cs="Tahoma"/>
          <w:b/>
          <w:i/>
          <w:sz w:val="25"/>
          <w:szCs w:val="25"/>
        </w:rPr>
        <w:t xml:space="preserve"> and </w:t>
      </w:r>
      <w:proofErr w:type="spellStart"/>
      <w:r>
        <w:rPr>
          <w:rFonts w:ascii="Tahoma" w:hAnsi="Tahoma" w:cs="Tahoma"/>
          <w:b/>
          <w:i/>
          <w:sz w:val="25"/>
          <w:szCs w:val="25"/>
        </w:rPr>
        <w:t>Makoni</w:t>
      </w:r>
      <w:proofErr w:type="spellEnd"/>
      <w:r w:rsidR="00025B6C" w:rsidRPr="00D95B8F">
        <w:rPr>
          <w:rFonts w:ascii="Tahoma" w:hAnsi="Tahoma" w:cs="Tahoma"/>
          <w:b/>
          <w:i/>
          <w:sz w:val="25"/>
          <w:szCs w:val="25"/>
        </w:rPr>
        <w:t xml:space="preserve"> – </w:t>
      </w:r>
      <w:r w:rsidR="007D717D" w:rsidRPr="00D95B8F">
        <w:rPr>
          <w:rFonts w:ascii="Tahoma" w:hAnsi="Tahoma" w:cs="Tahoma"/>
          <w:b/>
          <w:i/>
          <w:sz w:val="25"/>
          <w:szCs w:val="25"/>
        </w:rPr>
        <w:t>Respondent’s legal practitioners</w:t>
      </w: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Pr="00D95B8F" w:rsidRDefault="000E1A24" w:rsidP="007D717D">
      <w:pPr>
        <w:spacing w:after="0" w:line="240" w:lineRule="auto"/>
        <w:rPr>
          <w:rFonts w:ascii="Tahoma" w:hAnsi="Tahoma" w:cs="Tahoma"/>
          <w:b/>
          <w:i/>
          <w:sz w:val="25"/>
          <w:szCs w:val="25"/>
        </w:rPr>
      </w:pP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888" w:rsidRDefault="00913888" w:rsidP="007C5CA3">
      <w:pPr>
        <w:spacing w:after="0" w:line="240" w:lineRule="auto"/>
      </w:pPr>
      <w:r>
        <w:separator/>
      </w:r>
    </w:p>
  </w:endnote>
  <w:endnote w:type="continuationSeparator" w:id="0">
    <w:p w:rsidR="00913888" w:rsidRDefault="0091388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6F4668">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888" w:rsidRDefault="00913888" w:rsidP="007C5CA3">
      <w:pPr>
        <w:spacing w:after="0" w:line="240" w:lineRule="auto"/>
      </w:pPr>
      <w:r>
        <w:separator/>
      </w:r>
    </w:p>
  </w:footnote>
  <w:footnote w:type="continuationSeparator" w:id="0">
    <w:p w:rsidR="00913888" w:rsidRDefault="0091388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652B98">
      <w:rPr>
        <w:rFonts w:ascii="Tahoma" w:hAnsi="Tahoma" w:cs="Tahoma"/>
        <w:b/>
        <w:sz w:val="24"/>
        <w:szCs w:val="24"/>
      </w:rPr>
      <w:t>130</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0C4C"/>
    <w:multiLevelType w:val="hybridMultilevel"/>
    <w:tmpl w:val="26247FE4"/>
    <w:lvl w:ilvl="0" w:tplc="3AF2C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7BC"/>
    <w:rsid w:val="000D6E56"/>
    <w:rsid w:val="000E1A24"/>
    <w:rsid w:val="000E1D81"/>
    <w:rsid w:val="000E5A35"/>
    <w:rsid w:val="001059DC"/>
    <w:rsid w:val="0011530D"/>
    <w:rsid w:val="0011607C"/>
    <w:rsid w:val="00192EC2"/>
    <w:rsid w:val="001A037B"/>
    <w:rsid w:val="001B520A"/>
    <w:rsid w:val="001B7DFE"/>
    <w:rsid w:val="001E59E3"/>
    <w:rsid w:val="001F2A28"/>
    <w:rsid w:val="001F6C80"/>
    <w:rsid w:val="0024417B"/>
    <w:rsid w:val="00257D13"/>
    <w:rsid w:val="00257EAA"/>
    <w:rsid w:val="002813AD"/>
    <w:rsid w:val="002A3347"/>
    <w:rsid w:val="002A4EA4"/>
    <w:rsid w:val="002B042E"/>
    <w:rsid w:val="002C7EF3"/>
    <w:rsid w:val="002D0332"/>
    <w:rsid w:val="002E1FE1"/>
    <w:rsid w:val="002F5836"/>
    <w:rsid w:val="003102CF"/>
    <w:rsid w:val="00320D70"/>
    <w:rsid w:val="00333A04"/>
    <w:rsid w:val="00345C9C"/>
    <w:rsid w:val="00352819"/>
    <w:rsid w:val="003571DC"/>
    <w:rsid w:val="003732BA"/>
    <w:rsid w:val="003744B2"/>
    <w:rsid w:val="003B073C"/>
    <w:rsid w:val="003B2DAE"/>
    <w:rsid w:val="003C4704"/>
    <w:rsid w:val="003E58BF"/>
    <w:rsid w:val="003E7494"/>
    <w:rsid w:val="004077AE"/>
    <w:rsid w:val="00421D94"/>
    <w:rsid w:val="00435CF9"/>
    <w:rsid w:val="004403C4"/>
    <w:rsid w:val="00443D09"/>
    <w:rsid w:val="00450F2A"/>
    <w:rsid w:val="00452BD6"/>
    <w:rsid w:val="00471F6B"/>
    <w:rsid w:val="00472CFC"/>
    <w:rsid w:val="004770D4"/>
    <w:rsid w:val="004905CF"/>
    <w:rsid w:val="004927A7"/>
    <w:rsid w:val="004C0E8D"/>
    <w:rsid w:val="004C3334"/>
    <w:rsid w:val="004D303B"/>
    <w:rsid w:val="004E2B68"/>
    <w:rsid w:val="004E6DBC"/>
    <w:rsid w:val="005008C5"/>
    <w:rsid w:val="00521048"/>
    <w:rsid w:val="00535E77"/>
    <w:rsid w:val="00542814"/>
    <w:rsid w:val="005B403F"/>
    <w:rsid w:val="005B6B07"/>
    <w:rsid w:val="005E4CBF"/>
    <w:rsid w:val="005F3C09"/>
    <w:rsid w:val="00637CA0"/>
    <w:rsid w:val="006462FD"/>
    <w:rsid w:val="00652B98"/>
    <w:rsid w:val="006766B6"/>
    <w:rsid w:val="00680357"/>
    <w:rsid w:val="00694322"/>
    <w:rsid w:val="006E73F7"/>
    <w:rsid w:val="006F4668"/>
    <w:rsid w:val="00736501"/>
    <w:rsid w:val="00740E8A"/>
    <w:rsid w:val="007548C0"/>
    <w:rsid w:val="00761EF7"/>
    <w:rsid w:val="007659C9"/>
    <w:rsid w:val="00777CDC"/>
    <w:rsid w:val="007866AA"/>
    <w:rsid w:val="00792B78"/>
    <w:rsid w:val="007A10E9"/>
    <w:rsid w:val="007A3E60"/>
    <w:rsid w:val="007B3902"/>
    <w:rsid w:val="007C3A03"/>
    <w:rsid w:val="007C3B6F"/>
    <w:rsid w:val="007C5CA3"/>
    <w:rsid w:val="007C6286"/>
    <w:rsid w:val="007D717D"/>
    <w:rsid w:val="007F16D4"/>
    <w:rsid w:val="007F7ECE"/>
    <w:rsid w:val="0083632A"/>
    <w:rsid w:val="00853204"/>
    <w:rsid w:val="00857174"/>
    <w:rsid w:val="00867C88"/>
    <w:rsid w:val="008759B5"/>
    <w:rsid w:val="00876084"/>
    <w:rsid w:val="008C57F8"/>
    <w:rsid w:val="008F1680"/>
    <w:rsid w:val="009111D0"/>
    <w:rsid w:val="00912EF0"/>
    <w:rsid w:val="00913888"/>
    <w:rsid w:val="00914FC6"/>
    <w:rsid w:val="00940DD4"/>
    <w:rsid w:val="00947594"/>
    <w:rsid w:val="0095112E"/>
    <w:rsid w:val="0095114C"/>
    <w:rsid w:val="009573AD"/>
    <w:rsid w:val="00974217"/>
    <w:rsid w:val="0098286B"/>
    <w:rsid w:val="0098406A"/>
    <w:rsid w:val="009951A3"/>
    <w:rsid w:val="009A1F2F"/>
    <w:rsid w:val="009C6282"/>
    <w:rsid w:val="009D6239"/>
    <w:rsid w:val="00A05445"/>
    <w:rsid w:val="00A15B90"/>
    <w:rsid w:val="00A42E04"/>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819ED"/>
    <w:rsid w:val="00B8682C"/>
    <w:rsid w:val="00B8731A"/>
    <w:rsid w:val="00B91278"/>
    <w:rsid w:val="00BA4ED2"/>
    <w:rsid w:val="00BA5626"/>
    <w:rsid w:val="00BD43C4"/>
    <w:rsid w:val="00BE7503"/>
    <w:rsid w:val="00C279F3"/>
    <w:rsid w:val="00C41ABD"/>
    <w:rsid w:val="00C63A75"/>
    <w:rsid w:val="00CB2223"/>
    <w:rsid w:val="00CE61E0"/>
    <w:rsid w:val="00CF7FB6"/>
    <w:rsid w:val="00D13C45"/>
    <w:rsid w:val="00D34EA0"/>
    <w:rsid w:val="00D35D61"/>
    <w:rsid w:val="00D66B99"/>
    <w:rsid w:val="00D6717B"/>
    <w:rsid w:val="00D95B8F"/>
    <w:rsid w:val="00DA5F18"/>
    <w:rsid w:val="00DD7258"/>
    <w:rsid w:val="00E04088"/>
    <w:rsid w:val="00E40848"/>
    <w:rsid w:val="00E5115D"/>
    <w:rsid w:val="00EA5CF8"/>
    <w:rsid w:val="00EC3B90"/>
    <w:rsid w:val="00EC678A"/>
    <w:rsid w:val="00ED3B87"/>
    <w:rsid w:val="00EE2051"/>
    <w:rsid w:val="00EE43D8"/>
    <w:rsid w:val="00F00961"/>
    <w:rsid w:val="00F034A3"/>
    <w:rsid w:val="00F10308"/>
    <w:rsid w:val="00F11DA5"/>
    <w:rsid w:val="00F121A3"/>
    <w:rsid w:val="00F208FD"/>
    <w:rsid w:val="00F23AD5"/>
    <w:rsid w:val="00F2481E"/>
    <w:rsid w:val="00F2770F"/>
    <w:rsid w:val="00FA3B97"/>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2016-03-04T13:56:00Z</cp:lastPrinted>
  <dcterms:created xsi:type="dcterms:W3CDTF">2016-03-04T14:05:00Z</dcterms:created>
  <dcterms:modified xsi:type="dcterms:W3CDTF">2016-03-04T14:05:00Z</dcterms:modified>
</cp:coreProperties>
</file>