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48" w:rsidRDefault="00D75FD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lang w:val="en-US"/>
        </w:rPr>
        <w:t>MARLON CHIKUN</w:t>
      </w:r>
      <w:r>
        <w:rPr>
          <w:rFonts w:ascii="Times New Roman" w:hAnsi="Times New Roman" w:cs="Times New Roman"/>
          <w:sz w:val="24"/>
          <w:szCs w:val="24"/>
        </w:rPr>
        <w:t>I</w:t>
      </w:r>
    </w:p>
    <w:p w:rsidR="003B3448" w:rsidRDefault="00D75F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3B3448" w:rsidRDefault="00D75F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PUROIL (PVT) LTD</w:t>
      </w:r>
    </w:p>
    <w:p w:rsidR="003B3448" w:rsidRDefault="00D75F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3B3448" w:rsidRDefault="00D75F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GAMA ENERGIES (PVT) LTD</w:t>
      </w:r>
    </w:p>
    <w:p w:rsidR="003B3448" w:rsidRDefault="003B3448">
      <w:pPr>
        <w:spacing w:after="0" w:line="240" w:lineRule="auto"/>
        <w:jc w:val="both"/>
        <w:rPr>
          <w:rFonts w:ascii="Times New Roman" w:hAnsi="Times New Roman" w:cs="Times New Roman"/>
          <w:sz w:val="24"/>
          <w:szCs w:val="24"/>
          <w:lang w:val="en-US"/>
        </w:rPr>
      </w:pPr>
    </w:p>
    <w:p w:rsidR="003B3448" w:rsidRDefault="00D75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B3448" w:rsidRDefault="003B3448">
      <w:pPr>
        <w:spacing w:after="0" w:line="240" w:lineRule="auto"/>
        <w:jc w:val="both"/>
        <w:rPr>
          <w:rFonts w:ascii="Times New Roman" w:hAnsi="Times New Roman" w:cs="Times New Roman"/>
          <w:sz w:val="24"/>
          <w:szCs w:val="24"/>
        </w:rPr>
      </w:pPr>
    </w:p>
    <w:p w:rsidR="003B3448" w:rsidRDefault="00D75F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MAHUNI GIDIRI LEGAL PRACTITIONERS</w:t>
      </w:r>
      <w:r>
        <w:rPr>
          <w:rFonts w:ascii="Times New Roman" w:hAnsi="Times New Roman" w:cs="Times New Roman"/>
          <w:sz w:val="24"/>
          <w:szCs w:val="24"/>
        </w:rPr>
        <w:t xml:space="preserve">  </w:t>
      </w:r>
    </w:p>
    <w:p w:rsidR="003B3448" w:rsidRDefault="003B3448">
      <w:pPr>
        <w:spacing w:after="0" w:line="240" w:lineRule="auto"/>
        <w:rPr>
          <w:rFonts w:ascii="Times New Roman" w:hAnsi="Times New Roman" w:cs="Times New Roman"/>
          <w:sz w:val="24"/>
          <w:szCs w:val="24"/>
        </w:rPr>
      </w:pPr>
    </w:p>
    <w:p w:rsidR="003B3448" w:rsidRDefault="003B3448">
      <w:pPr>
        <w:spacing w:after="0" w:line="240" w:lineRule="auto"/>
        <w:rPr>
          <w:rFonts w:ascii="Times New Roman" w:hAnsi="Times New Roman" w:cs="Times New Roman"/>
          <w:sz w:val="24"/>
          <w:szCs w:val="24"/>
        </w:rPr>
      </w:pPr>
    </w:p>
    <w:p w:rsidR="003B3448" w:rsidRDefault="00D75FD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B3448" w:rsidRDefault="00D75FD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COMMERCIAL DIVISION</w:t>
      </w:r>
    </w:p>
    <w:p w:rsidR="003B3448" w:rsidRDefault="00D75F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CHILIMBE &amp; NDLOVU</w:t>
      </w:r>
      <w:r>
        <w:rPr>
          <w:rFonts w:ascii="Times New Roman" w:hAnsi="Times New Roman" w:cs="Times New Roman"/>
          <w:sz w:val="24"/>
          <w:szCs w:val="24"/>
        </w:rPr>
        <w:t xml:space="preserve"> J</w:t>
      </w:r>
      <w:r>
        <w:rPr>
          <w:rFonts w:ascii="Times New Roman" w:hAnsi="Times New Roman" w:cs="Times New Roman"/>
          <w:sz w:val="24"/>
          <w:szCs w:val="24"/>
          <w:lang w:val="en-US"/>
        </w:rPr>
        <w:t>J</w:t>
      </w:r>
      <w:r>
        <w:rPr>
          <w:rFonts w:ascii="Times New Roman" w:hAnsi="Times New Roman" w:cs="Times New Roman"/>
          <w:sz w:val="24"/>
          <w:szCs w:val="24"/>
        </w:rPr>
        <w:t xml:space="preserve"> </w:t>
      </w:r>
    </w:p>
    <w:p w:rsidR="003B3448" w:rsidRDefault="00D75F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Pr>
          <w:rFonts w:ascii="Times New Roman" w:hAnsi="Times New Roman" w:cs="Times New Roman"/>
          <w:sz w:val="24"/>
          <w:szCs w:val="24"/>
          <w:lang w:val="en-US"/>
        </w:rPr>
        <w:t>01 June</w:t>
      </w:r>
      <w:r>
        <w:rPr>
          <w:rFonts w:ascii="Times New Roman" w:hAnsi="Times New Roman" w:cs="Times New Roman"/>
          <w:sz w:val="24"/>
          <w:szCs w:val="24"/>
        </w:rPr>
        <w:t xml:space="preserve"> &amp; </w:t>
      </w:r>
      <w:r>
        <w:rPr>
          <w:rFonts w:ascii="Times New Roman" w:hAnsi="Times New Roman" w:cs="Times New Roman"/>
          <w:sz w:val="24"/>
          <w:szCs w:val="24"/>
          <w:lang w:val="en-US"/>
        </w:rPr>
        <w:t>2</w:t>
      </w:r>
      <w:r>
        <w:rPr>
          <w:rFonts w:ascii="Times New Roman" w:hAnsi="Times New Roman" w:cs="Times New Roman"/>
          <w:sz w:val="24"/>
          <w:szCs w:val="24"/>
        </w:rPr>
        <w:t xml:space="preserve"> September 2025</w:t>
      </w:r>
    </w:p>
    <w:p w:rsidR="003B3448" w:rsidRDefault="003B3448">
      <w:pPr>
        <w:spacing w:after="0" w:line="240" w:lineRule="auto"/>
        <w:rPr>
          <w:rFonts w:ascii="Times New Roman" w:hAnsi="Times New Roman" w:cs="Times New Roman"/>
          <w:sz w:val="24"/>
          <w:szCs w:val="24"/>
        </w:rPr>
      </w:pPr>
    </w:p>
    <w:p w:rsidR="003B3448" w:rsidRDefault="00D75F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Mr</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 xml:space="preserve">T. </w:t>
      </w:r>
      <w:r>
        <w:rPr>
          <w:rFonts w:ascii="Times New Roman" w:hAnsi="Times New Roman" w:cs="Times New Roman"/>
          <w:i/>
          <w:iCs/>
          <w:sz w:val="24"/>
          <w:szCs w:val="24"/>
          <w:lang w:val="en-US"/>
        </w:rPr>
        <w:t>Chagunda,</w:t>
      </w:r>
      <w:r>
        <w:rPr>
          <w:rFonts w:ascii="Times New Roman" w:hAnsi="Times New Roman" w:cs="Times New Roman"/>
          <w:sz w:val="24"/>
          <w:szCs w:val="24"/>
        </w:rPr>
        <w:t xml:space="preserve"> for the </w:t>
      </w: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Apellant</w:t>
      </w:r>
      <w:r>
        <w:rPr>
          <w:rFonts w:ascii="Times New Roman" w:hAnsi="Times New Roman" w:cs="Times New Roman"/>
          <w:sz w:val="24"/>
          <w:szCs w:val="24"/>
        </w:rPr>
        <w:t xml:space="preserve"> </w:t>
      </w:r>
    </w:p>
    <w:p w:rsidR="003B3448" w:rsidRDefault="00D75F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Mr</w:t>
      </w:r>
      <w:r>
        <w:rPr>
          <w:rFonts w:ascii="Times New Roman" w:hAnsi="Times New Roman" w:cs="Times New Roman"/>
          <w:i/>
          <w:iCs/>
          <w:sz w:val="24"/>
          <w:szCs w:val="24"/>
          <w:lang w:val="en-US"/>
        </w:rPr>
        <w:t xml:space="preserve"> M. S. Nyanoka,</w:t>
      </w:r>
      <w:r>
        <w:rPr>
          <w:rFonts w:ascii="Times New Roman" w:hAnsi="Times New Roman" w:cs="Times New Roman"/>
          <w:sz w:val="24"/>
          <w:szCs w:val="24"/>
        </w:rPr>
        <w:t xml:space="preserve"> for the </w:t>
      </w:r>
      <w:r>
        <w:rPr>
          <w:rFonts w:ascii="Times New Roman" w:hAnsi="Times New Roman" w:cs="Times New Roman"/>
          <w:sz w:val="24"/>
          <w:szCs w:val="24"/>
          <w:lang w:val="en-US"/>
        </w:rPr>
        <w:t>Respondent</w:t>
      </w:r>
      <w:r>
        <w:rPr>
          <w:rFonts w:ascii="Times New Roman" w:hAnsi="Times New Roman" w:cs="Times New Roman"/>
          <w:sz w:val="24"/>
          <w:szCs w:val="24"/>
        </w:rPr>
        <w:t xml:space="preserve"> </w:t>
      </w:r>
    </w:p>
    <w:p w:rsidR="003B3448" w:rsidRDefault="003B3448">
      <w:pPr>
        <w:spacing w:after="0" w:line="240" w:lineRule="auto"/>
        <w:rPr>
          <w:rFonts w:ascii="Times New Roman" w:hAnsi="Times New Roman"/>
          <w:sz w:val="24"/>
          <w:szCs w:val="24"/>
          <w:lang w:val="en-GB"/>
        </w:rPr>
      </w:pPr>
    </w:p>
    <w:p w:rsidR="003B3448" w:rsidRDefault="003B3448">
      <w:pPr>
        <w:spacing w:after="0" w:line="240" w:lineRule="auto"/>
        <w:rPr>
          <w:rFonts w:ascii="Times New Roman" w:hAnsi="Times New Roman"/>
          <w:sz w:val="24"/>
          <w:szCs w:val="24"/>
          <w:lang w:val="en-GB"/>
        </w:rPr>
      </w:pPr>
    </w:p>
    <w:p w:rsidR="003B3448" w:rsidRDefault="00D75FDE">
      <w:pPr>
        <w:spacing w:after="0"/>
        <w:rPr>
          <w:rFonts w:ascii="Times New Roman" w:hAnsi="Times New Roman"/>
          <w:b/>
          <w:sz w:val="24"/>
          <w:szCs w:val="24"/>
          <w:lang w:val="en-US"/>
        </w:rPr>
      </w:pPr>
      <w:r>
        <w:rPr>
          <w:rFonts w:ascii="Times New Roman" w:hAnsi="Times New Roman"/>
          <w:b/>
          <w:sz w:val="24"/>
          <w:szCs w:val="24"/>
          <w:lang w:val="en-GB"/>
        </w:rPr>
        <w:t xml:space="preserve">Civil </w:t>
      </w:r>
      <w:r>
        <w:rPr>
          <w:rFonts w:ascii="Times New Roman" w:hAnsi="Times New Roman"/>
          <w:b/>
          <w:sz w:val="24"/>
          <w:szCs w:val="24"/>
          <w:lang w:val="en-US"/>
        </w:rPr>
        <w:t>Appeal</w:t>
      </w:r>
    </w:p>
    <w:p w:rsidR="003B3448" w:rsidRDefault="00D75FDE">
      <w:pPr>
        <w:tabs>
          <w:tab w:val="left" w:pos="2575"/>
        </w:tabs>
        <w:spacing w:after="0" w:line="240" w:lineRule="auto"/>
        <w:rPr>
          <w:rFonts w:ascii="Times New Roman" w:hAnsi="Times New Roman"/>
          <w:sz w:val="24"/>
          <w:szCs w:val="24"/>
          <w:lang w:val="en-GB"/>
        </w:rPr>
      </w:pPr>
      <w:r>
        <w:rPr>
          <w:rFonts w:ascii="Times New Roman" w:hAnsi="Times New Roman"/>
          <w:sz w:val="24"/>
          <w:szCs w:val="24"/>
          <w:lang w:val="en-GB"/>
        </w:rPr>
        <w:tab/>
      </w:r>
    </w:p>
    <w:p w:rsidR="003B3448" w:rsidRDefault="00D75FDE">
      <w:pPr>
        <w:spacing w:line="360" w:lineRule="auto"/>
        <w:jc w:val="both"/>
        <w:rPr>
          <w:rFonts w:ascii="Times New Roman" w:hAnsi="Times New Roman"/>
        </w:rPr>
      </w:pPr>
      <w:r>
        <w:rPr>
          <w:rFonts w:ascii="Times New Roman" w:hAnsi="Times New Roman" w:cs="Times New Roman"/>
          <w:sz w:val="24"/>
          <w:szCs w:val="24"/>
          <w:lang w:val="en-GB"/>
        </w:rPr>
        <w:tab/>
      </w:r>
      <w:r>
        <w:rPr>
          <w:rFonts w:ascii="Times New Roman" w:hAnsi="Times New Roman" w:cs="Times New Roman"/>
          <w:b/>
          <w:bCs/>
          <w:lang w:val="en-US"/>
        </w:rPr>
        <w:t>NDLOVU</w:t>
      </w:r>
      <w:r>
        <w:rPr>
          <w:rFonts w:ascii="Times New Roman" w:hAnsi="Times New Roman" w:cs="Times New Roman"/>
          <w:b/>
          <w:bCs/>
          <w:lang w:val="en-GB"/>
        </w:rPr>
        <w:t xml:space="preserve"> J:</w:t>
      </w:r>
      <w:r>
        <w:rPr>
          <w:rFonts w:ascii="Times New Roman" w:hAnsi="Times New Roman" w:cs="Times New Roman"/>
          <w:lang w:val="en-US"/>
        </w:rPr>
        <w:t xml:space="preserve"> </w:t>
      </w:r>
      <w:r>
        <w:rPr>
          <w:rFonts w:ascii="Times New Roman" w:hAnsi="Times New Roman"/>
        </w:rPr>
        <w:t xml:space="preserve">This is an appeal against the whole judgment of the Magistrates Court sitting at Harare, handed down by Her Worship </w:t>
      </w:r>
      <w:r>
        <w:rPr>
          <w:rFonts w:ascii="Times New Roman" w:hAnsi="Times New Roman"/>
          <w:i/>
        </w:rPr>
        <w:t>Esquire</w:t>
      </w:r>
      <w:r>
        <w:rPr>
          <w:rFonts w:ascii="Times New Roman" w:hAnsi="Times New Roman"/>
        </w:rPr>
        <w:t xml:space="preserve"> H. Fazilahmed on the 22nd of January 2025 under case number. C-CD 1696/24.</w:t>
      </w:r>
    </w:p>
    <w:p w:rsidR="003B3448" w:rsidRDefault="00D75FDE">
      <w:pPr>
        <w:spacing w:line="360" w:lineRule="auto"/>
        <w:jc w:val="both"/>
        <w:rPr>
          <w:rFonts w:ascii="Times New Roman" w:hAnsi="Times New Roman"/>
          <w:b/>
        </w:rPr>
      </w:pPr>
      <w:r>
        <w:rPr>
          <w:rFonts w:ascii="Times New Roman" w:hAnsi="Times New Roman"/>
          <w:b/>
          <w:bCs/>
        </w:rPr>
        <w:t>BACKGROUND</w:t>
      </w:r>
    </w:p>
    <w:p w:rsidR="003B3448" w:rsidRDefault="00D75FDE">
      <w:pPr>
        <w:numPr>
          <w:ilvl w:val="0"/>
          <w:numId w:val="1"/>
        </w:numPr>
        <w:spacing w:line="360" w:lineRule="auto"/>
        <w:jc w:val="both"/>
        <w:rPr>
          <w:rFonts w:ascii="Times New Roman" w:hAnsi="Times New Roman"/>
        </w:rPr>
      </w:pPr>
      <w:r>
        <w:rPr>
          <w:rFonts w:ascii="Times New Roman" w:hAnsi="Times New Roman"/>
        </w:rPr>
        <w:t xml:space="preserve">Sometime in 2022, the second appellant, represented by the first appellant, entered into a contractual agreement for the purchase of 400,000 litres of fuel from </w:t>
      </w:r>
      <w:r>
        <w:rPr>
          <w:rFonts w:ascii="Times New Roman" w:hAnsi="Times New Roman"/>
        </w:rPr>
        <w:t>R-Powered Solutions (Pvt) Ltd, a South African Company represented by the respondent, a law firm fully registered with the Law Society of Zimbabwe and practising in Zimbabwe. This arrangement entailed the supply of 400,000 litres of fuel at US$1 per litre.</w:t>
      </w:r>
      <w:r>
        <w:rPr>
          <w:rFonts w:ascii="Times New Roman" w:hAnsi="Times New Roman"/>
        </w:rPr>
        <w:t xml:space="preserve"> In terms of that agreement, a sum of US$400,000.00 was paid into the respondent’s account. However, R-Powered Solutions only delivered 40,000 litres of fuel, resulting in a shortfall of 360000 litres equating to US$360,000. R-Powered Solutions ultimately </w:t>
      </w:r>
      <w:r>
        <w:rPr>
          <w:rFonts w:ascii="Times New Roman" w:hAnsi="Times New Roman"/>
        </w:rPr>
        <w:t xml:space="preserve">did not supply the 360,000 litres, resulting in a lawsuit in which they recovered their US$360,000. However, in the meantime, and during the impasse regarding the 360,000 litres, the respondent had made available to the appellants US$19,500.00 to mitigate </w:t>
      </w:r>
      <w:r>
        <w:rPr>
          <w:rFonts w:ascii="Times New Roman" w:hAnsi="Times New Roman"/>
        </w:rPr>
        <w:t>their cash flow challenges. Upon the appellants' recovery of US$360,000.00, the respondent sought the return of US$19,500 from the appellants. The appellants declined the demand, leading to this litigation.</w:t>
      </w:r>
    </w:p>
    <w:p w:rsidR="003B3448" w:rsidRDefault="003B3448">
      <w:pPr>
        <w:spacing w:line="360" w:lineRule="auto"/>
        <w:ind w:left="360"/>
        <w:jc w:val="both"/>
        <w:rPr>
          <w:rFonts w:ascii="Times New Roman" w:hAnsi="Times New Roman"/>
        </w:rPr>
      </w:pPr>
    </w:p>
    <w:p w:rsidR="003B3448" w:rsidRDefault="00D75FDE">
      <w:pPr>
        <w:spacing w:line="360" w:lineRule="auto"/>
        <w:jc w:val="both"/>
        <w:rPr>
          <w:rFonts w:ascii="Times New Roman" w:hAnsi="Times New Roman"/>
          <w:b/>
        </w:rPr>
      </w:pPr>
      <w:r>
        <w:rPr>
          <w:rFonts w:ascii="Times New Roman" w:hAnsi="Times New Roman"/>
          <w:b/>
        </w:rPr>
        <w:lastRenderedPageBreak/>
        <w:t>PROCEEDINGS IN THE COURT A QUO</w:t>
      </w:r>
    </w:p>
    <w:p w:rsidR="003B3448" w:rsidRDefault="00D75FDE">
      <w:pPr>
        <w:numPr>
          <w:ilvl w:val="0"/>
          <w:numId w:val="1"/>
        </w:numPr>
        <w:spacing w:line="360" w:lineRule="auto"/>
        <w:jc w:val="both"/>
        <w:rPr>
          <w:rFonts w:ascii="Times New Roman" w:hAnsi="Times New Roman"/>
        </w:rPr>
      </w:pPr>
      <w:r>
        <w:rPr>
          <w:rFonts w:ascii="Times New Roman" w:hAnsi="Times New Roman"/>
        </w:rPr>
        <w:t xml:space="preserve">Mr Rungano </w:t>
      </w:r>
      <w:r>
        <w:rPr>
          <w:rFonts w:ascii="Times New Roman" w:hAnsi="Times New Roman"/>
        </w:rPr>
        <w:t>Mahuni, who is the respondent’s managing partner and was designated as the exclusive attorney for R-Powered Solutions in various transactions, testified that the appellants had approached the Respondent for financial support due to delays in fuel delivery,</w:t>
      </w:r>
      <w:r>
        <w:rPr>
          <w:rFonts w:ascii="Times New Roman" w:hAnsi="Times New Roman"/>
        </w:rPr>
        <w:t xml:space="preserve"> which resulted in the provision of the US$19,500. Mahuni told the court that the outstanding 360,000 litres of fuel were eventually recovered as US$360,000 through legal proceedings. He refuted the claim that the US$19,500 belonged to the appellants while</w:t>
      </w:r>
      <w:r>
        <w:rPr>
          <w:rFonts w:ascii="Times New Roman" w:hAnsi="Times New Roman"/>
        </w:rPr>
        <w:t xml:space="preserve"> in the trust account, arguing that the funds were the Respondent's fees and that the appellants would be unjustly enriched.</w:t>
      </w:r>
    </w:p>
    <w:p w:rsidR="003B3448" w:rsidRDefault="00D75FDE">
      <w:pPr>
        <w:numPr>
          <w:ilvl w:val="0"/>
          <w:numId w:val="1"/>
        </w:numPr>
        <w:spacing w:line="360" w:lineRule="auto"/>
        <w:jc w:val="both"/>
        <w:rPr>
          <w:rFonts w:ascii="Times New Roman" w:hAnsi="Times New Roman"/>
          <w:b/>
        </w:rPr>
      </w:pPr>
      <w:r>
        <w:rPr>
          <w:rFonts w:ascii="Times New Roman" w:hAnsi="Times New Roman"/>
        </w:rPr>
        <w:t>The appellants’ case was prosecuted through Mr. Marlon Chikomo, the first appellant, who testified that they paid US$400,000 for fu</w:t>
      </w:r>
      <w:r>
        <w:rPr>
          <w:rFonts w:ascii="Times New Roman" w:hAnsi="Times New Roman"/>
        </w:rPr>
        <w:t>el to R-Powered Solutions through the respondent. He further testified that no fuel was delivered as promised, on account of the Respondent’s client. Upon learning that funds had been withdrawn from the Respondent’s trust account, the appellants sought rei</w:t>
      </w:r>
      <w:r>
        <w:rPr>
          <w:rFonts w:ascii="Times New Roman" w:hAnsi="Times New Roman"/>
        </w:rPr>
        <w:t xml:space="preserve">mbursement. He acknowledged receiving the US$19,500 from the respondent, but argued that it did not belong to the Respondent. He claimed that the costs incurred due to the fuel delivery issues exceeded the amount in question. The appellants contended that </w:t>
      </w:r>
      <w:r>
        <w:rPr>
          <w:rFonts w:ascii="Times New Roman" w:hAnsi="Times New Roman"/>
        </w:rPr>
        <w:t xml:space="preserve">since the amount was withdrawn from the trust account, the Respondent had no right to retain it. </w:t>
      </w:r>
    </w:p>
    <w:p w:rsidR="003B3448" w:rsidRDefault="00D75FDE">
      <w:pPr>
        <w:spacing w:line="360" w:lineRule="auto"/>
        <w:jc w:val="both"/>
        <w:rPr>
          <w:rFonts w:ascii="Times New Roman" w:hAnsi="Times New Roman"/>
          <w:b/>
        </w:rPr>
      </w:pPr>
      <w:r>
        <w:rPr>
          <w:rFonts w:ascii="Times New Roman" w:hAnsi="Times New Roman"/>
          <w:b/>
        </w:rPr>
        <w:t>FINDINGS OF THE COURT A QUO</w:t>
      </w:r>
    </w:p>
    <w:p w:rsidR="003B3448" w:rsidRDefault="00D75FDE">
      <w:pPr>
        <w:numPr>
          <w:ilvl w:val="0"/>
          <w:numId w:val="1"/>
        </w:numPr>
        <w:spacing w:line="360" w:lineRule="auto"/>
        <w:jc w:val="both"/>
        <w:rPr>
          <w:rFonts w:ascii="Times New Roman" w:hAnsi="Times New Roman"/>
        </w:rPr>
      </w:pPr>
      <w:r>
        <w:rPr>
          <w:rFonts w:ascii="Times New Roman" w:hAnsi="Times New Roman"/>
        </w:rPr>
        <w:t>The court a quo ruled in favour of the Respondent, concluding that the appellants were indeed liable for US$19,500. It reasoned th</w:t>
      </w:r>
      <w:r>
        <w:rPr>
          <w:rFonts w:ascii="Times New Roman" w:hAnsi="Times New Roman"/>
        </w:rPr>
        <w:t>at the appellants had no valid claim to retain the funds and granted the Respondent its claim for reimbursement.</w:t>
      </w:r>
    </w:p>
    <w:p w:rsidR="003B3448" w:rsidRDefault="00D75FDE">
      <w:pPr>
        <w:spacing w:line="360" w:lineRule="auto"/>
        <w:jc w:val="both"/>
        <w:rPr>
          <w:rFonts w:ascii="Times New Roman" w:hAnsi="Times New Roman"/>
          <w:b/>
        </w:rPr>
      </w:pPr>
      <w:r>
        <w:rPr>
          <w:rFonts w:ascii="Times New Roman" w:hAnsi="Times New Roman"/>
          <w:b/>
        </w:rPr>
        <w:t>PROCEEDINGS BEFORE THIS COURT.</w:t>
      </w:r>
    </w:p>
    <w:p w:rsidR="003B3448" w:rsidRDefault="00D75FDE">
      <w:pPr>
        <w:numPr>
          <w:ilvl w:val="0"/>
          <w:numId w:val="1"/>
        </w:numPr>
        <w:spacing w:line="360" w:lineRule="auto"/>
        <w:jc w:val="both"/>
        <w:rPr>
          <w:rFonts w:ascii="Times New Roman" w:hAnsi="Times New Roman"/>
        </w:rPr>
      </w:pPr>
      <w:r>
        <w:rPr>
          <w:rFonts w:ascii="Times New Roman" w:hAnsi="Times New Roman"/>
        </w:rPr>
        <w:t>Dissatisfied with the outcome of the proceedings in the court a quo, the appellants launched this appeal.</w:t>
      </w:r>
    </w:p>
    <w:p w:rsidR="003B3448" w:rsidRDefault="00D75FDE">
      <w:pPr>
        <w:spacing w:line="360" w:lineRule="auto"/>
        <w:jc w:val="both"/>
        <w:rPr>
          <w:rFonts w:ascii="Times New Roman" w:hAnsi="Times New Roman"/>
        </w:rPr>
      </w:pPr>
      <w:r>
        <w:rPr>
          <w:rFonts w:ascii="Times New Roman" w:hAnsi="Times New Roman"/>
          <w:b/>
        </w:rPr>
        <w:t>GROUND</w:t>
      </w:r>
      <w:r>
        <w:rPr>
          <w:rFonts w:ascii="Times New Roman" w:hAnsi="Times New Roman"/>
          <w:b/>
        </w:rPr>
        <w:t>S OF APPEAL</w:t>
      </w:r>
    </w:p>
    <w:p w:rsidR="003B3448" w:rsidRDefault="00D75FDE">
      <w:pPr>
        <w:numPr>
          <w:ilvl w:val="0"/>
          <w:numId w:val="2"/>
        </w:numPr>
        <w:spacing w:line="360" w:lineRule="auto"/>
        <w:jc w:val="both"/>
        <w:rPr>
          <w:rFonts w:ascii="Times New Roman" w:hAnsi="Times New Roman"/>
          <w:i/>
        </w:rPr>
      </w:pPr>
      <w:bookmarkStart w:id="1" w:name="_Hlk198891173"/>
      <w:r>
        <w:rPr>
          <w:rFonts w:ascii="Times New Roman" w:hAnsi="Times New Roman"/>
          <w:i/>
        </w:rPr>
        <w:t xml:space="preserve">The court erred at law </w:t>
      </w:r>
      <w:bookmarkEnd w:id="1"/>
      <w:r>
        <w:rPr>
          <w:rFonts w:ascii="Times New Roman" w:hAnsi="Times New Roman"/>
          <w:i/>
        </w:rPr>
        <w:t>in determining and deciding the matter on the basis of unjustified enrichment, which issue was never placed before the court. By so doing, the court went on a frolic of its own.</w:t>
      </w:r>
    </w:p>
    <w:p w:rsidR="003B3448" w:rsidRDefault="00D75FDE">
      <w:pPr>
        <w:numPr>
          <w:ilvl w:val="0"/>
          <w:numId w:val="2"/>
        </w:numPr>
        <w:spacing w:line="360" w:lineRule="auto"/>
        <w:jc w:val="both"/>
        <w:rPr>
          <w:rFonts w:ascii="Times New Roman" w:hAnsi="Times New Roman"/>
          <w:i/>
        </w:rPr>
      </w:pPr>
      <w:r>
        <w:rPr>
          <w:rFonts w:ascii="Times New Roman" w:hAnsi="Times New Roman"/>
          <w:i/>
        </w:rPr>
        <w:t xml:space="preserve">The court </w:t>
      </w:r>
      <w:r>
        <w:rPr>
          <w:rFonts w:ascii="Times New Roman" w:hAnsi="Times New Roman"/>
          <w:i/>
          <w:iCs/>
        </w:rPr>
        <w:t xml:space="preserve">a quo </w:t>
      </w:r>
      <w:r>
        <w:rPr>
          <w:rFonts w:ascii="Times New Roman" w:hAnsi="Times New Roman"/>
          <w:i/>
        </w:rPr>
        <w:t xml:space="preserve">erred at law in failing to </w:t>
      </w:r>
      <w:r>
        <w:rPr>
          <w:rFonts w:ascii="Times New Roman" w:hAnsi="Times New Roman"/>
          <w:i/>
        </w:rPr>
        <w:t>find that the funds paid into the Respondent’s trust account by the 2</w:t>
      </w:r>
      <w:r>
        <w:rPr>
          <w:rFonts w:ascii="Times New Roman" w:hAnsi="Times New Roman"/>
          <w:i/>
          <w:vertAlign w:val="superscript"/>
        </w:rPr>
        <w:t>nd</w:t>
      </w:r>
      <w:r>
        <w:rPr>
          <w:rFonts w:ascii="Times New Roman" w:hAnsi="Times New Roman"/>
          <w:i/>
        </w:rPr>
        <w:t xml:space="preserve"> Appellant remained the 2</w:t>
      </w:r>
      <w:r>
        <w:rPr>
          <w:rFonts w:ascii="Times New Roman" w:hAnsi="Times New Roman"/>
          <w:i/>
          <w:vertAlign w:val="superscript"/>
        </w:rPr>
        <w:t>nd</w:t>
      </w:r>
      <w:r>
        <w:rPr>
          <w:rFonts w:ascii="Times New Roman" w:hAnsi="Times New Roman"/>
          <w:i/>
        </w:rPr>
        <w:t xml:space="preserve"> Appellant’s funds until the Appellant had received the fuel that had been purchased by the 2</w:t>
      </w:r>
      <w:r>
        <w:rPr>
          <w:rFonts w:ascii="Times New Roman" w:hAnsi="Times New Roman"/>
          <w:i/>
          <w:vertAlign w:val="superscript"/>
        </w:rPr>
        <w:t>nd</w:t>
      </w:r>
      <w:r>
        <w:rPr>
          <w:rFonts w:ascii="Times New Roman" w:hAnsi="Times New Roman"/>
          <w:i/>
        </w:rPr>
        <w:t xml:space="preserve"> Appellant.</w:t>
      </w:r>
    </w:p>
    <w:p w:rsidR="003B3448" w:rsidRDefault="00D75FDE">
      <w:pPr>
        <w:numPr>
          <w:ilvl w:val="0"/>
          <w:numId w:val="2"/>
        </w:numPr>
        <w:spacing w:line="360" w:lineRule="auto"/>
        <w:jc w:val="both"/>
        <w:rPr>
          <w:rFonts w:ascii="Times New Roman" w:hAnsi="Times New Roman"/>
          <w:i/>
        </w:rPr>
      </w:pPr>
      <w:r>
        <w:rPr>
          <w:rFonts w:ascii="Times New Roman" w:hAnsi="Times New Roman"/>
          <w:i/>
        </w:rPr>
        <w:lastRenderedPageBreak/>
        <w:t>The court a quo erred at law in holding that the Re</w:t>
      </w:r>
      <w:r>
        <w:rPr>
          <w:rFonts w:ascii="Times New Roman" w:hAnsi="Times New Roman"/>
          <w:i/>
        </w:rPr>
        <w:t>spondent had no obligation to account to the Appellants for funds paid into its trust account, which funds remained the Appellants’ funds, notwithstanding the fact that the Respondent, in proceedings in case No. HC 196/22 accepted that the funds paid by it</w:t>
      </w:r>
      <w:r>
        <w:rPr>
          <w:rFonts w:ascii="Times New Roman" w:hAnsi="Times New Roman"/>
          <w:i/>
        </w:rPr>
        <w:t xml:space="preserve"> to a third party from the funds paid by the Appellant belonged to and ought to be returned to the Appellants.</w:t>
      </w:r>
    </w:p>
    <w:p w:rsidR="003B3448" w:rsidRDefault="00D75FDE">
      <w:pPr>
        <w:numPr>
          <w:ilvl w:val="0"/>
          <w:numId w:val="2"/>
        </w:numPr>
        <w:spacing w:line="360" w:lineRule="auto"/>
        <w:jc w:val="both"/>
        <w:rPr>
          <w:rFonts w:ascii="Times New Roman" w:hAnsi="Times New Roman"/>
          <w:i/>
        </w:rPr>
      </w:pPr>
      <w:r>
        <w:rPr>
          <w:rFonts w:ascii="Times New Roman" w:hAnsi="Times New Roman"/>
          <w:i/>
        </w:rPr>
        <w:t>The court a quo erred at law in finding that the Respondent is entitled to payment of the sum of US$19 500.00 from the Appellants in circumstance</w:t>
      </w:r>
      <w:r>
        <w:rPr>
          <w:rFonts w:ascii="Times New Roman" w:hAnsi="Times New Roman"/>
          <w:i/>
        </w:rPr>
        <w:t>s wherein the Respondent failed to establish a legal entitlement to such money.</w:t>
      </w:r>
    </w:p>
    <w:p w:rsidR="003B3448" w:rsidRDefault="00D75FDE">
      <w:pPr>
        <w:spacing w:line="360" w:lineRule="auto"/>
        <w:jc w:val="both"/>
        <w:rPr>
          <w:rFonts w:ascii="Times New Roman" w:hAnsi="Times New Roman"/>
          <w:iCs/>
        </w:rPr>
      </w:pPr>
      <w:r>
        <w:rPr>
          <w:rFonts w:ascii="Times New Roman" w:hAnsi="Times New Roman"/>
          <w:b/>
          <w:iCs/>
        </w:rPr>
        <w:t xml:space="preserve">RELIEF SOUGHT </w:t>
      </w:r>
    </w:p>
    <w:p w:rsidR="003B3448" w:rsidRDefault="00D75FDE">
      <w:pPr>
        <w:pStyle w:val="ListParagraph"/>
        <w:spacing w:line="360" w:lineRule="auto"/>
        <w:ind w:left="0"/>
        <w:jc w:val="both"/>
        <w:rPr>
          <w:rFonts w:ascii="Times New Roman" w:hAnsi="Times New Roman"/>
          <w:i/>
        </w:rPr>
      </w:pPr>
      <w:r>
        <w:rPr>
          <w:rFonts w:ascii="Times New Roman" w:hAnsi="Times New Roman"/>
          <w:b/>
          <w:i/>
        </w:rPr>
        <w:t>WHEREFORE</w:t>
      </w:r>
      <w:r>
        <w:rPr>
          <w:rFonts w:ascii="Times New Roman" w:hAnsi="Times New Roman"/>
          <w:i/>
        </w:rPr>
        <w:t>, Appellant hereby seek the following relief:</w:t>
      </w:r>
    </w:p>
    <w:p w:rsidR="003B3448" w:rsidRDefault="00D75FDE">
      <w:pPr>
        <w:pStyle w:val="ListParagraph"/>
        <w:numPr>
          <w:ilvl w:val="0"/>
          <w:numId w:val="3"/>
        </w:numPr>
        <w:spacing w:line="360" w:lineRule="auto"/>
        <w:jc w:val="both"/>
        <w:rPr>
          <w:rFonts w:ascii="Times New Roman" w:hAnsi="Times New Roman"/>
          <w:i/>
        </w:rPr>
      </w:pPr>
      <w:r>
        <w:rPr>
          <w:rFonts w:ascii="Times New Roman" w:hAnsi="Times New Roman"/>
          <w:i/>
        </w:rPr>
        <w:t>That the appeal succeeds with costs.</w:t>
      </w:r>
    </w:p>
    <w:p w:rsidR="003B3448" w:rsidRDefault="00D75FDE">
      <w:pPr>
        <w:pStyle w:val="ListParagraph"/>
        <w:numPr>
          <w:ilvl w:val="0"/>
          <w:numId w:val="3"/>
        </w:numPr>
        <w:spacing w:line="360" w:lineRule="auto"/>
        <w:jc w:val="both"/>
        <w:rPr>
          <w:rFonts w:ascii="Times New Roman" w:hAnsi="Times New Roman"/>
          <w:i/>
        </w:rPr>
      </w:pPr>
      <w:r>
        <w:rPr>
          <w:rFonts w:ascii="Times New Roman" w:hAnsi="Times New Roman"/>
          <w:i/>
        </w:rPr>
        <w:t>That the judgment  of the court a quo be set aside and substituted wi</w:t>
      </w:r>
      <w:r>
        <w:rPr>
          <w:rFonts w:ascii="Times New Roman" w:hAnsi="Times New Roman"/>
          <w:i/>
        </w:rPr>
        <w:t>th the following order:</w:t>
      </w:r>
    </w:p>
    <w:p w:rsidR="003B3448" w:rsidRDefault="00D75FDE">
      <w:pPr>
        <w:pStyle w:val="ListParagraph"/>
        <w:spacing w:line="360" w:lineRule="auto"/>
        <w:jc w:val="both"/>
        <w:rPr>
          <w:rFonts w:ascii="Times New Roman" w:hAnsi="Times New Roman"/>
          <w:i/>
        </w:rPr>
      </w:pPr>
      <w:r>
        <w:rPr>
          <w:rFonts w:ascii="Times New Roman" w:hAnsi="Times New Roman"/>
          <w:i/>
        </w:rPr>
        <w:t>“The claim be and hereby dismissed with costs.”</w:t>
      </w:r>
    </w:p>
    <w:p w:rsidR="003B3448" w:rsidRDefault="003B3448">
      <w:pPr>
        <w:pStyle w:val="ListParagraph"/>
        <w:spacing w:line="360" w:lineRule="auto"/>
        <w:jc w:val="both"/>
        <w:rPr>
          <w:rFonts w:ascii="Times New Roman" w:hAnsi="Times New Roman"/>
          <w:i/>
        </w:rPr>
      </w:pPr>
    </w:p>
    <w:p w:rsidR="003B3448" w:rsidRDefault="00D75FDE">
      <w:pPr>
        <w:pStyle w:val="ListParagraph"/>
        <w:spacing w:line="360" w:lineRule="auto"/>
        <w:ind w:left="0"/>
        <w:jc w:val="both"/>
        <w:rPr>
          <w:rFonts w:ascii="Times New Roman" w:hAnsi="Times New Roman"/>
          <w:b/>
        </w:rPr>
      </w:pPr>
      <w:r>
        <w:rPr>
          <w:rFonts w:ascii="Times New Roman" w:hAnsi="Times New Roman"/>
          <w:b/>
        </w:rPr>
        <w:t xml:space="preserve">ISSUE FOR DETERMINATION </w:t>
      </w:r>
    </w:p>
    <w:p w:rsidR="003B3448" w:rsidRDefault="00D75FDE">
      <w:pPr>
        <w:numPr>
          <w:ilvl w:val="0"/>
          <w:numId w:val="4"/>
        </w:numPr>
        <w:spacing w:after="0" w:line="360" w:lineRule="auto"/>
        <w:jc w:val="both"/>
        <w:rPr>
          <w:rFonts w:ascii="Times New Roman" w:hAnsi="Times New Roman"/>
        </w:rPr>
      </w:pPr>
      <w:r>
        <w:rPr>
          <w:rFonts w:ascii="Times New Roman" w:hAnsi="Times New Roman"/>
        </w:rPr>
        <w:t>Whether or not the principle of unjust enrichment applies in this matter.</w:t>
      </w:r>
    </w:p>
    <w:p w:rsidR="003B3448" w:rsidRDefault="00D75FDE">
      <w:pPr>
        <w:numPr>
          <w:ilvl w:val="0"/>
          <w:numId w:val="4"/>
        </w:numPr>
        <w:spacing w:after="0" w:line="360" w:lineRule="auto"/>
        <w:jc w:val="both"/>
        <w:rPr>
          <w:rFonts w:ascii="Times New Roman" w:hAnsi="Times New Roman"/>
        </w:rPr>
      </w:pPr>
      <w:r>
        <w:rPr>
          <w:rFonts w:ascii="Times New Roman" w:hAnsi="Times New Roman"/>
        </w:rPr>
        <w:t>Whether or not the appellants were indebted to the respondent for US$19,500?</w:t>
      </w:r>
    </w:p>
    <w:p w:rsidR="003B3448" w:rsidRDefault="003B3448">
      <w:pPr>
        <w:spacing w:after="0" w:line="360" w:lineRule="auto"/>
        <w:jc w:val="both"/>
        <w:rPr>
          <w:rFonts w:ascii="Times New Roman" w:hAnsi="Times New Roman"/>
        </w:rPr>
      </w:pPr>
    </w:p>
    <w:p w:rsidR="003B3448" w:rsidRDefault="00D75FDE">
      <w:pPr>
        <w:spacing w:after="0" w:line="360" w:lineRule="auto"/>
        <w:jc w:val="both"/>
        <w:rPr>
          <w:rFonts w:ascii="Times New Roman" w:hAnsi="Times New Roman"/>
          <w:b/>
        </w:rPr>
      </w:pPr>
      <w:r>
        <w:rPr>
          <w:rFonts w:ascii="Times New Roman" w:hAnsi="Times New Roman"/>
          <w:b/>
        </w:rPr>
        <w:t xml:space="preserve">THE </w:t>
      </w:r>
      <w:r>
        <w:rPr>
          <w:rFonts w:ascii="Times New Roman" w:hAnsi="Times New Roman"/>
          <w:b/>
        </w:rPr>
        <w:t>LAW</w:t>
      </w:r>
    </w:p>
    <w:p w:rsidR="003B3448" w:rsidRDefault="00D75FDE">
      <w:pPr>
        <w:tabs>
          <w:tab w:val="left" w:pos="3552"/>
        </w:tabs>
        <w:spacing w:after="0" w:line="360" w:lineRule="auto"/>
        <w:ind w:firstLineChars="100" w:firstLine="220"/>
        <w:jc w:val="both"/>
        <w:rPr>
          <w:rFonts w:ascii="Times New Roman" w:hAnsi="Times New Roman"/>
        </w:rPr>
      </w:pPr>
      <w:r>
        <w:rPr>
          <w:rFonts w:ascii="Times New Roman" w:hAnsi="Times New Roman"/>
        </w:rPr>
        <w:t>6. An appellate court must identify an error in the exercise of discretion by the primary court. If the primary court has acted on an erroneous principle, allowed irrelevant factors to influence its decision, misapprehended facts, or failed to consider</w:t>
      </w:r>
      <w:r>
        <w:rPr>
          <w:rFonts w:ascii="Times New Roman" w:hAnsi="Times New Roman"/>
        </w:rPr>
        <w:t xml:space="preserve"> pertinent evidence, its ruling may warrant review, empowering the appellate court to exercise its own discretion. </w:t>
      </w:r>
      <w:r>
        <w:rPr>
          <w:rFonts w:ascii="Times New Roman" w:hAnsi="Times New Roman"/>
          <w:i/>
        </w:rPr>
        <w:t xml:space="preserve">Barros </w:t>
      </w:r>
      <w:r>
        <w:rPr>
          <w:rFonts w:ascii="Times New Roman" w:hAnsi="Times New Roman"/>
          <w:iCs/>
        </w:rPr>
        <w:t>v</w:t>
      </w:r>
      <w:r>
        <w:rPr>
          <w:rFonts w:ascii="Times New Roman" w:hAnsi="Times New Roman"/>
          <w:i/>
        </w:rPr>
        <w:t xml:space="preserve"> Chimphonda</w:t>
      </w:r>
      <w:r>
        <w:rPr>
          <w:rFonts w:ascii="Times New Roman" w:hAnsi="Times New Roman"/>
        </w:rPr>
        <w:t xml:space="preserve"> 1999 (1) ZLR 58 (S).</w:t>
      </w:r>
    </w:p>
    <w:p w:rsidR="003B3448" w:rsidRDefault="003B3448">
      <w:pPr>
        <w:tabs>
          <w:tab w:val="left" w:pos="3552"/>
        </w:tabs>
        <w:spacing w:after="0" w:line="360" w:lineRule="auto"/>
        <w:jc w:val="both"/>
        <w:rPr>
          <w:rFonts w:ascii="Times New Roman" w:hAnsi="Times New Roman"/>
        </w:rPr>
      </w:pPr>
    </w:p>
    <w:p w:rsidR="003B3448" w:rsidRDefault="00D75FDE">
      <w:pPr>
        <w:spacing w:after="0" w:line="360" w:lineRule="auto"/>
        <w:ind w:firstLineChars="100" w:firstLine="220"/>
        <w:jc w:val="both"/>
        <w:rPr>
          <w:rFonts w:ascii="Times New Roman" w:hAnsi="Times New Roman"/>
        </w:rPr>
      </w:pPr>
      <w:r>
        <w:rPr>
          <w:rFonts w:ascii="Times New Roman" w:hAnsi="Times New Roman"/>
        </w:rPr>
        <w:t>7. The four essential elements required for a successful claim of unjust enrichment are:</w:t>
      </w:r>
    </w:p>
    <w:p w:rsidR="003B3448" w:rsidRDefault="003B3448">
      <w:pPr>
        <w:spacing w:after="0" w:line="360" w:lineRule="auto"/>
        <w:jc w:val="both"/>
        <w:rPr>
          <w:rFonts w:ascii="Times New Roman" w:hAnsi="Times New Roman"/>
        </w:rPr>
      </w:pPr>
    </w:p>
    <w:p w:rsidR="003B3448" w:rsidRDefault="00D75FDE">
      <w:pPr>
        <w:spacing w:after="0" w:line="360" w:lineRule="auto"/>
        <w:ind w:firstLine="720"/>
        <w:jc w:val="both"/>
        <w:rPr>
          <w:rFonts w:ascii="Times New Roman" w:hAnsi="Times New Roman"/>
        </w:rPr>
      </w:pPr>
      <w:r>
        <w:rPr>
          <w:rFonts w:ascii="Times New Roman" w:hAnsi="Times New Roman"/>
        </w:rPr>
        <w:t xml:space="preserve">1. The </w:t>
      </w:r>
      <w:r>
        <w:rPr>
          <w:rFonts w:ascii="Times New Roman" w:hAnsi="Times New Roman"/>
        </w:rPr>
        <w:t>defendant must be enriched;</w:t>
      </w:r>
    </w:p>
    <w:p w:rsidR="003B3448" w:rsidRDefault="00D75FDE">
      <w:pPr>
        <w:spacing w:after="0" w:line="360" w:lineRule="auto"/>
        <w:ind w:firstLine="720"/>
        <w:jc w:val="both"/>
        <w:rPr>
          <w:rFonts w:ascii="Times New Roman" w:hAnsi="Times New Roman"/>
        </w:rPr>
      </w:pPr>
      <w:r>
        <w:rPr>
          <w:rFonts w:ascii="Times New Roman" w:hAnsi="Times New Roman"/>
        </w:rPr>
        <w:t>2. The plaintiff must suffer impoverishment;</w:t>
      </w:r>
    </w:p>
    <w:p w:rsidR="003B3448" w:rsidRDefault="00D75FDE">
      <w:pPr>
        <w:spacing w:after="0" w:line="360" w:lineRule="auto"/>
        <w:ind w:firstLine="720"/>
        <w:jc w:val="both"/>
        <w:rPr>
          <w:rFonts w:ascii="Times New Roman" w:hAnsi="Times New Roman"/>
        </w:rPr>
      </w:pPr>
      <w:r>
        <w:rPr>
          <w:rFonts w:ascii="Times New Roman" w:hAnsi="Times New Roman"/>
        </w:rPr>
        <w:t>3. The defendant’s enrichment must occur at the plaintiff’s expense; and</w:t>
      </w:r>
    </w:p>
    <w:p w:rsidR="003B3448" w:rsidRDefault="00D75FDE">
      <w:pPr>
        <w:spacing w:after="0" w:line="360" w:lineRule="auto"/>
        <w:ind w:firstLine="720"/>
        <w:jc w:val="both"/>
        <w:rPr>
          <w:rFonts w:ascii="Times New Roman" w:hAnsi="Times New Roman"/>
          <w:i/>
        </w:rPr>
      </w:pPr>
      <w:r>
        <w:rPr>
          <w:rFonts w:ascii="Times New Roman" w:hAnsi="Times New Roman"/>
        </w:rPr>
        <w:t xml:space="preserve">4. The enrichment must be unjustified, meaning it lacks any legal basis </w:t>
      </w:r>
      <w:r>
        <w:rPr>
          <w:rFonts w:ascii="Times New Roman" w:hAnsi="Times New Roman"/>
          <w:i/>
        </w:rPr>
        <w:t>(sine causa).</w:t>
      </w:r>
    </w:p>
    <w:p w:rsidR="003B3448" w:rsidRDefault="003B3448">
      <w:pPr>
        <w:spacing w:after="0" w:line="360" w:lineRule="auto"/>
        <w:jc w:val="both"/>
        <w:rPr>
          <w:rFonts w:ascii="Times New Roman" w:hAnsi="Times New Roman"/>
          <w:i/>
        </w:rPr>
      </w:pPr>
    </w:p>
    <w:p w:rsidR="003B3448" w:rsidRDefault="00D75FDE">
      <w:pPr>
        <w:spacing w:after="0" w:line="360" w:lineRule="auto"/>
        <w:ind w:firstLineChars="100" w:firstLine="220"/>
        <w:jc w:val="both"/>
        <w:rPr>
          <w:rFonts w:ascii="Times New Roman" w:hAnsi="Times New Roman"/>
        </w:rPr>
      </w:pPr>
      <w:r>
        <w:rPr>
          <w:rFonts w:ascii="Times New Roman" w:hAnsi="Times New Roman"/>
        </w:rPr>
        <w:t>8. A plaintiff who init</w:t>
      </w:r>
      <w:r>
        <w:rPr>
          <w:rFonts w:ascii="Times New Roman" w:hAnsi="Times New Roman"/>
        </w:rPr>
        <w:t xml:space="preserve">ially pleads the incorrect action may be allowed to amend his claim </w:t>
      </w:r>
      <w:r>
        <w:rPr>
          <w:rFonts w:ascii="Times New Roman" w:hAnsi="Times New Roman"/>
          <w:lang w:val="en-US"/>
        </w:rPr>
        <w:t>b</w:t>
      </w:r>
      <w:r>
        <w:rPr>
          <w:rFonts w:ascii="Times New Roman" w:hAnsi="Times New Roman"/>
        </w:rPr>
        <w:t xml:space="preserve">ut even if such a plaintiff did not amend his claim, the court can still award the action that he should have </w:t>
      </w:r>
      <w:r>
        <w:rPr>
          <w:rFonts w:ascii="Times New Roman" w:hAnsi="Times New Roman"/>
        </w:rPr>
        <w:lastRenderedPageBreak/>
        <w:t>relied on, as long as its requirements were fully canvassed in evidence and t</w:t>
      </w:r>
      <w:r>
        <w:rPr>
          <w:rFonts w:ascii="Times New Roman" w:hAnsi="Times New Roman"/>
        </w:rPr>
        <w:t>he defendant would not be prejudiced by reliance on the incorrect action in the pleadings.</w:t>
      </w:r>
    </w:p>
    <w:p w:rsidR="003B3448" w:rsidRDefault="003B3448">
      <w:pPr>
        <w:spacing w:after="0" w:line="360" w:lineRule="auto"/>
        <w:jc w:val="both"/>
        <w:rPr>
          <w:rFonts w:ascii="Times New Roman" w:hAnsi="Times New Roman"/>
          <w:i/>
        </w:rPr>
      </w:pPr>
    </w:p>
    <w:p w:rsidR="003B3448" w:rsidRDefault="00D75FDE">
      <w:pPr>
        <w:spacing w:after="0" w:line="360" w:lineRule="auto"/>
        <w:jc w:val="both"/>
        <w:rPr>
          <w:rFonts w:ascii="Times New Roman" w:hAnsi="Times New Roman"/>
        </w:rPr>
      </w:pPr>
      <w:r>
        <w:rPr>
          <w:rFonts w:ascii="Times New Roman" w:hAnsi="Times New Roman"/>
        </w:rPr>
        <w:t xml:space="preserve">Du Plessis, in </w:t>
      </w:r>
      <w:r>
        <w:rPr>
          <w:rFonts w:ascii="Times New Roman" w:hAnsi="Times New Roman"/>
          <w:i/>
        </w:rPr>
        <w:t>The South African Law of Unjustified Enrichment,</w:t>
      </w:r>
      <w:r>
        <w:rPr>
          <w:rFonts w:ascii="Times New Roman" w:hAnsi="Times New Roman"/>
        </w:rPr>
        <w:t xml:space="preserve"> Juta 2012.</w:t>
      </w:r>
    </w:p>
    <w:p w:rsidR="003B3448" w:rsidRDefault="00D75FDE">
      <w:pPr>
        <w:spacing w:after="0" w:line="360" w:lineRule="auto"/>
        <w:jc w:val="both"/>
        <w:rPr>
          <w:rFonts w:ascii="Times New Roman" w:hAnsi="Times New Roman"/>
        </w:rPr>
      </w:pPr>
      <w:r>
        <w:rPr>
          <w:rFonts w:ascii="Times New Roman" w:hAnsi="Times New Roman"/>
          <w:i/>
        </w:rPr>
        <w:t xml:space="preserve">Hughes </w:t>
      </w:r>
      <w:r>
        <w:rPr>
          <w:rFonts w:ascii="Times New Roman" w:hAnsi="Times New Roman"/>
          <w:iCs/>
        </w:rPr>
        <w:t>v</w:t>
      </w:r>
      <w:r>
        <w:rPr>
          <w:rFonts w:ascii="Times New Roman" w:hAnsi="Times New Roman"/>
          <w:i/>
        </w:rPr>
        <w:t xml:space="preserve"> Levy </w:t>
      </w:r>
      <w:r>
        <w:rPr>
          <w:rFonts w:ascii="Times New Roman" w:hAnsi="Times New Roman"/>
        </w:rPr>
        <w:t>1907 TS 276).</w:t>
      </w:r>
    </w:p>
    <w:p w:rsidR="003B3448" w:rsidRDefault="003B3448">
      <w:pPr>
        <w:spacing w:after="0" w:line="360" w:lineRule="auto"/>
        <w:jc w:val="both"/>
        <w:rPr>
          <w:rFonts w:ascii="Times New Roman" w:hAnsi="Times New Roman"/>
        </w:rPr>
      </w:pPr>
    </w:p>
    <w:p w:rsidR="003B3448" w:rsidRDefault="00D75FDE">
      <w:pPr>
        <w:spacing w:after="0" w:line="360" w:lineRule="auto"/>
        <w:jc w:val="both"/>
        <w:rPr>
          <w:rFonts w:ascii="Times New Roman" w:hAnsi="Times New Roman"/>
        </w:rPr>
      </w:pPr>
      <w:r>
        <w:rPr>
          <w:rFonts w:ascii="Times New Roman" w:hAnsi="Times New Roman"/>
        </w:rPr>
        <w:t>9. Even if unjust enrichment is not pleaded, the evidence le</w:t>
      </w:r>
      <w:r>
        <w:rPr>
          <w:rFonts w:ascii="Times New Roman" w:hAnsi="Times New Roman"/>
        </w:rPr>
        <w:t>d at the trial can cure such a failure. This approach accords with both judicial precedent and the academic works. Even where no amendments have been applied for, both trial and appellate courts have adjudicated on issues not raised in the pleadings but fu</w:t>
      </w:r>
      <w:r>
        <w:rPr>
          <w:rFonts w:ascii="Times New Roman" w:hAnsi="Times New Roman"/>
        </w:rPr>
        <w:t>lly canvassed at trial.</w:t>
      </w:r>
    </w:p>
    <w:p w:rsidR="003B3448" w:rsidRDefault="00D75FDE">
      <w:pPr>
        <w:spacing w:after="0" w:line="360" w:lineRule="auto"/>
        <w:jc w:val="both"/>
        <w:rPr>
          <w:rFonts w:ascii="Times New Roman" w:hAnsi="Times New Roman"/>
        </w:rPr>
      </w:pPr>
      <w:r>
        <w:rPr>
          <w:rFonts w:ascii="Times New Roman" w:hAnsi="Times New Roman"/>
          <w:i/>
        </w:rPr>
        <w:t xml:space="preserve">Joel Silonda (substituted by executor Vusumuzi Thomas Silonda </w:t>
      </w:r>
      <w:r>
        <w:rPr>
          <w:rFonts w:ascii="Times New Roman" w:hAnsi="Times New Roman"/>
          <w:iCs/>
        </w:rPr>
        <w:t>v</w:t>
      </w:r>
      <w:r>
        <w:rPr>
          <w:rFonts w:ascii="Times New Roman" w:hAnsi="Times New Roman"/>
          <w:i/>
        </w:rPr>
        <w:t xml:space="preserve"> Vusumuzi Nkomo </w:t>
      </w:r>
      <w:r>
        <w:rPr>
          <w:rFonts w:ascii="Times New Roman" w:hAnsi="Times New Roman"/>
        </w:rPr>
        <w:t>SC</w:t>
      </w:r>
    </w:p>
    <w:p w:rsidR="003B3448" w:rsidRDefault="00D75FDE">
      <w:pPr>
        <w:spacing w:after="0" w:line="360" w:lineRule="auto"/>
        <w:jc w:val="both"/>
        <w:rPr>
          <w:rFonts w:ascii="Times New Roman" w:hAnsi="Times New Roman"/>
        </w:rPr>
      </w:pPr>
      <w:r>
        <w:rPr>
          <w:rFonts w:ascii="Times New Roman" w:hAnsi="Times New Roman"/>
        </w:rPr>
        <w:t>6/22</w:t>
      </w:r>
    </w:p>
    <w:p w:rsidR="003B3448" w:rsidRDefault="00D75FDE">
      <w:pPr>
        <w:spacing w:after="0" w:line="360" w:lineRule="auto"/>
        <w:jc w:val="both"/>
        <w:rPr>
          <w:rFonts w:ascii="Times New Roman" w:hAnsi="Times New Roman"/>
        </w:rPr>
      </w:pPr>
      <w:r>
        <w:rPr>
          <w:rFonts w:ascii="Times New Roman" w:hAnsi="Times New Roman"/>
        </w:rPr>
        <w:t xml:space="preserve">Herbstein and Van Winsen’s </w:t>
      </w:r>
      <w:r>
        <w:rPr>
          <w:rFonts w:ascii="Times New Roman" w:hAnsi="Times New Roman"/>
          <w:i/>
        </w:rPr>
        <w:t>Civil Practice of the High Courts of South Africa, 5th</w:t>
      </w:r>
    </w:p>
    <w:p w:rsidR="003B3448" w:rsidRDefault="00D75FDE">
      <w:pPr>
        <w:spacing w:after="0" w:line="360" w:lineRule="auto"/>
        <w:jc w:val="both"/>
        <w:rPr>
          <w:rFonts w:ascii="Times New Roman" w:hAnsi="Times New Roman"/>
        </w:rPr>
      </w:pPr>
      <w:r>
        <w:rPr>
          <w:rFonts w:ascii="Times New Roman" w:hAnsi="Times New Roman"/>
          <w:i/>
        </w:rPr>
        <w:t>ed</w:t>
      </w:r>
      <w:r>
        <w:rPr>
          <w:rFonts w:ascii="Times New Roman" w:hAnsi="Times New Roman"/>
        </w:rPr>
        <w:t xml:space="preserve"> by Cilliers et al at p 575-6</w:t>
      </w:r>
    </w:p>
    <w:p w:rsidR="003B3448" w:rsidRDefault="003B3448">
      <w:pPr>
        <w:spacing w:after="0" w:line="240" w:lineRule="auto"/>
        <w:jc w:val="both"/>
        <w:rPr>
          <w:rFonts w:ascii="Times New Roman" w:hAnsi="Times New Roman"/>
        </w:rPr>
      </w:pPr>
    </w:p>
    <w:p w:rsidR="003B3448" w:rsidRDefault="00D75FDE">
      <w:pPr>
        <w:spacing w:line="360" w:lineRule="auto"/>
        <w:jc w:val="both"/>
        <w:rPr>
          <w:rFonts w:ascii="Times New Roman" w:hAnsi="Times New Roman"/>
          <w:b/>
        </w:rPr>
      </w:pPr>
      <w:r>
        <w:rPr>
          <w:rFonts w:ascii="Times New Roman" w:hAnsi="Times New Roman"/>
          <w:b/>
        </w:rPr>
        <w:t xml:space="preserve">APPLICATION OF THE LAW TO THE </w:t>
      </w:r>
      <w:r>
        <w:rPr>
          <w:rFonts w:ascii="Times New Roman" w:hAnsi="Times New Roman"/>
          <w:b/>
        </w:rPr>
        <w:t>FACTS</w:t>
      </w:r>
    </w:p>
    <w:p w:rsidR="003B3448" w:rsidRDefault="00D75FDE">
      <w:pPr>
        <w:tabs>
          <w:tab w:val="left" w:pos="3552"/>
        </w:tabs>
        <w:spacing w:after="0" w:line="360" w:lineRule="auto"/>
        <w:jc w:val="both"/>
        <w:rPr>
          <w:rFonts w:ascii="Times New Roman" w:hAnsi="Times New Roman"/>
          <w:b/>
        </w:rPr>
      </w:pPr>
      <w:r>
        <w:rPr>
          <w:rFonts w:ascii="Times New Roman" w:hAnsi="Times New Roman"/>
        </w:rPr>
        <w:t>10. An appeal must challenge the primary court's findings on legal grounds or allege a gross misdirection or irrationality in the court's factual determinations. The central issue in this appeal concerns whether the appellants were indebted to the Re</w:t>
      </w:r>
      <w:r>
        <w:rPr>
          <w:rFonts w:ascii="Times New Roman" w:hAnsi="Times New Roman"/>
        </w:rPr>
        <w:t xml:space="preserve">spondent in the Amount of US$19,500. </w:t>
      </w:r>
    </w:p>
    <w:p w:rsidR="003B3448" w:rsidRDefault="00D75FDE">
      <w:pPr>
        <w:tabs>
          <w:tab w:val="left" w:pos="3552"/>
        </w:tabs>
        <w:spacing w:after="0" w:line="360" w:lineRule="auto"/>
        <w:jc w:val="both"/>
        <w:rPr>
          <w:rFonts w:ascii="Times New Roman" w:hAnsi="Times New Roman"/>
        </w:rPr>
      </w:pPr>
      <w:r>
        <w:rPr>
          <w:rFonts w:ascii="Times New Roman" w:hAnsi="Times New Roman"/>
          <w:b/>
        </w:rPr>
        <w:t>Whether or not the principle of unjust enrichment applies in this matter.</w:t>
      </w:r>
    </w:p>
    <w:p w:rsidR="003B3448" w:rsidRDefault="00D75FDE">
      <w:pPr>
        <w:spacing w:after="0" w:line="360" w:lineRule="auto"/>
        <w:jc w:val="both"/>
        <w:rPr>
          <w:rFonts w:ascii="Times New Roman" w:hAnsi="Times New Roman"/>
        </w:rPr>
      </w:pPr>
      <w:r>
        <w:rPr>
          <w:rFonts w:ascii="Times New Roman" w:hAnsi="Times New Roman"/>
        </w:rPr>
        <w:t xml:space="preserve">11. The first ground of appeal asserts that the court </w:t>
      </w:r>
      <w:r>
        <w:rPr>
          <w:rFonts w:ascii="Times New Roman" w:hAnsi="Times New Roman"/>
          <w:i/>
        </w:rPr>
        <w:t>a quo</w:t>
      </w:r>
      <w:r>
        <w:rPr>
          <w:rFonts w:ascii="Times New Roman" w:hAnsi="Times New Roman"/>
        </w:rPr>
        <w:t xml:space="preserve"> erred in addressing the issue of unjust enrichment, which the parties did not raise.</w:t>
      </w:r>
      <w:r>
        <w:rPr>
          <w:rFonts w:ascii="Times New Roman" w:hAnsi="Times New Roman"/>
        </w:rPr>
        <w:t xml:space="preserve"> The fourth ground contends that the court </w:t>
      </w:r>
      <w:r>
        <w:rPr>
          <w:rFonts w:ascii="Times New Roman" w:hAnsi="Times New Roman"/>
          <w:i/>
        </w:rPr>
        <w:t>a quo</w:t>
      </w:r>
      <w:r>
        <w:rPr>
          <w:rFonts w:ascii="Times New Roman" w:hAnsi="Times New Roman"/>
        </w:rPr>
        <w:t xml:space="preserve"> erred in concluding that the Respondent was entitled to the US$19,500, given the Respondent's failure to establish a legal basis for such a claim. These two grounds can be analysed together, as they both pertain to the Respondent's entitlement to the disp</w:t>
      </w:r>
      <w:r>
        <w:rPr>
          <w:rFonts w:ascii="Times New Roman" w:hAnsi="Times New Roman"/>
        </w:rPr>
        <w:t>uted amount.</w:t>
      </w:r>
    </w:p>
    <w:p w:rsidR="003B3448" w:rsidRDefault="003B3448">
      <w:pPr>
        <w:spacing w:after="0" w:line="360" w:lineRule="auto"/>
        <w:jc w:val="both"/>
        <w:rPr>
          <w:rFonts w:ascii="Times New Roman" w:hAnsi="Times New Roman"/>
          <w:b/>
        </w:rPr>
      </w:pPr>
    </w:p>
    <w:p w:rsidR="003B3448" w:rsidRDefault="00D75FDE">
      <w:pPr>
        <w:pStyle w:val="ListParagraph"/>
        <w:spacing w:line="360" w:lineRule="auto"/>
        <w:ind w:left="0"/>
        <w:jc w:val="both"/>
        <w:rPr>
          <w:rFonts w:ascii="Times New Roman" w:hAnsi="Times New Roman"/>
        </w:rPr>
      </w:pPr>
      <w:r>
        <w:rPr>
          <w:rFonts w:ascii="Times New Roman" w:hAnsi="Times New Roman"/>
        </w:rPr>
        <w:t xml:space="preserve">12. Focus must be on the existence of unjustified enrichment, which arises when one party benefits at the expense of another without a valid legal basis. The Respondent suffered impoverishment, while the enrichment received by the appellants </w:t>
      </w:r>
      <w:r>
        <w:rPr>
          <w:rFonts w:ascii="Times New Roman" w:hAnsi="Times New Roman"/>
        </w:rPr>
        <w:t xml:space="preserve">was unjustified, as they had already been compensated through an order of this court. The appellants would benefit unjustly if they were allowed to keep the money. There is clear evidence of unjust enrichment amounting to US$19,500 in the direction of the </w:t>
      </w:r>
      <w:r>
        <w:rPr>
          <w:rFonts w:ascii="Times New Roman" w:hAnsi="Times New Roman"/>
        </w:rPr>
        <w:t>appellants. The law forbids that. The evidence from both parties supports this conclusion, even if the Respondent did not explicitly frame the issue on those terms in its pleadings.</w:t>
      </w:r>
    </w:p>
    <w:p w:rsidR="003B3448" w:rsidRDefault="003B3448">
      <w:pPr>
        <w:pStyle w:val="ListParagraph"/>
        <w:spacing w:line="360" w:lineRule="auto"/>
        <w:ind w:left="0"/>
        <w:jc w:val="both"/>
        <w:rPr>
          <w:rFonts w:ascii="Times New Roman" w:hAnsi="Times New Roman"/>
        </w:rPr>
      </w:pPr>
    </w:p>
    <w:p w:rsidR="003B3448" w:rsidRDefault="00D75FDE">
      <w:pPr>
        <w:pStyle w:val="ListParagraph"/>
        <w:spacing w:line="360" w:lineRule="auto"/>
        <w:ind w:left="0"/>
        <w:jc w:val="both"/>
        <w:rPr>
          <w:rFonts w:ascii="Times New Roman" w:hAnsi="Times New Roman"/>
        </w:rPr>
      </w:pPr>
      <w:r>
        <w:rPr>
          <w:rFonts w:ascii="Times New Roman" w:hAnsi="Times New Roman"/>
        </w:rPr>
        <w:t>13. The Respondent sought a remedy grounded in the principles of unjust e</w:t>
      </w:r>
      <w:r>
        <w:rPr>
          <w:rFonts w:ascii="Times New Roman" w:hAnsi="Times New Roman"/>
        </w:rPr>
        <w:t xml:space="preserve">nrichment. The court </w:t>
      </w:r>
      <w:r>
        <w:rPr>
          <w:rFonts w:ascii="Times New Roman" w:hAnsi="Times New Roman"/>
          <w:i/>
        </w:rPr>
        <w:t>a quo</w:t>
      </w:r>
      <w:r>
        <w:rPr>
          <w:rFonts w:ascii="Times New Roman" w:hAnsi="Times New Roman"/>
        </w:rPr>
        <w:t xml:space="preserve"> did not err in its exercise of discretion, nor did it misdirect itself, as the claim was firmly entrenched </w:t>
      </w:r>
      <w:r>
        <w:rPr>
          <w:rFonts w:ascii="Times New Roman" w:hAnsi="Times New Roman"/>
        </w:rPr>
        <w:lastRenderedPageBreak/>
        <w:t>in the legal principles governing unjust enrichment. Thus, the two grounds of appeal lack merit, and they are dismissed.</w:t>
      </w:r>
    </w:p>
    <w:p w:rsidR="003B3448" w:rsidRDefault="00D75FDE">
      <w:pPr>
        <w:spacing w:after="0" w:line="360" w:lineRule="auto"/>
        <w:jc w:val="both"/>
        <w:rPr>
          <w:rFonts w:ascii="Times New Roman" w:hAnsi="Times New Roman"/>
          <w:b/>
        </w:rPr>
      </w:pPr>
      <w:r>
        <w:rPr>
          <w:rFonts w:ascii="Times New Roman" w:hAnsi="Times New Roman"/>
          <w:b/>
        </w:rPr>
        <w:t>W</w:t>
      </w:r>
      <w:r>
        <w:rPr>
          <w:rFonts w:ascii="Times New Roman" w:hAnsi="Times New Roman"/>
          <w:b/>
        </w:rPr>
        <w:t>hether or not the appellants were indebted to the respondent of US$19,500?</w:t>
      </w:r>
    </w:p>
    <w:p w:rsidR="003B3448" w:rsidRDefault="00D75FDE">
      <w:pPr>
        <w:pStyle w:val="ListParagraph"/>
        <w:spacing w:line="360" w:lineRule="auto"/>
        <w:ind w:left="0"/>
        <w:jc w:val="both"/>
        <w:rPr>
          <w:rFonts w:ascii="Times New Roman" w:hAnsi="Times New Roman"/>
        </w:rPr>
      </w:pPr>
      <w:r>
        <w:rPr>
          <w:rFonts w:ascii="Times New Roman" w:hAnsi="Times New Roman"/>
        </w:rPr>
        <w:t xml:space="preserve">14. The second ground of appeal contends that the court </w:t>
      </w:r>
      <w:r>
        <w:rPr>
          <w:rFonts w:ascii="Times New Roman" w:hAnsi="Times New Roman"/>
          <w:i/>
        </w:rPr>
        <w:t>a quo</w:t>
      </w:r>
      <w:r>
        <w:rPr>
          <w:rFonts w:ascii="Times New Roman" w:hAnsi="Times New Roman"/>
        </w:rPr>
        <w:t xml:space="preserve"> erred in concluding that the funds deposited into the Respondent’s trust account by the second appellant remained the p</w:t>
      </w:r>
      <w:r>
        <w:rPr>
          <w:rFonts w:ascii="Times New Roman" w:hAnsi="Times New Roman"/>
        </w:rPr>
        <w:t xml:space="preserve">roperty of the second appellant until the fuel purchased was delivered. The third ground asserts that the court </w:t>
      </w:r>
      <w:r>
        <w:rPr>
          <w:rFonts w:ascii="Times New Roman" w:hAnsi="Times New Roman"/>
          <w:i/>
        </w:rPr>
        <w:t>a quo</w:t>
      </w:r>
      <w:r>
        <w:rPr>
          <w:rFonts w:ascii="Times New Roman" w:hAnsi="Times New Roman"/>
        </w:rPr>
        <w:t xml:space="preserve"> incorrectly held that the Respondent had no obligation to account for these funds, which the appellants argue still belonged to them. Thes</w:t>
      </w:r>
      <w:r>
        <w:rPr>
          <w:rFonts w:ascii="Times New Roman" w:hAnsi="Times New Roman"/>
        </w:rPr>
        <w:t>e two grounds of appeal are interconnected and warrant a joint analysis, as they raise similar legal issues regarding the nature and ownership of the funds in question.</w:t>
      </w:r>
    </w:p>
    <w:p w:rsidR="003B3448" w:rsidRDefault="003B3448">
      <w:pPr>
        <w:pStyle w:val="ListParagraph"/>
        <w:spacing w:line="360" w:lineRule="auto"/>
        <w:ind w:left="0"/>
        <w:jc w:val="both"/>
        <w:rPr>
          <w:rFonts w:ascii="Times New Roman" w:hAnsi="Times New Roman"/>
        </w:rPr>
      </w:pPr>
    </w:p>
    <w:p w:rsidR="003B3448" w:rsidRDefault="00D75FDE">
      <w:pPr>
        <w:pStyle w:val="ListParagraph"/>
        <w:spacing w:line="360" w:lineRule="auto"/>
        <w:ind w:left="0"/>
        <w:jc w:val="both"/>
        <w:rPr>
          <w:rFonts w:ascii="Times New Roman" w:hAnsi="Times New Roman"/>
        </w:rPr>
      </w:pPr>
      <w:r>
        <w:rPr>
          <w:rFonts w:ascii="Times New Roman" w:hAnsi="Times New Roman"/>
        </w:rPr>
        <w:t>15. It is undisputed that the funds deposited into the Respondent’s trust account were</w:t>
      </w:r>
      <w:r>
        <w:rPr>
          <w:rFonts w:ascii="Times New Roman" w:hAnsi="Times New Roman"/>
        </w:rPr>
        <w:t xml:space="preserve"> characterised as the appellants’ funds until the delivery of fuel. The Respondent, acting on behalf of its client, had a fiduciary responsibility to manage those funds appropriately. However, the critical issue is not the reason the amount claimed by the </w:t>
      </w:r>
      <w:r>
        <w:rPr>
          <w:rFonts w:ascii="Times New Roman" w:hAnsi="Times New Roman"/>
        </w:rPr>
        <w:t>Respondent was deposited into its trust account. Neither is it the accounting subheading it was supposed to appear under during the auditing of the respondents’ books of accounts.</w:t>
      </w:r>
    </w:p>
    <w:p w:rsidR="003B3448" w:rsidRDefault="003B3448">
      <w:pPr>
        <w:pStyle w:val="ListParagraph"/>
        <w:spacing w:line="360" w:lineRule="auto"/>
        <w:ind w:left="0"/>
        <w:jc w:val="both"/>
        <w:rPr>
          <w:rFonts w:ascii="Times New Roman" w:hAnsi="Times New Roman"/>
        </w:rPr>
      </w:pPr>
    </w:p>
    <w:p w:rsidR="003B3448" w:rsidRDefault="00D75FDE">
      <w:pPr>
        <w:pStyle w:val="ListParagraph"/>
        <w:spacing w:line="360" w:lineRule="auto"/>
        <w:ind w:left="0"/>
        <w:jc w:val="both"/>
        <w:rPr>
          <w:rFonts w:ascii="Times New Roman" w:hAnsi="Times New Roman"/>
        </w:rPr>
      </w:pPr>
      <w:r>
        <w:rPr>
          <w:rFonts w:ascii="Times New Roman" w:hAnsi="Times New Roman"/>
        </w:rPr>
        <w:t>16. What is critical in this matter is that the appellants gave the respond</w:t>
      </w:r>
      <w:r>
        <w:rPr>
          <w:rFonts w:ascii="Times New Roman" w:hAnsi="Times New Roman"/>
        </w:rPr>
        <w:t>ent US$400,000, intended for the purchase of fuel at US$1 per litre. They got US$360,000 plus 40000 litres of fuel [representing US$40000], PLUS US$19500 from the Respondent. It is not brainier that the US$19,500 was an overpayment, and the matter rests th</w:t>
      </w:r>
      <w:r>
        <w:rPr>
          <w:rFonts w:ascii="Times New Roman" w:hAnsi="Times New Roman"/>
        </w:rPr>
        <w:t>ere. Further discussion on this point is unnecessary and a waste of industry. What matters is whether they retained funds not due to them. The appellants' argument that the money belongs to the respondent’s client is stillborn. The appellants are not agent</w:t>
      </w:r>
      <w:r>
        <w:rPr>
          <w:rFonts w:ascii="Times New Roman" w:hAnsi="Times New Roman"/>
        </w:rPr>
        <w:t>s of the respondent’s client. Their argument lacks the merit necessary for this court to intervene in the lower court's findings. Grounds of appeal numbers two and three are dismissed.</w:t>
      </w:r>
    </w:p>
    <w:p w:rsidR="003B3448" w:rsidRDefault="00D75FDE">
      <w:pPr>
        <w:pStyle w:val="ListParagraph"/>
        <w:spacing w:line="360" w:lineRule="auto"/>
        <w:ind w:left="0"/>
        <w:jc w:val="both"/>
        <w:rPr>
          <w:rFonts w:ascii="Times New Roman" w:hAnsi="Times New Roman"/>
        </w:rPr>
      </w:pPr>
      <w:r>
        <w:rPr>
          <w:rFonts w:ascii="Times New Roman" w:hAnsi="Times New Roman"/>
          <w:b/>
        </w:rPr>
        <w:t>DISPOSITION</w:t>
      </w:r>
    </w:p>
    <w:p w:rsidR="003B3448" w:rsidRDefault="00D75FDE">
      <w:pPr>
        <w:pStyle w:val="ListParagraph"/>
        <w:spacing w:line="360" w:lineRule="auto"/>
        <w:ind w:left="0"/>
        <w:jc w:val="both"/>
        <w:rPr>
          <w:rFonts w:ascii="Times New Roman" w:hAnsi="Times New Roman"/>
        </w:rPr>
      </w:pPr>
      <w:r>
        <w:rPr>
          <w:rFonts w:ascii="Times New Roman" w:hAnsi="Times New Roman"/>
        </w:rPr>
        <w:t>17. The appellants admitted to receiving US$19,500 after al</w:t>
      </w:r>
      <w:r>
        <w:rPr>
          <w:rFonts w:ascii="Times New Roman" w:hAnsi="Times New Roman"/>
        </w:rPr>
        <w:t>ready obtaining the original value of their purchase. This acknowledgement indicates that the appellants unjustifiably benefited from the funds, as they were already compensated for their initial transaction. The evidence supports the Respondent's claim of</w:t>
      </w:r>
      <w:r>
        <w:rPr>
          <w:rFonts w:ascii="Times New Roman" w:hAnsi="Times New Roman"/>
        </w:rPr>
        <w:t xml:space="preserve"> unjust enrichment. The appeal lacks merit, and the lower court's verdict is upheld, and I accordingly order as follows;</w:t>
      </w:r>
    </w:p>
    <w:p w:rsidR="003B3448" w:rsidRDefault="003B3448">
      <w:pPr>
        <w:tabs>
          <w:tab w:val="left" w:pos="3528"/>
        </w:tabs>
        <w:spacing w:after="0" w:line="360" w:lineRule="auto"/>
        <w:jc w:val="both"/>
        <w:rPr>
          <w:rFonts w:ascii="Times New Roman" w:hAnsi="Times New Roman"/>
        </w:rPr>
      </w:pPr>
    </w:p>
    <w:p w:rsidR="003B3448" w:rsidRDefault="00D75FDE">
      <w:pPr>
        <w:tabs>
          <w:tab w:val="left" w:pos="3552"/>
        </w:tabs>
        <w:spacing w:after="0" w:line="360" w:lineRule="auto"/>
        <w:jc w:val="both"/>
        <w:rPr>
          <w:rFonts w:ascii="Times New Roman" w:hAnsi="Times New Roman"/>
          <w:b/>
        </w:rPr>
      </w:pPr>
      <w:r>
        <w:rPr>
          <w:rFonts w:ascii="Times New Roman" w:hAnsi="Times New Roman"/>
          <w:b/>
        </w:rPr>
        <w:t>ORDER</w:t>
      </w:r>
    </w:p>
    <w:p w:rsidR="003B3448" w:rsidRDefault="00D75FDE">
      <w:pPr>
        <w:tabs>
          <w:tab w:val="left" w:pos="3552"/>
        </w:tabs>
        <w:spacing w:after="0" w:line="360" w:lineRule="auto"/>
        <w:jc w:val="both"/>
        <w:rPr>
          <w:rFonts w:ascii="Times New Roman" w:hAnsi="Times New Roman"/>
        </w:rPr>
      </w:pPr>
      <w:r>
        <w:rPr>
          <w:rFonts w:ascii="Times New Roman" w:hAnsi="Times New Roman"/>
        </w:rPr>
        <w:t>The appeal is hereby dismissed with costs.</w:t>
      </w:r>
    </w:p>
    <w:p w:rsidR="003B3448" w:rsidRDefault="003B3448">
      <w:pPr>
        <w:tabs>
          <w:tab w:val="left" w:pos="3552"/>
        </w:tabs>
        <w:spacing w:after="0" w:line="360" w:lineRule="auto"/>
        <w:jc w:val="both"/>
        <w:rPr>
          <w:rFonts w:ascii="Times New Roman" w:hAnsi="Times New Roman"/>
        </w:rPr>
      </w:pPr>
    </w:p>
    <w:p w:rsidR="003B3448" w:rsidRDefault="003B3448">
      <w:pPr>
        <w:tabs>
          <w:tab w:val="left" w:pos="3552"/>
        </w:tabs>
        <w:spacing w:after="0" w:line="360" w:lineRule="auto"/>
        <w:jc w:val="both"/>
        <w:rPr>
          <w:rFonts w:ascii="Times New Roman" w:hAnsi="Times New Roman"/>
        </w:rPr>
      </w:pPr>
    </w:p>
    <w:p w:rsidR="003B3448" w:rsidRDefault="00D75FDE">
      <w:pPr>
        <w:tabs>
          <w:tab w:val="left" w:pos="3552"/>
        </w:tabs>
        <w:spacing w:after="0" w:line="360" w:lineRule="auto"/>
        <w:jc w:val="both"/>
        <w:rPr>
          <w:rFonts w:ascii="Times New Roman" w:hAnsi="Times New Roman"/>
          <w:b/>
          <w:lang w:val="en-US"/>
        </w:rPr>
      </w:pPr>
      <w:r>
        <w:rPr>
          <w:rFonts w:ascii="Times New Roman" w:hAnsi="Times New Roman"/>
          <w:b/>
        </w:rPr>
        <w:t>NDLOVU J</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p>
    <w:p w:rsidR="003B3448" w:rsidRDefault="003B3448">
      <w:pPr>
        <w:tabs>
          <w:tab w:val="left" w:pos="3552"/>
        </w:tabs>
        <w:spacing w:after="0" w:line="360" w:lineRule="auto"/>
        <w:jc w:val="both"/>
        <w:rPr>
          <w:rFonts w:ascii="Times New Roman" w:hAnsi="Times New Roman"/>
          <w:b/>
        </w:rPr>
      </w:pPr>
    </w:p>
    <w:p w:rsidR="003B3448" w:rsidRDefault="00D75FDE">
      <w:pPr>
        <w:tabs>
          <w:tab w:val="left" w:pos="3552"/>
        </w:tabs>
        <w:spacing w:after="0" w:line="360" w:lineRule="auto"/>
        <w:jc w:val="both"/>
        <w:rPr>
          <w:rFonts w:ascii="Times New Roman" w:hAnsi="Times New Roman"/>
          <w:b/>
          <w:i/>
          <w:lang w:val="en-US"/>
        </w:rPr>
      </w:pPr>
      <w:r>
        <w:rPr>
          <w:rFonts w:ascii="Times New Roman" w:hAnsi="Times New Roman"/>
          <w:b/>
        </w:rPr>
        <w:t>CHILIMBE J</w:t>
      </w:r>
      <w:r>
        <w:rPr>
          <w:rFonts w:ascii="Times New Roman" w:hAnsi="Times New Roman"/>
        </w:rPr>
        <w:t xml:space="preserve">                                          </w:t>
      </w:r>
      <w:r>
        <w:rPr>
          <w:rFonts w:ascii="Times New Roman" w:hAnsi="Times New Roman"/>
          <w:b/>
          <w:i/>
        </w:rPr>
        <w:t>Agrees</w:t>
      </w:r>
      <w:r>
        <w:rPr>
          <w:rFonts w:ascii="Times New Roman" w:hAnsi="Times New Roman"/>
          <w:b/>
          <w:i/>
          <w:lang w:val="en-US"/>
        </w:rPr>
        <w:t xml:space="preserve"> ……………</w:t>
      </w:r>
    </w:p>
    <w:p w:rsidR="003B3448" w:rsidRDefault="003B3448">
      <w:pPr>
        <w:tabs>
          <w:tab w:val="left" w:pos="3552"/>
        </w:tabs>
        <w:spacing w:after="0" w:line="360" w:lineRule="auto"/>
        <w:jc w:val="both"/>
        <w:rPr>
          <w:rFonts w:ascii="Times New Roman" w:hAnsi="Times New Roman"/>
          <w:b/>
          <w:i/>
        </w:rPr>
      </w:pPr>
    </w:p>
    <w:p w:rsidR="003B3448" w:rsidRDefault="003B3448">
      <w:pPr>
        <w:tabs>
          <w:tab w:val="left" w:pos="3552"/>
        </w:tabs>
        <w:spacing w:after="0" w:line="360" w:lineRule="auto"/>
        <w:jc w:val="both"/>
        <w:rPr>
          <w:rFonts w:ascii="Times New Roman" w:hAnsi="Times New Roman"/>
          <w:b/>
          <w:i/>
          <w:sz w:val="26"/>
          <w:szCs w:val="26"/>
        </w:rPr>
      </w:pPr>
    </w:p>
    <w:p w:rsidR="003B3448" w:rsidRDefault="003B3448">
      <w:pPr>
        <w:tabs>
          <w:tab w:val="left" w:pos="3552"/>
        </w:tabs>
        <w:spacing w:after="0" w:line="360" w:lineRule="auto"/>
        <w:jc w:val="both"/>
        <w:rPr>
          <w:rFonts w:ascii="Times New Roman" w:hAnsi="Times New Roman"/>
          <w:b/>
          <w:i/>
          <w:sz w:val="26"/>
          <w:szCs w:val="26"/>
        </w:rPr>
      </w:pPr>
    </w:p>
    <w:p w:rsidR="003B3448" w:rsidRDefault="00D75FDE">
      <w:pPr>
        <w:tabs>
          <w:tab w:val="left" w:pos="3552"/>
        </w:tabs>
        <w:spacing w:after="0" w:line="360" w:lineRule="auto"/>
        <w:jc w:val="both"/>
        <w:rPr>
          <w:rFonts w:ascii="Times New Roman" w:hAnsi="Times New Roman"/>
        </w:rPr>
      </w:pPr>
      <w:r>
        <w:rPr>
          <w:rFonts w:ascii="Times New Roman" w:hAnsi="Times New Roman"/>
          <w:i/>
        </w:rPr>
        <w:t xml:space="preserve">Atherstone &amp; Cook Legal Practitioners, </w:t>
      </w:r>
      <w:r>
        <w:rPr>
          <w:rFonts w:ascii="Times New Roman" w:hAnsi="Times New Roman"/>
        </w:rPr>
        <w:t>Legal practitioners for the three appellants.</w:t>
      </w:r>
    </w:p>
    <w:p w:rsidR="003B3448" w:rsidRDefault="00D75FDE">
      <w:pPr>
        <w:tabs>
          <w:tab w:val="left" w:pos="3552"/>
        </w:tabs>
        <w:spacing w:after="0" w:line="360" w:lineRule="auto"/>
        <w:jc w:val="both"/>
        <w:rPr>
          <w:rFonts w:ascii="Times New Roman" w:hAnsi="Times New Roman"/>
        </w:rPr>
      </w:pPr>
      <w:r>
        <w:rPr>
          <w:rFonts w:ascii="Times New Roman" w:hAnsi="Times New Roman"/>
          <w:i/>
        </w:rPr>
        <w:t xml:space="preserve">Mahuni Gidiri Law Chambers, </w:t>
      </w:r>
      <w:r>
        <w:rPr>
          <w:rFonts w:ascii="Times New Roman" w:hAnsi="Times New Roman"/>
        </w:rPr>
        <w:t>Legal practitioners for the respondent.</w:t>
      </w:r>
    </w:p>
    <w:p w:rsidR="003B3448" w:rsidRDefault="003B3448">
      <w:pPr>
        <w:tabs>
          <w:tab w:val="left" w:pos="3552"/>
        </w:tabs>
        <w:spacing w:after="0" w:line="360" w:lineRule="auto"/>
        <w:jc w:val="both"/>
        <w:rPr>
          <w:rFonts w:ascii="Times New Roman" w:hAnsi="Times New Roman"/>
        </w:rPr>
      </w:pPr>
    </w:p>
    <w:p w:rsidR="003B3448" w:rsidRDefault="003B3448">
      <w:pPr>
        <w:spacing w:after="0" w:line="240" w:lineRule="auto"/>
        <w:ind w:left="284"/>
        <w:jc w:val="both"/>
        <w:rPr>
          <w:rFonts w:ascii="Times New Roman" w:hAnsi="Times New Roman" w:cs="Times New Roman"/>
          <w:sz w:val="24"/>
          <w:szCs w:val="24"/>
          <w:lang w:val="en-US"/>
        </w:rPr>
      </w:pPr>
    </w:p>
    <w:p w:rsidR="003B3448" w:rsidRDefault="003B3448">
      <w:pPr>
        <w:pStyle w:val="ListParagraph"/>
        <w:spacing w:after="0" w:line="240" w:lineRule="auto"/>
        <w:ind w:left="284"/>
        <w:jc w:val="both"/>
        <w:rPr>
          <w:rFonts w:ascii="Times New Roman" w:hAnsi="Times New Roman" w:cs="Times New Roman"/>
          <w:sz w:val="24"/>
          <w:szCs w:val="24"/>
          <w:lang w:val="en-GB"/>
        </w:rPr>
      </w:pPr>
    </w:p>
    <w:p w:rsidR="003B3448" w:rsidRDefault="003B3448">
      <w:pPr>
        <w:pStyle w:val="ListParagraph"/>
        <w:spacing w:after="0" w:line="360" w:lineRule="auto"/>
        <w:ind w:left="284"/>
        <w:jc w:val="both"/>
        <w:rPr>
          <w:rFonts w:ascii="Times New Roman" w:hAnsi="Times New Roman" w:cs="Times New Roman"/>
          <w:sz w:val="24"/>
          <w:szCs w:val="24"/>
          <w:lang w:val="en-GB"/>
        </w:rPr>
      </w:pPr>
    </w:p>
    <w:p w:rsidR="003B3448" w:rsidRDefault="003B3448"/>
    <w:sectPr w:rsidR="003B344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DE" w:rsidRDefault="00D75FDE">
      <w:pPr>
        <w:spacing w:line="240" w:lineRule="auto"/>
      </w:pPr>
      <w:r>
        <w:separator/>
      </w:r>
    </w:p>
  </w:endnote>
  <w:endnote w:type="continuationSeparator" w:id="0">
    <w:p w:rsidR="00D75FDE" w:rsidRDefault="00D75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DE" w:rsidRDefault="00D75FDE">
      <w:pPr>
        <w:spacing w:after="0"/>
      </w:pPr>
      <w:r>
        <w:separator/>
      </w:r>
    </w:p>
  </w:footnote>
  <w:footnote w:type="continuationSeparator" w:id="0">
    <w:p w:rsidR="00D75FDE" w:rsidRDefault="00D75F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432582"/>
    </w:sdtPr>
    <w:sdtEndPr>
      <w:rPr>
        <w:rFonts w:ascii="Calibri" w:hAnsi="Calibri" w:cs="Calibri"/>
      </w:rPr>
    </w:sdtEndPr>
    <w:sdtContent>
      <w:p w:rsidR="003B3448" w:rsidRDefault="00D75FDE">
        <w:pPr>
          <w:pStyle w:val="Header"/>
          <w:jc w:val="right"/>
        </w:pPr>
        <w:r>
          <w:fldChar w:fldCharType="begin"/>
        </w:r>
        <w:r>
          <w:instrText xml:space="preserve"> PAGE   \* MERGEFORMAT </w:instrText>
        </w:r>
        <w:r>
          <w:fldChar w:fldCharType="separate"/>
        </w:r>
        <w:r w:rsidR="0066537C">
          <w:rPr>
            <w:noProof/>
          </w:rPr>
          <w:t>1</w:t>
        </w:r>
        <w:r>
          <w:fldChar w:fldCharType="end"/>
        </w:r>
      </w:p>
      <w:p w:rsidR="003B3448" w:rsidRDefault="00D75FDE">
        <w:pPr>
          <w:pStyle w:val="Header"/>
          <w:wordWrap w:val="0"/>
          <w:jc w:val="right"/>
        </w:pPr>
        <w:r>
          <w:rPr>
            <w:lang w:val="en-US"/>
          </w:rPr>
          <w:t>HH 493/25</w:t>
        </w:r>
      </w:p>
      <w:p w:rsidR="003B3448" w:rsidRDefault="00D75FDE">
        <w:pPr>
          <w:pStyle w:val="Header"/>
          <w:jc w:val="right"/>
          <w:rPr>
            <w:rFonts w:ascii="Calibri" w:hAnsi="Calibri" w:cs="Calibri"/>
          </w:rPr>
        </w:pPr>
        <w:r>
          <w:rPr>
            <w:rFonts w:ascii="Calibri" w:hAnsi="Calibri" w:cs="Calibri"/>
            <w:bCs/>
          </w:rPr>
          <w:t>HCHC38/25</w:t>
        </w:r>
      </w:p>
    </w:sdtContent>
  </w:sdt>
  <w:p w:rsidR="003B3448" w:rsidRDefault="003B3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E70B1"/>
    <w:multiLevelType w:val="multilevel"/>
    <w:tmpl w:val="186E70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B87644"/>
    <w:multiLevelType w:val="multilevel"/>
    <w:tmpl w:val="2BB876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387590"/>
    <w:multiLevelType w:val="multilevel"/>
    <w:tmpl w:val="433875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AE2BC5"/>
    <w:multiLevelType w:val="multilevel"/>
    <w:tmpl w:val="60AE2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A"/>
    <w:rsid w:val="000030A3"/>
    <w:rsid w:val="000052CC"/>
    <w:rsid w:val="0001334C"/>
    <w:rsid w:val="00017646"/>
    <w:rsid w:val="0002640B"/>
    <w:rsid w:val="000273B5"/>
    <w:rsid w:val="000351E4"/>
    <w:rsid w:val="00047DA4"/>
    <w:rsid w:val="0005338F"/>
    <w:rsid w:val="00056402"/>
    <w:rsid w:val="00065F40"/>
    <w:rsid w:val="00067E27"/>
    <w:rsid w:val="00080AC2"/>
    <w:rsid w:val="000A23CD"/>
    <w:rsid w:val="000A75BB"/>
    <w:rsid w:val="000C1593"/>
    <w:rsid w:val="000C1A39"/>
    <w:rsid w:val="000C2B0C"/>
    <w:rsid w:val="000C377A"/>
    <w:rsid w:val="000D0480"/>
    <w:rsid w:val="000D30F1"/>
    <w:rsid w:val="000D34B5"/>
    <w:rsid w:val="000D64BD"/>
    <w:rsid w:val="000D75F2"/>
    <w:rsid w:val="000E7C6D"/>
    <w:rsid w:val="000F0A22"/>
    <w:rsid w:val="000F1F38"/>
    <w:rsid w:val="001003F9"/>
    <w:rsid w:val="001123B9"/>
    <w:rsid w:val="0011391F"/>
    <w:rsid w:val="00132EFE"/>
    <w:rsid w:val="00145162"/>
    <w:rsid w:val="00146446"/>
    <w:rsid w:val="00152CD7"/>
    <w:rsid w:val="001574A3"/>
    <w:rsid w:val="00161CA6"/>
    <w:rsid w:val="00162000"/>
    <w:rsid w:val="00162AF2"/>
    <w:rsid w:val="00166371"/>
    <w:rsid w:val="00175C77"/>
    <w:rsid w:val="00184A7D"/>
    <w:rsid w:val="001A07D0"/>
    <w:rsid w:val="001B451A"/>
    <w:rsid w:val="001B5AE4"/>
    <w:rsid w:val="001C4161"/>
    <w:rsid w:val="001C4BF3"/>
    <w:rsid w:val="001C5AAF"/>
    <w:rsid w:val="001D2132"/>
    <w:rsid w:val="001D4195"/>
    <w:rsid w:val="001E0BD2"/>
    <w:rsid w:val="001E0DC4"/>
    <w:rsid w:val="001E5A25"/>
    <w:rsid w:val="00200CA7"/>
    <w:rsid w:val="00210263"/>
    <w:rsid w:val="00213F9D"/>
    <w:rsid w:val="00213FED"/>
    <w:rsid w:val="00214099"/>
    <w:rsid w:val="002141EE"/>
    <w:rsid w:val="0021523A"/>
    <w:rsid w:val="0024583B"/>
    <w:rsid w:val="00246765"/>
    <w:rsid w:val="00254A1B"/>
    <w:rsid w:val="0026251D"/>
    <w:rsid w:val="002738F5"/>
    <w:rsid w:val="002755C5"/>
    <w:rsid w:val="0029306D"/>
    <w:rsid w:val="002A3EE4"/>
    <w:rsid w:val="002A6FB5"/>
    <w:rsid w:val="002B2E16"/>
    <w:rsid w:val="002B2FBF"/>
    <w:rsid w:val="002C1473"/>
    <w:rsid w:val="002C199B"/>
    <w:rsid w:val="002D384A"/>
    <w:rsid w:val="002E57E9"/>
    <w:rsid w:val="002E7175"/>
    <w:rsid w:val="002F2FE8"/>
    <w:rsid w:val="00300D38"/>
    <w:rsid w:val="00304C32"/>
    <w:rsid w:val="00305074"/>
    <w:rsid w:val="00305F02"/>
    <w:rsid w:val="003135DC"/>
    <w:rsid w:val="00315040"/>
    <w:rsid w:val="0031672B"/>
    <w:rsid w:val="00316DDD"/>
    <w:rsid w:val="0032534A"/>
    <w:rsid w:val="0032741D"/>
    <w:rsid w:val="00335284"/>
    <w:rsid w:val="003363C1"/>
    <w:rsid w:val="003578E1"/>
    <w:rsid w:val="00360CC3"/>
    <w:rsid w:val="00364CE8"/>
    <w:rsid w:val="00381598"/>
    <w:rsid w:val="0039055A"/>
    <w:rsid w:val="00394407"/>
    <w:rsid w:val="0039680C"/>
    <w:rsid w:val="003A5C2C"/>
    <w:rsid w:val="003A6E4B"/>
    <w:rsid w:val="003B3448"/>
    <w:rsid w:val="003B37D8"/>
    <w:rsid w:val="003C4487"/>
    <w:rsid w:val="003C557C"/>
    <w:rsid w:val="003C5E17"/>
    <w:rsid w:val="003D2895"/>
    <w:rsid w:val="003D3B11"/>
    <w:rsid w:val="003D4891"/>
    <w:rsid w:val="003E348D"/>
    <w:rsid w:val="003F6397"/>
    <w:rsid w:val="003F746D"/>
    <w:rsid w:val="00400B1A"/>
    <w:rsid w:val="004027CD"/>
    <w:rsid w:val="00406A45"/>
    <w:rsid w:val="00406E72"/>
    <w:rsid w:val="00416AE9"/>
    <w:rsid w:val="00420285"/>
    <w:rsid w:val="00424632"/>
    <w:rsid w:val="004253C0"/>
    <w:rsid w:val="00430532"/>
    <w:rsid w:val="00430B90"/>
    <w:rsid w:val="00432EC5"/>
    <w:rsid w:val="00435C3F"/>
    <w:rsid w:val="0044022F"/>
    <w:rsid w:val="00443C58"/>
    <w:rsid w:val="004445B8"/>
    <w:rsid w:val="0045034C"/>
    <w:rsid w:val="0045184F"/>
    <w:rsid w:val="004549B1"/>
    <w:rsid w:val="00461862"/>
    <w:rsid w:val="004625BA"/>
    <w:rsid w:val="0048121D"/>
    <w:rsid w:val="00481ADA"/>
    <w:rsid w:val="00487280"/>
    <w:rsid w:val="00490B2B"/>
    <w:rsid w:val="00490CF4"/>
    <w:rsid w:val="00492259"/>
    <w:rsid w:val="004A5C6E"/>
    <w:rsid w:val="004C48EE"/>
    <w:rsid w:val="004C5761"/>
    <w:rsid w:val="004C733C"/>
    <w:rsid w:val="004D1C4F"/>
    <w:rsid w:val="004E0112"/>
    <w:rsid w:val="004E2428"/>
    <w:rsid w:val="004E4C8E"/>
    <w:rsid w:val="004F5763"/>
    <w:rsid w:val="00502901"/>
    <w:rsid w:val="00512083"/>
    <w:rsid w:val="005140D5"/>
    <w:rsid w:val="00515D5B"/>
    <w:rsid w:val="00521773"/>
    <w:rsid w:val="00523AFC"/>
    <w:rsid w:val="00525212"/>
    <w:rsid w:val="0053480F"/>
    <w:rsid w:val="00535603"/>
    <w:rsid w:val="00540F12"/>
    <w:rsid w:val="00550363"/>
    <w:rsid w:val="00563D2E"/>
    <w:rsid w:val="005722DC"/>
    <w:rsid w:val="00574325"/>
    <w:rsid w:val="00587E08"/>
    <w:rsid w:val="00595618"/>
    <w:rsid w:val="005B4E89"/>
    <w:rsid w:val="005B74EE"/>
    <w:rsid w:val="005E3BF4"/>
    <w:rsid w:val="005F047B"/>
    <w:rsid w:val="006101FD"/>
    <w:rsid w:val="00614003"/>
    <w:rsid w:val="006328BB"/>
    <w:rsid w:val="0063781C"/>
    <w:rsid w:val="00650866"/>
    <w:rsid w:val="00653D9C"/>
    <w:rsid w:val="00660FA4"/>
    <w:rsid w:val="00661C93"/>
    <w:rsid w:val="00663403"/>
    <w:rsid w:val="0066537C"/>
    <w:rsid w:val="00666BD2"/>
    <w:rsid w:val="00667CCE"/>
    <w:rsid w:val="006732E8"/>
    <w:rsid w:val="0067584C"/>
    <w:rsid w:val="00676C29"/>
    <w:rsid w:val="006849EF"/>
    <w:rsid w:val="006902E1"/>
    <w:rsid w:val="00691A3F"/>
    <w:rsid w:val="00694B5A"/>
    <w:rsid w:val="006A0EB9"/>
    <w:rsid w:val="006A6315"/>
    <w:rsid w:val="006B051D"/>
    <w:rsid w:val="006B110B"/>
    <w:rsid w:val="006B4F0B"/>
    <w:rsid w:val="006C2B98"/>
    <w:rsid w:val="006C7013"/>
    <w:rsid w:val="006D0ADC"/>
    <w:rsid w:val="006D71DB"/>
    <w:rsid w:val="006E2C39"/>
    <w:rsid w:val="006F1789"/>
    <w:rsid w:val="006F490C"/>
    <w:rsid w:val="006F7773"/>
    <w:rsid w:val="00700DB5"/>
    <w:rsid w:val="00705945"/>
    <w:rsid w:val="00706958"/>
    <w:rsid w:val="007125F1"/>
    <w:rsid w:val="00722B1B"/>
    <w:rsid w:val="007271A5"/>
    <w:rsid w:val="007337EB"/>
    <w:rsid w:val="007437BB"/>
    <w:rsid w:val="00745136"/>
    <w:rsid w:val="007537AB"/>
    <w:rsid w:val="00754011"/>
    <w:rsid w:val="00766410"/>
    <w:rsid w:val="0076647F"/>
    <w:rsid w:val="00772BC5"/>
    <w:rsid w:val="007861EF"/>
    <w:rsid w:val="007901E8"/>
    <w:rsid w:val="00790429"/>
    <w:rsid w:val="00790C24"/>
    <w:rsid w:val="007A35FC"/>
    <w:rsid w:val="007A6D52"/>
    <w:rsid w:val="007A75CC"/>
    <w:rsid w:val="007B7E0C"/>
    <w:rsid w:val="007C1FF9"/>
    <w:rsid w:val="007C385C"/>
    <w:rsid w:val="007D75B8"/>
    <w:rsid w:val="007F2E96"/>
    <w:rsid w:val="008001B8"/>
    <w:rsid w:val="00805BBD"/>
    <w:rsid w:val="00807525"/>
    <w:rsid w:val="0081453E"/>
    <w:rsid w:val="00815A2B"/>
    <w:rsid w:val="00817AF1"/>
    <w:rsid w:val="00820327"/>
    <w:rsid w:val="008328BE"/>
    <w:rsid w:val="00844C60"/>
    <w:rsid w:val="008522BC"/>
    <w:rsid w:val="00853EC2"/>
    <w:rsid w:val="008614C4"/>
    <w:rsid w:val="00863C8A"/>
    <w:rsid w:val="00865430"/>
    <w:rsid w:val="00865A6A"/>
    <w:rsid w:val="008715A2"/>
    <w:rsid w:val="00876B5F"/>
    <w:rsid w:val="00880209"/>
    <w:rsid w:val="00880536"/>
    <w:rsid w:val="00881E8C"/>
    <w:rsid w:val="008829F3"/>
    <w:rsid w:val="0088360C"/>
    <w:rsid w:val="008A03AA"/>
    <w:rsid w:val="008A3AFF"/>
    <w:rsid w:val="008A4F1B"/>
    <w:rsid w:val="008A73AD"/>
    <w:rsid w:val="008B0205"/>
    <w:rsid w:val="008B305E"/>
    <w:rsid w:val="008B7476"/>
    <w:rsid w:val="008D5449"/>
    <w:rsid w:val="008E6868"/>
    <w:rsid w:val="008F059C"/>
    <w:rsid w:val="008F4395"/>
    <w:rsid w:val="008F4D3F"/>
    <w:rsid w:val="009005DF"/>
    <w:rsid w:val="00903CBA"/>
    <w:rsid w:val="00916097"/>
    <w:rsid w:val="00917A8F"/>
    <w:rsid w:val="009219E7"/>
    <w:rsid w:val="00924A78"/>
    <w:rsid w:val="00925954"/>
    <w:rsid w:val="00926A3C"/>
    <w:rsid w:val="0092785B"/>
    <w:rsid w:val="00930022"/>
    <w:rsid w:val="00936215"/>
    <w:rsid w:val="009373CF"/>
    <w:rsid w:val="009413AB"/>
    <w:rsid w:val="00942674"/>
    <w:rsid w:val="0094744E"/>
    <w:rsid w:val="00966B9D"/>
    <w:rsid w:val="009707D0"/>
    <w:rsid w:val="00970D19"/>
    <w:rsid w:val="00970F53"/>
    <w:rsid w:val="0097731F"/>
    <w:rsid w:val="00982C08"/>
    <w:rsid w:val="00985EC1"/>
    <w:rsid w:val="00992812"/>
    <w:rsid w:val="009C7E66"/>
    <w:rsid w:val="009E011C"/>
    <w:rsid w:val="009F4EC7"/>
    <w:rsid w:val="009F5F07"/>
    <w:rsid w:val="00A11BB8"/>
    <w:rsid w:val="00A27180"/>
    <w:rsid w:val="00A51653"/>
    <w:rsid w:val="00A621C4"/>
    <w:rsid w:val="00A66786"/>
    <w:rsid w:val="00A67CAC"/>
    <w:rsid w:val="00A714C9"/>
    <w:rsid w:val="00A75F5E"/>
    <w:rsid w:val="00A8470A"/>
    <w:rsid w:val="00A92447"/>
    <w:rsid w:val="00A960ED"/>
    <w:rsid w:val="00AA0368"/>
    <w:rsid w:val="00AA7241"/>
    <w:rsid w:val="00AB2C0F"/>
    <w:rsid w:val="00AB3AED"/>
    <w:rsid w:val="00AB4E48"/>
    <w:rsid w:val="00AC154C"/>
    <w:rsid w:val="00AC2131"/>
    <w:rsid w:val="00AC7DB6"/>
    <w:rsid w:val="00AD0C85"/>
    <w:rsid w:val="00AD60EA"/>
    <w:rsid w:val="00AE06C3"/>
    <w:rsid w:val="00AE5468"/>
    <w:rsid w:val="00AE7D10"/>
    <w:rsid w:val="00AF1A42"/>
    <w:rsid w:val="00AF24F7"/>
    <w:rsid w:val="00B00634"/>
    <w:rsid w:val="00B03009"/>
    <w:rsid w:val="00B033B4"/>
    <w:rsid w:val="00B035E7"/>
    <w:rsid w:val="00B20DEC"/>
    <w:rsid w:val="00B276A7"/>
    <w:rsid w:val="00B30715"/>
    <w:rsid w:val="00B42242"/>
    <w:rsid w:val="00B51F03"/>
    <w:rsid w:val="00B63E5B"/>
    <w:rsid w:val="00B64438"/>
    <w:rsid w:val="00B71536"/>
    <w:rsid w:val="00B7686B"/>
    <w:rsid w:val="00B94733"/>
    <w:rsid w:val="00B95A27"/>
    <w:rsid w:val="00B9722B"/>
    <w:rsid w:val="00BA257D"/>
    <w:rsid w:val="00BB2B5A"/>
    <w:rsid w:val="00BC18D2"/>
    <w:rsid w:val="00BC76BF"/>
    <w:rsid w:val="00BD5090"/>
    <w:rsid w:val="00BD78B7"/>
    <w:rsid w:val="00BE09B9"/>
    <w:rsid w:val="00BE482E"/>
    <w:rsid w:val="00BF0001"/>
    <w:rsid w:val="00C04BA8"/>
    <w:rsid w:val="00C05831"/>
    <w:rsid w:val="00C06E72"/>
    <w:rsid w:val="00C07CFE"/>
    <w:rsid w:val="00C10E08"/>
    <w:rsid w:val="00C11DE7"/>
    <w:rsid w:val="00C15A78"/>
    <w:rsid w:val="00C172E3"/>
    <w:rsid w:val="00C267EF"/>
    <w:rsid w:val="00C33BC6"/>
    <w:rsid w:val="00C400B6"/>
    <w:rsid w:val="00C4254C"/>
    <w:rsid w:val="00C43B2C"/>
    <w:rsid w:val="00C51E26"/>
    <w:rsid w:val="00C5448C"/>
    <w:rsid w:val="00C60A9E"/>
    <w:rsid w:val="00C62266"/>
    <w:rsid w:val="00C64C1E"/>
    <w:rsid w:val="00C82D94"/>
    <w:rsid w:val="00C9051F"/>
    <w:rsid w:val="00C93C4D"/>
    <w:rsid w:val="00C94427"/>
    <w:rsid w:val="00C94DBE"/>
    <w:rsid w:val="00C95546"/>
    <w:rsid w:val="00C95EFF"/>
    <w:rsid w:val="00CA09EF"/>
    <w:rsid w:val="00CA22D1"/>
    <w:rsid w:val="00CB4431"/>
    <w:rsid w:val="00CB7C6A"/>
    <w:rsid w:val="00CD76A8"/>
    <w:rsid w:val="00CE13DB"/>
    <w:rsid w:val="00CE74BD"/>
    <w:rsid w:val="00D01EC7"/>
    <w:rsid w:val="00D07769"/>
    <w:rsid w:val="00D20B4C"/>
    <w:rsid w:val="00D22D6C"/>
    <w:rsid w:val="00D250E7"/>
    <w:rsid w:val="00D259B3"/>
    <w:rsid w:val="00D4682E"/>
    <w:rsid w:val="00D53BFE"/>
    <w:rsid w:val="00D54B00"/>
    <w:rsid w:val="00D72091"/>
    <w:rsid w:val="00D75FDE"/>
    <w:rsid w:val="00D77BD3"/>
    <w:rsid w:val="00D80386"/>
    <w:rsid w:val="00D80AF2"/>
    <w:rsid w:val="00D84959"/>
    <w:rsid w:val="00D86EFE"/>
    <w:rsid w:val="00D86F7D"/>
    <w:rsid w:val="00D87C27"/>
    <w:rsid w:val="00D96944"/>
    <w:rsid w:val="00DA02B0"/>
    <w:rsid w:val="00DB343E"/>
    <w:rsid w:val="00DC710A"/>
    <w:rsid w:val="00DC71D2"/>
    <w:rsid w:val="00DD07D0"/>
    <w:rsid w:val="00DE4105"/>
    <w:rsid w:val="00DE50EC"/>
    <w:rsid w:val="00DE73CF"/>
    <w:rsid w:val="00E0203F"/>
    <w:rsid w:val="00E02304"/>
    <w:rsid w:val="00E04B16"/>
    <w:rsid w:val="00E0722C"/>
    <w:rsid w:val="00E1727D"/>
    <w:rsid w:val="00E245C4"/>
    <w:rsid w:val="00E2594A"/>
    <w:rsid w:val="00E333F2"/>
    <w:rsid w:val="00E3469C"/>
    <w:rsid w:val="00E4211E"/>
    <w:rsid w:val="00E42F3C"/>
    <w:rsid w:val="00E43452"/>
    <w:rsid w:val="00E47BBB"/>
    <w:rsid w:val="00E5684D"/>
    <w:rsid w:val="00E60952"/>
    <w:rsid w:val="00E67BC5"/>
    <w:rsid w:val="00E70970"/>
    <w:rsid w:val="00E82708"/>
    <w:rsid w:val="00E8318C"/>
    <w:rsid w:val="00E8345C"/>
    <w:rsid w:val="00E91D63"/>
    <w:rsid w:val="00E92AED"/>
    <w:rsid w:val="00E93DC8"/>
    <w:rsid w:val="00EA1F53"/>
    <w:rsid w:val="00EC1A33"/>
    <w:rsid w:val="00EC6F01"/>
    <w:rsid w:val="00ED4210"/>
    <w:rsid w:val="00EE665C"/>
    <w:rsid w:val="00EF1EAD"/>
    <w:rsid w:val="00EF44D4"/>
    <w:rsid w:val="00EF6B4B"/>
    <w:rsid w:val="00F10111"/>
    <w:rsid w:val="00F11E66"/>
    <w:rsid w:val="00F13868"/>
    <w:rsid w:val="00F13FD2"/>
    <w:rsid w:val="00F14903"/>
    <w:rsid w:val="00F155BE"/>
    <w:rsid w:val="00F37477"/>
    <w:rsid w:val="00F37E14"/>
    <w:rsid w:val="00F43F2A"/>
    <w:rsid w:val="00F467C4"/>
    <w:rsid w:val="00F507D2"/>
    <w:rsid w:val="00F55373"/>
    <w:rsid w:val="00F57CD5"/>
    <w:rsid w:val="00F60170"/>
    <w:rsid w:val="00F666CE"/>
    <w:rsid w:val="00F67212"/>
    <w:rsid w:val="00F700DC"/>
    <w:rsid w:val="00F719DB"/>
    <w:rsid w:val="00F71B0A"/>
    <w:rsid w:val="00F85938"/>
    <w:rsid w:val="00F86C39"/>
    <w:rsid w:val="00F9289D"/>
    <w:rsid w:val="00F94536"/>
    <w:rsid w:val="00F94FBB"/>
    <w:rsid w:val="00FB3CE2"/>
    <w:rsid w:val="00FB5F29"/>
    <w:rsid w:val="00FB7A53"/>
    <w:rsid w:val="00FD475B"/>
    <w:rsid w:val="00FE205B"/>
    <w:rsid w:val="00FF5303"/>
    <w:rsid w:val="00FF5E6A"/>
    <w:rsid w:val="0F864A73"/>
    <w:rsid w:val="18386A5E"/>
    <w:rsid w:val="29241B1E"/>
    <w:rsid w:val="34EB0D03"/>
    <w:rsid w:val="51772766"/>
    <w:rsid w:val="5EA87D81"/>
    <w:rsid w:val="6A25394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2F24-4540-4CAB-A4EF-179918C0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User</cp:lastModifiedBy>
  <cp:revision>2</cp:revision>
  <dcterms:created xsi:type="dcterms:W3CDTF">2025-09-05T11:46:00Z</dcterms:created>
  <dcterms:modified xsi:type="dcterms:W3CDTF">2025-09-05T11:46:00Z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decb6377-c5fd-4b2b-ad18-f8f2a4ae72b2</vt:lpwstr>
  </property>
  <property fmtid="{D5CDD505-2E9C-101B-9397-08002B2CF9AE}" pid="3" name="KSOProductBuildVer">
    <vt:lpwstr>1033-12.2.0.21931</vt:lpwstr>
  </property>
  <property fmtid="{D5CDD505-2E9C-101B-9397-08002B2CF9AE}" pid="4" name="ICV">
    <vt:lpwstr>A4C3721BD5844C01AAB1F3DC43FD569C_13</vt:lpwstr>
  </property>
</Properties>
</file>