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397" w:rsidRDefault="00B423DE" w:rsidP="00B423D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MARIA TAGAMA</w:t>
      </w:r>
    </w:p>
    <w:p w:rsidR="00B423DE" w:rsidRDefault="00B423DE" w:rsidP="00B423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423DE" w:rsidRDefault="00B423DE" w:rsidP="00B423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B423DE" w:rsidRDefault="00B423DE" w:rsidP="00B423DE">
      <w:pPr>
        <w:spacing w:after="0" w:line="360" w:lineRule="auto"/>
        <w:jc w:val="both"/>
        <w:rPr>
          <w:rFonts w:ascii="Times New Roman" w:hAnsi="Times New Roman" w:cs="Times New Roman"/>
          <w:sz w:val="24"/>
          <w:szCs w:val="24"/>
        </w:rPr>
      </w:pPr>
    </w:p>
    <w:p w:rsidR="00B423DE" w:rsidRDefault="00B423DE" w:rsidP="00B423DE">
      <w:pPr>
        <w:spacing w:after="0" w:line="360" w:lineRule="auto"/>
        <w:jc w:val="both"/>
        <w:rPr>
          <w:rFonts w:ascii="Times New Roman" w:hAnsi="Times New Roman" w:cs="Times New Roman"/>
          <w:sz w:val="24"/>
          <w:szCs w:val="24"/>
        </w:rPr>
      </w:pPr>
    </w:p>
    <w:p w:rsidR="00B423DE" w:rsidRDefault="00B423DE" w:rsidP="00B423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423DE" w:rsidRDefault="00B423DE" w:rsidP="00B423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&amp; KWENDA JJ</w:t>
      </w:r>
    </w:p>
    <w:p w:rsidR="00B423DE" w:rsidRDefault="00B423DE" w:rsidP="00B423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24 March 2021 and </w:t>
      </w:r>
      <w:r w:rsidR="00312876">
        <w:rPr>
          <w:rFonts w:ascii="Times New Roman" w:hAnsi="Times New Roman" w:cs="Times New Roman"/>
          <w:sz w:val="24"/>
          <w:szCs w:val="24"/>
        </w:rPr>
        <w:t>17 May 2021</w:t>
      </w:r>
    </w:p>
    <w:p w:rsidR="00B423DE" w:rsidRDefault="00B423DE" w:rsidP="00B423DE">
      <w:pPr>
        <w:spacing w:after="0" w:line="360" w:lineRule="auto"/>
        <w:jc w:val="both"/>
        <w:rPr>
          <w:rFonts w:ascii="Times New Roman" w:hAnsi="Times New Roman" w:cs="Times New Roman"/>
          <w:sz w:val="24"/>
          <w:szCs w:val="24"/>
        </w:rPr>
      </w:pPr>
    </w:p>
    <w:p w:rsidR="00B423DE" w:rsidRDefault="00B423DE" w:rsidP="00B423DE">
      <w:pPr>
        <w:spacing w:after="0" w:line="360" w:lineRule="auto"/>
        <w:jc w:val="both"/>
        <w:rPr>
          <w:rFonts w:ascii="Times New Roman" w:hAnsi="Times New Roman" w:cs="Times New Roman"/>
          <w:sz w:val="24"/>
          <w:szCs w:val="24"/>
        </w:rPr>
      </w:pPr>
    </w:p>
    <w:p w:rsidR="00B423DE" w:rsidRPr="00B423DE" w:rsidRDefault="00B423DE" w:rsidP="00B423DE">
      <w:pPr>
        <w:spacing w:after="0" w:line="360" w:lineRule="auto"/>
        <w:jc w:val="both"/>
        <w:rPr>
          <w:rFonts w:ascii="Times New Roman" w:hAnsi="Times New Roman" w:cs="Times New Roman"/>
          <w:b/>
          <w:sz w:val="24"/>
          <w:szCs w:val="24"/>
        </w:rPr>
      </w:pPr>
      <w:r w:rsidRPr="00B423DE">
        <w:rPr>
          <w:rFonts w:ascii="Times New Roman" w:hAnsi="Times New Roman" w:cs="Times New Roman"/>
          <w:b/>
          <w:sz w:val="24"/>
          <w:szCs w:val="24"/>
        </w:rPr>
        <w:t>Criminal appeal</w:t>
      </w:r>
    </w:p>
    <w:p w:rsidR="00B423DE" w:rsidRDefault="00B423DE" w:rsidP="00B423DE">
      <w:pPr>
        <w:spacing w:after="0" w:line="360" w:lineRule="auto"/>
        <w:jc w:val="both"/>
        <w:rPr>
          <w:rFonts w:ascii="Times New Roman" w:hAnsi="Times New Roman" w:cs="Times New Roman"/>
          <w:sz w:val="24"/>
          <w:szCs w:val="24"/>
        </w:rPr>
      </w:pPr>
    </w:p>
    <w:p w:rsidR="00B423DE" w:rsidRDefault="00B423DE" w:rsidP="00B423DE">
      <w:pPr>
        <w:spacing w:after="0" w:line="360" w:lineRule="auto"/>
        <w:jc w:val="both"/>
        <w:rPr>
          <w:rFonts w:ascii="Times New Roman" w:hAnsi="Times New Roman" w:cs="Times New Roman"/>
          <w:sz w:val="24"/>
          <w:szCs w:val="24"/>
        </w:rPr>
      </w:pPr>
    </w:p>
    <w:p w:rsidR="00B423DE" w:rsidRDefault="00B423DE" w:rsidP="00B423DE">
      <w:pPr>
        <w:spacing w:after="0" w:line="240" w:lineRule="auto"/>
        <w:jc w:val="both"/>
        <w:rPr>
          <w:rFonts w:ascii="Times New Roman" w:hAnsi="Times New Roman" w:cs="Times New Roman"/>
          <w:sz w:val="24"/>
          <w:szCs w:val="24"/>
        </w:rPr>
      </w:pPr>
      <w:r w:rsidRPr="00B423DE">
        <w:rPr>
          <w:rFonts w:ascii="Times New Roman" w:hAnsi="Times New Roman" w:cs="Times New Roman"/>
          <w:i/>
          <w:sz w:val="24"/>
          <w:szCs w:val="24"/>
        </w:rPr>
        <w:t>M.H. Chitsanga</w:t>
      </w:r>
      <w:r>
        <w:rPr>
          <w:rFonts w:ascii="Times New Roman" w:hAnsi="Times New Roman" w:cs="Times New Roman"/>
          <w:sz w:val="24"/>
          <w:szCs w:val="24"/>
        </w:rPr>
        <w:t>, for the appellant</w:t>
      </w:r>
    </w:p>
    <w:p w:rsidR="00B423DE" w:rsidRDefault="00B423DE" w:rsidP="00B423DE">
      <w:pPr>
        <w:spacing w:after="0" w:line="240" w:lineRule="auto"/>
        <w:jc w:val="both"/>
        <w:rPr>
          <w:rFonts w:ascii="Times New Roman" w:hAnsi="Times New Roman" w:cs="Times New Roman"/>
          <w:sz w:val="24"/>
          <w:szCs w:val="24"/>
        </w:rPr>
      </w:pPr>
      <w:r w:rsidRPr="00B423DE">
        <w:rPr>
          <w:rFonts w:ascii="Times New Roman" w:hAnsi="Times New Roman" w:cs="Times New Roman"/>
          <w:i/>
          <w:sz w:val="24"/>
          <w:szCs w:val="24"/>
        </w:rPr>
        <w:t>R. Chikosha</w:t>
      </w:r>
      <w:r>
        <w:rPr>
          <w:rFonts w:ascii="Times New Roman" w:hAnsi="Times New Roman" w:cs="Times New Roman"/>
          <w:sz w:val="24"/>
          <w:szCs w:val="24"/>
        </w:rPr>
        <w:t>, for the respondent</w:t>
      </w:r>
    </w:p>
    <w:p w:rsidR="00B423DE" w:rsidRDefault="00B423DE" w:rsidP="00B423DE">
      <w:pPr>
        <w:spacing w:after="0" w:line="360" w:lineRule="auto"/>
        <w:jc w:val="both"/>
        <w:rPr>
          <w:rFonts w:ascii="Times New Roman" w:hAnsi="Times New Roman" w:cs="Times New Roman"/>
          <w:sz w:val="24"/>
          <w:szCs w:val="24"/>
        </w:rPr>
      </w:pPr>
    </w:p>
    <w:p w:rsidR="00B423DE" w:rsidRDefault="00B423DE" w:rsidP="00B423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w:t>
      </w:r>
      <w:r w:rsidR="00C92DC1">
        <w:rPr>
          <w:rFonts w:ascii="Times New Roman" w:hAnsi="Times New Roman" w:cs="Times New Roman"/>
          <w:sz w:val="24"/>
          <w:szCs w:val="24"/>
        </w:rPr>
        <w:t xml:space="preserve"> This is an appeal against conviction. The app</w:t>
      </w:r>
      <w:r w:rsidR="004F4565">
        <w:rPr>
          <w:rFonts w:ascii="Times New Roman" w:hAnsi="Times New Roman" w:cs="Times New Roman"/>
          <w:sz w:val="24"/>
          <w:szCs w:val="24"/>
        </w:rPr>
        <w:t>ellant was convicted of one coun</w:t>
      </w:r>
      <w:r w:rsidR="00C92DC1">
        <w:rPr>
          <w:rFonts w:ascii="Times New Roman" w:hAnsi="Times New Roman" w:cs="Times New Roman"/>
          <w:sz w:val="24"/>
          <w:szCs w:val="24"/>
        </w:rPr>
        <w:t xml:space="preserve">t of physical abuse as defined in s 4(1)(a) as read with s 3 of the </w:t>
      </w:r>
      <w:r w:rsidR="00507CB8">
        <w:rPr>
          <w:rFonts w:ascii="Times New Roman" w:hAnsi="Times New Roman" w:cs="Times New Roman"/>
          <w:sz w:val="24"/>
          <w:szCs w:val="24"/>
        </w:rPr>
        <w:t>Domestic</w:t>
      </w:r>
      <w:r w:rsidR="00C92DC1">
        <w:rPr>
          <w:rFonts w:ascii="Times New Roman" w:hAnsi="Times New Roman" w:cs="Times New Roman"/>
          <w:sz w:val="24"/>
          <w:szCs w:val="24"/>
        </w:rPr>
        <w:t xml:space="preserve"> </w:t>
      </w:r>
      <w:r w:rsidR="00507CB8">
        <w:rPr>
          <w:rFonts w:ascii="Times New Roman" w:hAnsi="Times New Roman" w:cs="Times New Roman"/>
          <w:sz w:val="24"/>
          <w:szCs w:val="24"/>
        </w:rPr>
        <w:t>Violence</w:t>
      </w:r>
      <w:r w:rsidR="00C92DC1">
        <w:rPr>
          <w:rFonts w:ascii="Times New Roman" w:hAnsi="Times New Roman" w:cs="Times New Roman"/>
          <w:sz w:val="24"/>
          <w:szCs w:val="24"/>
        </w:rPr>
        <w:t xml:space="preserve"> Act [</w:t>
      </w:r>
      <w:r w:rsidR="00C92DC1" w:rsidRPr="00507CB8">
        <w:rPr>
          <w:rFonts w:ascii="Times New Roman" w:hAnsi="Times New Roman" w:cs="Times New Roman"/>
          <w:i/>
          <w:sz w:val="24"/>
          <w:szCs w:val="24"/>
        </w:rPr>
        <w:t>Chapter</w:t>
      </w:r>
      <w:r w:rsidR="00507CB8" w:rsidRPr="00507CB8">
        <w:rPr>
          <w:rFonts w:ascii="Times New Roman" w:hAnsi="Times New Roman" w:cs="Times New Roman"/>
          <w:i/>
          <w:sz w:val="24"/>
          <w:szCs w:val="24"/>
        </w:rPr>
        <w:t xml:space="preserve"> </w:t>
      </w:r>
      <w:r w:rsidR="00C92DC1" w:rsidRPr="00507CB8">
        <w:rPr>
          <w:rFonts w:ascii="Times New Roman" w:hAnsi="Times New Roman" w:cs="Times New Roman"/>
          <w:i/>
          <w:sz w:val="24"/>
          <w:szCs w:val="24"/>
        </w:rPr>
        <w:t>5:16</w:t>
      </w:r>
      <w:r w:rsidR="00C92DC1">
        <w:rPr>
          <w:rFonts w:ascii="Times New Roman" w:hAnsi="Times New Roman" w:cs="Times New Roman"/>
          <w:sz w:val="24"/>
          <w:szCs w:val="24"/>
        </w:rPr>
        <w:t>] (“the DVA”)</w:t>
      </w:r>
      <w:r w:rsidR="00F87C89">
        <w:rPr>
          <w:rFonts w:ascii="Times New Roman" w:hAnsi="Times New Roman" w:cs="Times New Roman"/>
          <w:sz w:val="24"/>
          <w:szCs w:val="24"/>
        </w:rPr>
        <w:t>.</w:t>
      </w:r>
      <w:r w:rsidR="00C92DC1">
        <w:rPr>
          <w:rFonts w:ascii="Times New Roman" w:hAnsi="Times New Roman" w:cs="Times New Roman"/>
          <w:sz w:val="24"/>
          <w:szCs w:val="24"/>
        </w:rPr>
        <w:t xml:space="preserve"> </w:t>
      </w:r>
      <w:r w:rsidR="00F87C89">
        <w:rPr>
          <w:rFonts w:ascii="Times New Roman" w:hAnsi="Times New Roman" w:cs="Times New Roman"/>
          <w:sz w:val="24"/>
          <w:szCs w:val="24"/>
        </w:rPr>
        <w:t>T</w:t>
      </w:r>
      <w:r w:rsidR="00C92DC1">
        <w:rPr>
          <w:rFonts w:ascii="Times New Roman" w:hAnsi="Times New Roman" w:cs="Times New Roman"/>
          <w:sz w:val="24"/>
          <w:szCs w:val="24"/>
        </w:rPr>
        <w:t>he Magi</w:t>
      </w:r>
      <w:r w:rsidR="00F87C89">
        <w:rPr>
          <w:rFonts w:ascii="Times New Roman" w:hAnsi="Times New Roman" w:cs="Times New Roman"/>
          <w:sz w:val="24"/>
          <w:szCs w:val="24"/>
        </w:rPr>
        <w:t>strates Court sitting at Chivhu</w:t>
      </w:r>
      <w:r w:rsidR="00C92DC1">
        <w:rPr>
          <w:rFonts w:ascii="Times New Roman" w:hAnsi="Times New Roman" w:cs="Times New Roman"/>
          <w:sz w:val="24"/>
          <w:szCs w:val="24"/>
        </w:rPr>
        <w:t xml:space="preserve"> </w:t>
      </w:r>
      <w:r w:rsidR="00A4522C">
        <w:rPr>
          <w:rFonts w:ascii="Times New Roman" w:hAnsi="Times New Roman" w:cs="Times New Roman"/>
          <w:sz w:val="24"/>
          <w:szCs w:val="24"/>
        </w:rPr>
        <w:t>sentenced him to 9 mon</w:t>
      </w:r>
      <w:r w:rsidR="00C92DC1">
        <w:rPr>
          <w:rFonts w:ascii="Times New Roman" w:hAnsi="Times New Roman" w:cs="Times New Roman"/>
          <w:sz w:val="24"/>
          <w:szCs w:val="24"/>
        </w:rPr>
        <w:t xml:space="preserve">ths </w:t>
      </w:r>
      <w:r w:rsidR="00A4522C">
        <w:rPr>
          <w:rFonts w:ascii="Times New Roman" w:hAnsi="Times New Roman" w:cs="Times New Roman"/>
          <w:sz w:val="24"/>
          <w:szCs w:val="24"/>
        </w:rPr>
        <w:t>imprisonment</w:t>
      </w:r>
      <w:r w:rsidR="00C92DC1">
        <w:rPr>
          <w:rFonts w:ascii="Times New Roman" w:hAnsi="Times New Roman" w:cs="Times New Roman"/>
          <w:sz w:val="24"/>
          <w:szCs w:val="24"/>
        </w:rPr>
        <w:t xml:space="preserve"> of which 3 months </w:t>
      </w:r>
      <w:r w:rsidR="00A4522C">
        <w:rPr>
          <w:rFonts w:ascii="Times New Roman" w:hAnsi="Times New Roman" w:cs="Times New Roman"/>
          <w:sz w:val="24"/>
          <w:szCs w:val="24"/>
        </w:rPr>
        <w:t>imprisonment</w:t>
      </w:r>
      <w:r w:rsidR="00C92DC1">
        <w:rPr>
          <w:rFonts w:ascii="Times New Roman" w:hAnsi="Times New Roman" w:cs="Times New Roman"/>
          <w:sz w:val="24"/>
          <w:szCs w:val="24"/>
        </w:rPr>
        <w:t xml:space="preserve"> was suspended on condition that the appellant does not within the next 5 years commit any offence involving physical abu</w:t>
      </w:r>
      <w:r w:rsidR="00A4522C">
        <w:rPr>
          <w:rFonts w:ascii="Times New Roman" w:hAnsi="Times New Roman" w:cs="Times New Roman"/>
          <w:sz w:val="24"/>
          <w:szCs w:val="24"/>
        </w:rPr>
        <w:t>s</w:t>
      </w:r>
      <w:r w:rsidR="00C92DC1">
        <w:rPr>
          <w:rFonts w:ascii="Times New Roman" w:hAnsi="Times New Roman" w:cs="Times New Roman"/>
          <w:sz w:val="24"/>
          <w:szCs w:val="24"/>
        </w:rPr>
        <w:t xml:space="preserve">e and for which upon conviction the appellant is </w:t>
      </w:r>
      <w:r w:rsidR="00A4522C">
        <w:rPr>
          <w:rFonts w:ascii="Times New Roman" w:hAnsi="Times New Roman" w:cs="Times New Roman"/>
          <w:sz w:val="24"/>
          <w:szCs w:val="24"/>
        </w:rPr>
        <w:t>sentenced</w:t>
      </w:r>
      <w:r w:rsidR="00F87C89">
        <w:rPr>
          <w:rFonts w:ascii="Times New Roman" w:hAnsi="Times New Roman" w:cs="Times New Roman"/>
          <w:sz w:val="24"/>
          <w:szCs w:val="24"/>
        </w:rPr>
        <w:t xml:space="preserve"> to a term</w:t>
      </w:r>
      <w:r w:rsidR="00C92DC1">
        <w:rPr>
          <w:rFonts w:ascii="Times New Roman" w:hAnsi="Times New Roman" w:cs="Times New Roman"/>
          <w:sz w:val="24"/>
          <w:szCs w:val="24"/>
        </w:rPr>
        <w:t xml:space="preserve"> of </w:t>
      </w:r>
      <w:r w:rsidR="00A4522C">
        <w:rPr>
          <w:rFonts w:ascii="Times New Roman" w:hAnsi="Times New Roman" w:cs="Times New Roman"/>
          <w:sz w:val="24"/>
          <w:szCs w:val="24"/>
        </w:rPr>
        <w:t>imprisonment</w:t>
      </w:r>
      <w:r w:rsidR="00C92DC1">
        <w:rPr>
          <w:rFonts w:ascii="Times New Roman" w:hAnsi="Times New Roman" w:cs="Times New Roman"/>
          <w:sz w:val="24"/>
          <w:szCs w:val="24"/>
        </w:rPr>
        <w:t xml:space="preserve"> without the option of a fine. The remaining 6 months </w:t>
      </w:r>
      <w:r w:rsidR="00A4522C">
        <w:rPr>
          <w:rFonts w:ascii="Times New Roman" w:hAnsi="Times New Roman" w:cs="Times New Roman"/>
          <w:sz w:val="24"/>
          <w:szCs w:val="24"/>
        </w:rPr>
        <w:t>imprisonment</w:t>
      </w:r>
      <w:r w:rsidR="00C92DC1">
        <w:rPr>
          <w:rFonts w:ascii="Times New Roman" w:hAnsi="Times New Roman" w:cs="Times New Roman"/>
          <w:sz w:val="24"/>
          <w:szCs w:val="24"/>
        </w:rPr>
        <w:t xml:space="preserve"> was suspended on condition the appellant performs community service.</w:t>
      </w:r>
    </w:p>
    <w:p w:rsidR="00C92DC1" w:rsidRDefault="00C92DC1" w:rsidP="00B423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charge was wrongly drafted. It is section 3 (1) (a) of </w:t>
      </w:r>
      <w:r w:rsidR="00986EDA">
        <w:rPr>
          <w:rFonts w:ascii="Times New Roman" w:hAnsi="Times New Roman" w:cs="Times New Roman"/>
          <w:sz w:val="24"/>
          <w:szCs w:val="24"/>
        </w:rPr>
        <w:t>the</w:t>
      </w:r>
      <w:r>
        <w:rPr>
          <w:rFonts w:ascii="Times New Roman" w:hAnsi="Times New Roman" w:cs="Times New Roman"/>
          <w:sz w:val="24"/>
          <w:szCs w:val="24"/>
        </w:rPr>
        <w:t xml:space="preserve"> DVA which define</w:t>
      </w:r>
      <w:r w:rsidR="00EA1AAC">
        <w:rPr>
          <w:rFonts w:ascii="Times New Roman" w:hAnsi="Times New Roman" w:cs="Times New Roman"/>
          <w:sz w:val="24"/>
          <w:szCs w:val="24"/>
        </w:rPr>
        <w:t>s</w:t>
      </w:r>
      <w:r>
        <w:rPr>
          <w:rFonts w:ascii="Times New Roman" w:hAnsi="Times New Roman" w:cs="Times New Roman"/>
          <w:sz w:val="24"/>
          <w:szCs w:val="24"/>
        </w:rPr>
        <w:t xml:space="preserve"> </w:t>
      </w:r>
      <w:r w:rsidR="00921622">
        <w:rPr>
          <w:rFonts w:ascii="Times New Roman" w:hAnsi="Times New Roman" w:cs="Times New Roman"/>
          <w:sz w:val="24"/>
          <w:szCs w:val="24"/>
        </w:rPr>
        <w:t>domestic violence as including p</w:t>
      </w:r>
      <w:r>
        <w:rPr>
          <w:rFonts w:ascii="Times New Roman" w:hAnsi="Times New Roman" w:cs="Times New Roman"/>
          <w:sz w:val="24"/>
          <w:szCs w:val="24"/>
        </w:rPr>
        <w:t>hysical abuse with s 4 of the Act creating the offence of domestic violence and providing the penalty therefor.</w:t>
      </w:r>
    </w:p>
    <w:p w:rsidR="00C92DC1" w:rsidRDefault="00C92DC1" w:rsidP="00B423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charge </w:t>
      </w:r>
      <w:r w:rsidR="00515B1A">
        <w:rPr>
          <w:rFonts w:ascii="Times New Roman" w:hAnsi="Times New Roman" w:cs="Times New Roman"/>
          <w:sz w:val="24"/>
          <w:szCs w:val="24"/>
        </w:rPr>
        <w:t>should have read</w:t>
      </w:r>
      <w:r>
        <w:rPr>
          <w:rFonts w:ascii="Times New Roman" w:hAnsi="Times New Roman" w:cs="Times New Roman"/>
          <w:sz w:val="24"/>
          <w:szCs w:val="24"/>
        </w:rPr>
        <w:t>:</w:t>
      </w:r>
    </w:p>
    <w:p w:rsidR="00C92DC1" w:rsidRDefault="00815CCF" w:rsidP="002F2F65">
      <w:pPr>
        <w:spacing w:after="0" w:line="240" w:lineRule="auto"/>
        <w:ind w:left="720"/>
        <w:jc w:val="both"/>
        <w:rPr>
          <w:rFonts w:ascii="Times New Roman" w:hAnsi="Times New Roman" w:cs="Times New Roman"/>
        </w:rPr>
      </w:pPr>
      <w:r>
        <w:rPr>
          <w:rFonts w:ascii="Times New Roman" w:hAnsi="Times New Roman" w:cs="Times New Roman"/>
        </w:rPr>
        <w:t>“</w:t>
      </w:r>
      <w:r w:rsidR="002F2F65">
        <w:rPr>
          <w:rFonts w:ascii="Times New Roman" w:hAnsi="Times New Roman" w:cs="Times New Roman"/>
        </w:rPr>
        <w:t>Physical</w:t>
      </w:r>
      <w:r>
        <w:rPr>
          <w:rFonts w:ascii="Times New Roman" w:hAnsi="Times New Roman" w:cs="Times New Roman"/>
        </w:rPr>
        <w:t xml:space="preserve"> abuse as defined in sect</w:t>
      </w:r>
      <w:r w:rsidR="00976E6A">
        <w:rPr>
          <w:rFonts w:ascii="Times New Roman" w:hAnsi="Times New Roman" w:cs="Times New Roman"/>
        </w:rPr>
        <w:t xml:space="preserve">ion 3 (1) (a) as read with s 4 </w:t>
      </w:r>
      <w:r>
        <w:rPr>
          <w:rFonts w:ascii="Times New Roman" w:hAnsi="Times New Roman" w:cs="Times New Roman"/>
        </w:rPr>
        <w:t xml:space="preserve">(1) of the Domestic Violence </w:t>
      </w:r>
      <w:r w:rsidR="002F2F65">
        <w:rPr>
          <w:rFonts w:ascii="Times New Roman" w:hAnsi="Times New Roman" w:cs="Times New Roman"/>
        </w:rPr>
        <w:t>Act</w:t>
      </w:r>
      <w:r>
        <w:rPr>
          <w:rFonts w:ascii="Times New Roman" w:hAnsi="Times New Roman" w:cs="Times New Roman"/>
        </w:rPr>
        <w:t xml:space="preserve"> [Chapter 5:16] in that on the 2</w:t>
      </w:r>
      <w:r w:rsidRPr="00815CCF">
        <w:rPr>
          <w:rFonts w:ascii="Times New Roman" w:hAnsi="Times New Roman" w:cs="Times New Roman"/>
          <w:vertAlign w:val="superscript"/>
        </w:rPr>
        <w:t>nd</w:t>
      </w:r>
      <w:r>
        <w:rPr>
          <w:rFonts w:ascii="Times New Roman" w:hAnsi="Times New Roman" w:cs="Times New Roman"/>
        </w:rPr>
        <w:t xml:space="preserve"> d</w:t>
      </w:r>
      <w:r w:rsidR="002F2F65">
        <w:rPr>
          <w:rFonts w:ascii="Times New Roman" w:hAnsi="Times New Roman" w:cs="Times New Roman"/>
        </w:rPr>
        <w:t>a</w:t>
      </w:r>
      <w:r>
        <w:rPr>
          <w:rFonts w:ascii="Times New Roman" w:hAnsi="Times New Roman" w:cs="Times New Roman"/>
        </w:rPr>
        <w:t>y of December 2019 and at Plot 7 Steelfontein, Featherstone, Maria T</w:t>
      </w:r>
      <w:r w:rsidR="002F2F65">
        <w:rPr>
          <w:rFonts w:ascii="Times New Roman" w:hAnsi="Times New Roman" w:cs="Times New Roman"/>
        </w:rPr>
        <w:t>agama unlawfull</w:t>
      </w:r>
      <w:r>
        <w:rPr>
          <w:rFonts w:ascii="Times New Roman" w:hAnsi="Times New Roman" w:cs="Times New Roman"/>
        </w:rPr>
        <w:t xml:space="preserve">y committed an act of physical </w:t>
      </w:r>
      <w:r w:rsidR="002F2F65">
        <w:rPr>
          <w:rFonts w:ascii="Times New Roman" w:hAnsi="Times New Roman" w:cs="Times New Roman"/>
        </w:rPr>
        <w:t>abuse</w:t>
      </w:r>
      <w:r>
        <w:rPr>
          <w:rFonts w:ascii="Times New Roman" w:hAnsi="Times New Roman" w:cs="Times New Roman"/>
        </w:rPr>
        <w:t xml:space="preserve"> </w:t>
      </w:r>
      <w:r w:rsidR="002F2F65">
        <w:rPr>
          <w:rFonts w:ascii="Times New Roman" w:hAnsi="Times New Roman" w:cs="Times New Roman"/>
        </w:rPr>
        <w:t>up</w:t>
      </w:r>
      <w:r w:rsidR="00976E6A">
        <w:rPr>
          <w:rFonts w:ascii="Times New Roman" w:hAnsi="Times New Roman" w:cs="Times New Roman"/>
        </w:rPr>
        <w:t>on Pardon Tagam</w:t>
      </w:r>
      <w:r>
        <w:rPr>
          <w:rFonts w:ascii="Times New Roman" w:hAnsi="Times New Roman" w:cs="Times New Roman"/>
        </w:rPr>
        <w:t>a her n</w:t>
      </w:r>
      <w:r w:rsidR="00643423">
        <w:rPr>
          <w:rFonts w:ascii="Times New Roman" w:hAnsi="Times New Roman" w:cs="Times New Roman"/>
        </w:rPr>
        <w:t xml:space="preserve">ephew by </w:t>
      </w:r>
      <w:r w:rsidR="002F2F65">
        <w:rPr>
          <w:rFonts w:ascii="Times New Roman" w:hAnsi="Times New Roman" w:cs="Times New Roman"/>
        </w:rPr>
        <w:t>striking</w:t>
      </w:r>
      <w:r w:rsidR="00643423">
        <w:rPr>
          <w:rFonts w:ascii="Times New Roman" w:hAnsi="Times New Roman" w:cs="Times New Roman"/>
        </w:rPr>
        <w:t xml:space="preserve"> him several times with an iron bar on the forehead.”</w:t>
      </w:r>
    </w:p>
    <w:p w:rsidR="00643423" w:rsidRDefault="00643423" w:rsidP="00815CCF">
      <w:pPr>
        <w:spacing w:after="0" w:line="240" w:lineRule="auto"/>
        <w:jc w:val="both"/>
        <w:rPr>
          <w:rFonts w:ascii="Times New Roman" w:hAnsi="Times New Roman" w:cs="Times New Roman"/>
        </w:rPr>
      </w:pPr>
    </w:p>
    <w:p w:rsidR="00643423" w:rsidRDefault="00643423" w:rsidP="00643423">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Pr>
          <w:rFonts w:ascii="Times New Roman" w:hAnsi="Times New Roman" w:cs="Times New Roman"/>
          <w:sz w:val="24"/>
          <w:szCs w:val="24"/>
        </w:rPr>
        <w:t xml:space="preserve">See </w:t>
      </w:r>
      <w:r w:rsidR="0055577F">
        <w:rPr>
          <w:rFonts w:ascii="Times New Roman" w:hAnsi="Times New Roman" w:cs="Times New Roman"/>
          <w:sz w:val="24"/>
          <w:szCs w:val="24"/>
        </w:rPr>
        <w:t>also</w:t>
      </w:r>
      <w:r>
        <w:rPr>
          <w:rFonts w:ascii="Times New Roman" w:hAnsi="Times New Roman" w:cs="Times New Roman"/>
          <w:sz w:val="24"/>
          <w:szCs w:val="24"/>
        </w:rPr>
        <w:t xml:space="preserve"> </w:t>
      </w:r>
      <w:r w:rsidRPr="0055577F">
        <w:rPr>
          <w:rFonts w:ascii="Times New Roman" w:hAnsi="Times New Roman" w:cs="Times New Roman"/>
          <w:i/>
          <w:sz w:val="24"/>
          <w:szCs w:val="24"/>
        </w:rPr>
        <w:t>State</w:t>
      </w:r>
      <w:r>
        <w:rPr>
          <w:rFonts w:ascii="Times New Roman" w:hAnsi="Times New Roman" w:cs="Times New Roman"/>
          <w:sz w:val="24"/>
          <w:szCs w:val="24"/>
        </w:rPr>
        <w:t xml:space="preserve"> v </w:t>
      </w:r>
      <w:r w:rsidRPr="0055577F">
        <w:rPr>
          <w:rFonts w:ascii="Times New Roman" w:hAnsi="Times New Roman" w:cs="Times New Roman"/>
          <w:i/>
          <w:sz w:val="24"/>
          <w:szCs w:val="24"/>
        </w:rPr>
        <w:t xml:space="preserve">Madyambudzi </w:t>
      </w:r>
      <w:r>
        <w:rPr>
          <w:rFonts w:ascii="Times New Roman" w:hAnsi="Times New Roman" w:cs="Times New Roman"/>
          <w:sz w:val="24"/>
          <w:szCs w:val="24"/>
        </w:rPr>
        <w:t xml:space="preserve">HH 333/17. In the </w:t>
      </w:r>
      <w:r w:rsidR="0055577F">
        <w:rPr>
          <w:rFonts w:ascii="Times New Roman" w:hAnsi="Times New Roman" w:cs="Times New Roman"/>
          <w:sz w:val="24"/>
          <w:szCs w:val="24"/>
        </w:rPr>
        <w:t>circumstances</w:t>
      </w:r>
      <w:r>
        <w:rPr>
          <w:rFonts w:ascii="Times New Roman" w:hAnsi="Times New Roman" w:cs="Times New Roman"/>
          <w:sz w:val="24"/>
          <w:szCs w:val="24"/>
        </w:rPr>
        <w:t xml:space="preserve"> of this matter, </w:t>
      </w:r>
      <w:r w:rsidR="0055577F">
        <w:rPr>
          <w:rFonts w:ascii="Times New Roman" w:hAnsi="Times New Roman" w:cs="Times New Roman"/>
          <w:sz w:val="24"/>
          <w:szCs w:val="24"/>
        </w:rPr>
        <w:t>besides</w:t>
      </w:r>
      <w:r>
        <w:rPr>
          <w:rFonts w:ascii="Times New Roman" w:hAnsi="Times New Roman" w:cs="Times New Roman"/>
          <w:sz w:val="24"/>
          <w:szCs w:val="24"/>
        </w:rPr>
        <w:t xml:space="preserve"> the fact </w:t>
      </w:r>
      <w:r w:rsidR="0055577F">
        <w:rPr>
          <w:rFonts w:ascii="Times New Roman" w:hAnsi="Times New Roman" w:cs="Times New Roman"/>
          <w:sz w:val="24"/>
          <w:szCs w:val="24"/>
        </w:rPr>
        <w:t>that</w:t>
      </w:r>
      <w:r>
        <w:rPr>
          <w:rFonts w:ascii="Times New Roman" w:hAnsi="Times New Roman" w:cs="Times New Roman"/>
          <w:sz w:val="24"/>
          <w:szCs w:val="24"/>
        </w:rPr>
        <w:t xml:space="preserve"> the appellant suffered no prejudice as a result of the error in drafting the charge, the incorrect formulation of the charge does not affect the outcome of this appeal.</w:t>
      </w:r>
    </w:p>
    <w:p w:rsidR="00643423" w:rsidRDefault="00643423" w:rsidP="00643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577F">
        <w:rPr>
          <w:rFonts w:ascii="Times New Roman" w:hAnsi="Times New Roman" w:cs="Times New Roman"/>
          <w:sz w:val="24"/>
          <w:szCs w:val="24"/>
        </w:rPr>
        <w:t>Section</w:t>
      </w:r>
      <w:r>
        <w:rPr>
          <w:rFonts w:ascii="Times New Roman" w:hAnsi="Times New Roman" w:cs="Times New Roman"/>
          <w:sz w:val="24"/>
          <w:szCs w:val="24"/>
        </w:rPr>
        <w:t xml:space="preserve"> 3(2)(a) of the DVA defines </w:t>
      </w:r>
      <w:r w:rsidR="0055577F">
        <w:rPr>
          <w:rFonts w:ascii="Times New Roman" w:hAnsi="Times New Roman" w:cs="Times New Roman"/>
          <w:sz w:val="24"/>
          <w:szCs w:val="24"/>
        </w:rPr>
        <w:t>p</w:t>
      </w:r>
      <w:r>
        <w:rPr>
          <w:rFonts w:ascii="Times New Roman" w:hAnsi="Times New Roman" w:cs="Times New Roman"/>
          <w:sz w:val="24"/>
          <w:szCs w:val="24"/>
        </w:rPr>
        <w:t xml:space="preserve">hysical abuse as </w:t>
      </w:r>
      <w:r w:rsidR="0055577F">
        <w:rPr>
          <w:rFonts w:ascii="Times New Roman" w:hAnsi="Times New Roman" w:cs="Times New Roman"/>
          <w:sz w:val="24"/>
          <w:szCs w:val="24"/>
        </w:rPr>
        <w:t>including</w:t>
      </w:r>
      <w:r w:rsidR="00AE63D1">
        <w:rPr>
          <w:rFonts w:ascii="Times New Roman" w:hAnsi="Times New Roman" w:cs="Times New Roman"/>
          <w:sz w:val="24"/>
          <w:szCs w:val="24"/>
        </w:rPr>
        <w:t xml:space="preserve"> </w:t>
      </w:r>
      <w:r>
        <w:rPr>
          <w:rFonts w:ascii="Times New Roman" w:hAnsi="Times New Roman" w:cs="Times New Roman"/>
          <w:sz w:val="24"/>
          <w:szCs w:val="24"/>
        </w:rPr>
        <w:t xml:space="preserve">any </w:t>
      </w:r>
      <w:r w:rsidR="0055577F">
        <w:rPr>
          <w:rFonts w:ascii="Times New Roman" w:hAnsi="Times New Roman" w:cs="Times New Roman"/>
          <w:sz w:val="24"/>
          <w:szCs w:val="24"/>
        </w:rPr>
        <w:t>act</w:t>
      </w:r>
      <w:r>
        <w:rPr>
          <w:rFonts w:ascii="Times New Roman" w:hAnsi="Times New Roman" w:cs="Times New Roman"/>
          <w:sz w:val="24"/>
          <w:szCs w:val="24"/>
        </w:rPr>
        <w:t xml:space="preserve"> or threate</w:t>
      </w:r>
      <w:r w:rsidR="00AE63D1">
        <w:rPr>
          <w:rFonts w:ascii="Times New Roman" w:hAnsi="Times New Roman" w:cs="Times New Roman"/>
          <w:sz w:val="24"/>
          <w:szCs w:val="24"/>
        </w:rPr>
        <w:t>ned act of physical violence to</w:t>
      </w:r>
      <w:r>
        <w:rPr>
          <w:rFonts w:ascii="Times New Roman" w:hAnsi="Times New Roman" w:cs="Times New Roman"/>
          <w:sz w:val="24"/>
          <w:szCs w:val="24"/>
        </w:rPr>
        <w:t xml:space="preserve">wards a </w:t>
      </w:r>
      <w:r w:rsidR="0055577F">
        <w:rPr>
          <w:rFonts w:ascii="Times New Roman" w:hAnsi="Times New Roman" w:cs="Times New Roman"/>
          <w:sz w:val="24"/>
          <w:szCs w:val="24"/>
        </w:rPr>
        <w:t>complainant</w:t>
      </w:r>
      <w:r>
        <w:rPr>
          <w:rFonts w:ascii="Times New Roman" w:hAnsi="Times New Roman" w:cs="Times New Roman"/>
          <w:sz w:val="24"/>
          <w:szCs w:val="24"/>
        </w:rPr>
        <w:t>. Secti</w:t>
      </w:r>
      <w:r w:rsidR="005C3F2C">
        <w:rPr>
          <w:rFonts w:ascii="Times New Roman" w:hAnsi="Times New Roman" w:cs="Times New Roman"/>
          <w:sz w:val="24"/>
          <w:szCs w:val="24"/>
        </w:rPr>
        <w:t>on 2 (1) of the same Act defines</w:t>
      </w:r>
      <w:r>
        <w:rPr>
          <w:rFonts w:ascii="Times New Roman" w:hAnsi="Times New Roman" w:cs="Times New Roman"/>
          <w:sz w:val="24"/>
          <w:szCs w:val="24"/>
        </w:rPr>
        <w:t xml:space="preserve"> a </w:t>
      </w:r>
      <w:r w:rsidR="0055577F">
        <w:rPr>
          <w:rFonts w:ascii="Times New Roman" w:hAnsi="Times New Roman" w:cs="Times New Roman"/>
          <w:sz w:val="24"/>
          <w:szCs w:val="24"/>
        </w:rPr>
        <w:t>complainant</w:t>
      </w:r>
      <w:r w:rsidR="005C3F2C">
        <w:rPr>
          <w:rFonts w:ascii="Times New Roman" w:hAnsi="Times New Roman" w:cs="Times New Roman"/>
          <w:sz w:val="24"/>
          <w:szCs w:val="24"/>
        </w:rPr>
        <w:t>, in relation</w:t>
      </w:r>
      <w:r>
        <w:rPr>
          <w:rFonts w:ascii="Times New Roman" w:hAnsi="Times New Roman" w:cs="Times New Roman"/>
          <w:sz w:val="24"/>
          <w:szCs w:val="24"/>
        </w:rPr>
        <w:t xml:space="preserve"> to a respondent, to mean:</w:t>
      </w:r>
    </w:p>
    <w:p w:rsidR="00643423" w:rsidRPr="00AE63D1" w:rsidRDefault="00643423" w:rsidP="00AE63D1">
      <w:pPr>
        <w:spacing w:after="0" w:line="240" w:lineRule="auto"/>
        <w:jc w:val="both"/>
        <w:rPr>
          <w:rFonts w:ascii="Times New Roman" w:hAnsi="Times New Roman" w:cs="Times New Roman"/>
        </w:rPr>
      </w:pPr>
      <w:r>
        <w:rPr>
          <w:rFonts w:ascii="Times New Roman" w:hAnsi="Times New Roman" w:cs="Times New Roman"/>
          <w:sz w:val="24"/>
          <w:szCs w:val="24"/>
        </w:rPr>
        <w:tab/>
      </w:r>
      <w:r w:rsidR="005D7C80" w:rsidRPr="00AE63D1">
        <w:rPr>
          <w:rFonts w:ascii="Times New Roman" w:hAnsi="Times New Roman" w:cs="Times New Roman"/>
        </w:rPr>
        <w:t>“(a)…..</w:t>
      </w:r>
    </w:p>
    <w:p w:rsidR="005D7C80" w:rsidRPr="00AE63D1" w:rsidRDefault="005D7C80" w:rsidP="00AE63D1">
      <w:pPr>
        <w:spacing w:after="0" w:line="240" w:lineRule="auto"/>
        <w:jc w:val="both"/>
        <w:rPr>
          <w:rFonts w:ascii="Times New Roman" w:hAnsi="Times New Roman" w:cs="Times New Roman"/>
        </w:rPr>
      </w:pPr>
      <w:r w:rsidRPr="00AE63D1">
        <w:rPr>
          <w:rFonts w:ascii="Times New Roman" w:hAnsi="Times New Roman" w:cs="Times New Roman"/>
        </w:rPr>
        <w:tab/>
        <w:t>(b)….</w:t>
      </w:r>
    </w:p>
    <w:p w:rsidR="005D7C80" w:rsidRPr="00AE63D1" w:rsidRDefault="0055577F" w:rsidP="00AE63D1">
      <w:pPr>
        <w:spacing w:after="0" w:line="240" w:lineRule="auto"/>
        <w:ind w:left="720"/>
        <w:jc w:val="both"/>
        <w:rPr>
          <w:rFonts w:ascii="Times New Roman" w:hAnsi="Times New Roman" w:cs="Times New Roman"/>
        </w:rPr>
      </w:pPr>
      <w:r w:rsidRPr="00AE63D1">
        <w:rPr>
          <w:rFonts w:ascii="Times New Roman" w:hAnsi="Times New Roman" w:cs="Times New Roman"/>
        </w:rPr>
        <w:t>(c)</w:t>
      </w:r>
      <w:r w:rsidR="005D7C80" w:rsidRPr="00AE63D1">
        <w:rPr>
          <w:rFonts w:ascii="Times New Roman" w:hAnsi="Times New Roman" w:cs="Times New Roman"/>
        </w:rPr>
        <w:t xml:space="preserve"> any person who is or has been living with the respondent, whether related to the respondent or not.”</w:t>
      </w:r>
    </w:p>
    <w:p w:rsidR="00AE63D1" w:rsidRDefault="00AE63D1" w:rsidP="00AE63D1">
      <w:pPr>
        <w:spacing w:after="0" w:line="240" w:lineRule="auto"/>
        <w:ind w:left="720"/>
        <w:jc w:val="both"/>
        <w:rPr>
          <w:rFonts w:ascii="Times New Roman" w:hAnsi="Times New Roman" w:cs="Times New Roman"/>
          <w:sz w:val="24"/>
          <w:szCs w:val="24"/>
        </w:rPr>
      </w:pPr>
    </w:p>
    <w:p w:rsidR="005D7C80" w:rsidRDefault="005D7C80" w:rsidP="00643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2(1) then goes on to define a respondent as meaning:</w:t>
      </w:r>
    </w:p>
    <w:p w:rsidR="005D7C80" w:rsidRDefault="005D7C80" w:rsidP="00AE63D1">
      <w:pPr>
        <w:spacing w:after="0" w:line="240" w:lineRule="auto"/>
        <w:ind w:left="720"/>
        <w:jc w:val="both"/>
        <w:rPr>
          <w:rFonts w:ascii="Times New Roman" w:hAnsi="Times New Roman" w:cs="Times New Roman"/>
        </w:rPr>
      </w:pPr>
      <w:r w:rsidRPr="00AE63D1">
        <w:rPr>
          <w:rFonts w:ascii="Times New Roman" w:hAnsi="Times New Roman" w:cs="Times New Roman"/>
        </w:rPr>
        <w:t xml:space="preserve">“a person who is alleged  be the perpetrator of an actual or </w:t>
      </w:r>
      <w:r w:rsidR="0055577F" w:rsidRPr="00AE63D1">
        <w:rPr>
          <w:rFonts w:ascii="Times New Roman" w:hAnsi="Times New Roman" w:cs="Times New Roman"/>
        </w:rPr>
        <w:t>threatened</w:t>
      </w:r>
      <w:r w:rsidRPr="00AE63D1">
        <w:rPr>
          <w:rFonts w:ascii="Times New Roman" w:hAnsi="Times New Roman" w:cs="Times New Roman"/>
        </w:rPr>
        <w:t xml:space="preserve"> act of domestic </w:t>
      </w:r>
      <w:r w:rsidR="0055577F" w:rsidRPr="00AE63D1">
        <w:rPr>
          <w:rFonts w:ascii="Times New Roman" w:hAnsi="Times New Roman" w:cs="Times New Roman"/>
        </w:rPr>
        <w:t>violence</w:t>
      </w:r>
      <w:r w:rsidR="00CF6B3C" w:rsidRPr="00AE63D1">
        <w:rPr>
          <w:rFonts w:ascii="Times New Roman" w:hAnsi="Times New Roman" w:cs="Times New Roman"/>
        </w:rPr>
        <w:t>.</w:t>
      </w:r>
      <w:r w:rsidRPr="00AE63D1">
        <w:rPr>
          <w:rFonts w:ascii="Times New Roman" w:hAnsi="Times New Roman" w:cs="Times New Roman"/>
        </w:rPr>
        <w:t>”</w:t>
      </w:r>
    </w:p>
    <w:p w:rsidR="00AE63D1" w:rsidRPr="00AE63D1" w:rsidRDefault="00AE63D1" w:rsidP="00AE63D1">
      <w:pPr>
        <w:spacing w:after="0" w:line="240" w:lineRule="auto"/>
        <w:ind w:left="720"/>
        <w:jc w:val="both"/>
        <w:rPr>
          <w:rFonts w:ascii="Times New Roman" w:hAnsi="Times New Roman" w:cs="Times New Roman"/>
        </w:rPr>
      </w:pPr>
    </w:p>
    <w:p w:rsidR="00CF6B3C" w:rsidRDefault="00CF6B3C" w:rsidP="00AE63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magistrates court found that the appellant was a respondent in terms o</w:t>
      </w:r>
      <w:r w:rsidR="005C3F2C">
        <w:rPr>
          <w:rFonts w:ascii="Times New Roman" w:hAnsi="Times New Roman" w:cs="Times New Roman"/>
          <w:sz w:val="24"/>
          <w:szCs w:val="24"/>
        </w:rPr>
        <w:t xml:space="preserve">f the DVA because he once lived </w:t>
      </w:r>
      <w:r>
        <w:rPr>
          <w:rFonts w:ascii="Times New Roman" w:hAnsi="Times New Roman" w:cs="Times New Roman"/>
          <w:sz w:val="24"/>
          <w:szCs w:val="24"/>
        </w:rPr>
        <w:t>with the complainant before the occurrence of the</w:t>
      </w:r>
      <w:r w:rsidR="00C54F7B">
        <w:rPr>
          <w:rFonts w:ascii="Times New Roman" w:hAnsi="Times New Roman" w:cs="Times New Roman"/>
          <w:sz w:val="24"/>
          <w:szCs w:val="24"/>
        </w:rPr>
        <w:t xml:space="preserve"> incident on which the charge was founded. The court </w:t>
      </w:r>
      <w:r w:rsidR="00C54F7B" w:rsidRPr="006C4328">
        <w:rPr>
          <w:rFonts w:ascii="Times New Roman" w:hAnsi="Times New Roman" w:cs="Times New Roman"/>
          <w:i/>
          <w:sz w:val="24"/>
          <w:szCs w:val="24"/>
        </w:rPr>
        <w:t>a quo</w:t>
      </w:r>
      <w:r w:rsidR="00C54F7B">
        <w:rPr>
          <w:rFonts w:ascii="Times New Roman" w:hAnsi="Times New Roman" w:cs="Times New Roman"/>
          <w:sz w:val="24"/>
          <w:szCs w:val="24"/>
        </w:rPr>
        <w:t xml:space="preserve"> also found </w:t>
      </w:r>
      <w:r w:rsidR="006C4328">
        <w:rPr>
          <w:rFonts w:ascii="Times New Roman" w:hAnsi="Times New Roman" w:cs="Times New Roman"/>
          <w:sz w:val="24"/>
          <w:szCs w:val="24"/>
        </w:rPr>
        <w:t>that</w:t>
      </w:r>
      <w:r w:rsidR="00C54F7B">
        <w:rPr>
          <w:rFonts w:ascii="Times New Roman" w:hAnsi="Times New Roman" w:cs="Times New Roman"/>
          <w:sz w:val="24"/>
          <w:szCs w:val="24"/>
        </w:rPr>
        <w:t xml:space="preserve"> as at 2 December 2019 the parties lived so close to </w:t>
      </w:r>
      <w:r w:rsidR="001F6FEF">
        <w:rPr>
          <w:rFonts w:ascii="Times New Roman" w:hAnsi="Times New Roman" w:cs="Times New Roman"/>
          <w:sz w:val="24"/>
          <w:szCs w:val="24"/>
        </w:rPr>
        <w:t>each</w:t>
      </w:r>
      <w:r w:rsidR="00C54F7B">
        <w:rPr>
          <w:rFonts w:ascii="Times New Roman" w:hAnsi="Times New Roman" w:cs="Times New Roman"/>
          <w:sz w:val="24"/>
          <w:szCs w:val="24"/>
        </w:rPr>
        <w:t xml:space="preserve"> other that, being in</w:t>
      </w:r>
      <w:r w:rsidR="00312876">
        <w:rPr>
          <w:rFonts w:ascii="Times New Roman" w:hAnsi="Times New Roman" w:cs="Times New Roman"/>
          <w:sz w:val="24"/>
          <w:szCs w:val="24"/>
        </w:rPr>
        <w:t xml:space="preserve"> a</w:t>
      </w:r>
      <w:r w:rsidR="00C54F7B">
        <w:rPr>
          <w:rFonts w:ascii="Times New Roman" w:hAnsi="Times New Roman" w:cs="Times New Roman"/>
          <w:sz w:val="24"/>
          <w:szCs w:val="24"/>
        </w:rPr>
        <w:t xml:space="preserve"> rural set up, they must be taken to have been living together in terms of the DVA. This is how the C</w:t>
      </w:r>
      <w:r w:rsidR="006C4328">
        <w:rPr>
          <w:rFonts w:ascii="Times New Roman" w:hAnsi="Times New Roman" w:cs="Times New Roman"/>
          <w:sz w:val="24"/>
          <w:szCs w:val="24"/>
        </w:rPr>
        <w:t>ourt below, at p</w:t>
      </w:r>
      <w:r w:rsidR="00C54F7B">
        <w:rPr>
          <w:rFonts w:ascii="Times New Roman" w:hAnsi="Times New Roman" w:cs="Times New Roman"/>
          <w:sz w:val="24"/>
          <w:szCs w:val="24"/>
        </w:rPr>
        <w:t xml:space="preserve"> 25 of the judgment, put it:</w:t>
      </w:r>
    </w:p>
    <w:p w:rsidR="00C54F7B" w:rsidRDefault="00C54F7B" w:rsidP="006C4328">
      <w:pPr>
        <w:spacing w:after="0" w:line="240" w:lineRule="auto"/>
        <w:ind w:left="720"/>
        <w:jc w:val="both"/>
        <w:rPr>
          <w:rFonts w:ascii="Times New Roman" w:hAnsi="Times New Roman" w:cs="Times New Roman"/>
        </w:rPr>
      </w:pPr>
      <w:r w:rsidRPr="006C4328">
        <w:rPr>
          <w:rFonts w:ascii="Times New Roman" w:hAnsi="Times New Roman" w:cs="Times New Roman"/>
        </w:rPr>
        <w:t xml:space="preserve">“Defence counsel had filed an exception to </w:t>
      </w:r>
      <w:r w:rsidR="001F6FEF" w:rsidRPr="006C4328">
        <w:rPr>
          <w:rFonts w:ascii="Times New Roman" w:hAnsi="Times New Roman" w:cs="Times New Roman"/>
        </w:rPr>
        <w:t>this</w:t>
      </w:r>
      <w:r w:rsidRPr="006C4328">
        <w:rPr>
          <w:rFonts w:ascii="Times New Roman" w:hAnsi="Times New Roman" w:cs="Times New Roman"/>
        </w:rPr>
        <w:t xml:space="preserve"> fact and indicated that the </w:t>
      </w:r>
      <w:r w:rsidR="00853B29" w:rsidRPr="006C4328">
        <w:rPr>
          <w:rFonts w:ascii="Times New Roman" w:hAnsi="Times New Roman" w:cs="Times New Roman"/>
        </w:rPr>
        <w:t>accused</w:t>
      </w:r>
      <w:r w:rsidRPr="006C4328">
        <w:rPr>
          <w:rFonts w:ascii="Times New Roman" w:hAnsi="Times New Roman" w:cs="Times New Roman"/>
        </w:rPr>
        <w:t xml:space="preserve"> never lived with the complainant.</w:t>
      </w:r>
      <w:r w:rsidRPr="006C4328">
        <w:rPr>
          <w:rFonts w:ascii="Times New Roman" w:hAnsi="Times New Roman" w:cs="Times New Roman"/>
          <w:u w:val="single"/>
        </w:rPr>
        <w:t xml:space="preserve"> However it is the State’s evidence that the </w:t>
      </w:r>
      <w:r w:rsidR="00853B29" w:rsidRPr="006C4328">
        <w:rPr>
          <w:rFonts w:ascii="Times New Roman" w:hAnsi="Times New Roman" w:cs="Times New Roman"/>
          <w:u w:val="single"/>
        </w:rPr>
        <w:t>accused</w:t>
      </w:r>
      <w:r w:rsidRPr="006C4328">
        <w:rPr>
          <w:rFonts w:ascii="Times New Roman" w:hAnsi="Times New Roman" w:cs="Times New Roman"/>
          <w:u w:val="single"/>
        </w:rPr>
        <w:t xml:space="preserve"> and </w:t>
      </w:r>
      <w:r w:rsidR="00853B29" w:rsidRPr="006C4328">
        <w:rPr>
          <w:rFonts w:ascii="Times New Roman" w:hAnsi="Times New Roman" w:cs="Times New Roman"/>
          <w:u w:val="single"/>
        </w:rPr>
        <w:t>complainant</w:t>
      </w:r>
      <w:r w:rsidRPr="006C4328">
        <w:rPr>
          <w:rFonts w:ascii="Times New Roman" w:hAnsi="Times New Roman" w:cs="Times New Roman"/>
          <w:u w:val="single"/>
        </w:rPr>
        <w:t xml:space="preserve"> once lived together. It was also submitted by the </w:t>
      </w:r>
      <w:r w:rsidR="00853B29" w:rsidRPr="006C4328">
        <w:rPr>
          <w:rFonts w:ascii="Times New Roman" w:hAnsi="Times New Roman" w:cs="Times New Roman"/>
          <w:u w:val="single"/>
        </w:rPr>
        <w:t>accused</w:t>
      </w:r>
      <w:r w:rsidRPr="006C4328">
        <w:rPr>
          <w:rFonts w:ascii="Times New Roman" w:hAnsi="Times New Roman" w:cs="Times New Roman"/>
          <w:u w:val="single"/>
        </w:rPr>
        <w:t xml:space="preserve"> that their homesteads are 200metres apart. Taking into account a typical rural set up, this would mean that the </w:t>
      </w:r>
      <w:r w:rsidR="00853B29" w:rsidRPr="006C4328">
        <w:rPr>
          <w:rFonts w:ascii="Times New Roman" w:hAnsi="Times New Roman" w:cs="Times New Roman"/>
          <w:u w:val="single"/>
        </w:rPr>
        <w:t xml:space="preserve">accused </w:t>
      </w:r>
      <w:r w:rsidRPr="006C4328">
        <w:rPr>
          <w:rFonts w:ascii="Times New Roman" w:hAnsi="Times New Roman" w:cs="Times New Roman"/>
          <w:u w:val="single"/>
        </w:rPr>
        <w:t xml:space="preserve">and </w:t>
      </w:r>
      <w:r w:rsidR="00853B29" w:rsidRPr="006C4328">
        <w:rPr>
          <w:rFonts w:ascii="Times New Roman" w:hAnsi="Times New Roman" w:cs="Times New Roman"/>
          <w:u w:val="single"/>
        </w:rPr>
        <w:t>complainant would encounte</w:t>
      </w:r>
      <w:r w:rsidR="005C3F2C">
        <w:rPr>
          <w:rFonts w:ascii="Times New Roman" w:hAnsi="Times New Roman" w:cs="Times New Roman"/>
          <w:u w:val="single"/>
        </w:rPr>
        <w:t xml:space="preserve">r each other on a daily basis </w:t>
      </w:r>
      <w:r w:rsidR="00853B29" w:rsidRPr="006C4328">
        <w:rPr>
          <w:rFonts w:ascii="Times New Roman" w:hAnsi="Times New Roman" w:cs="Times New Roman"/>
          <w:u w:val="single"/>
        </w:rPr>
        <w:t xml:space="preserve"> as they are in very close proximity. This would imply that they practically live at the same place.”</w:t>
      </w:r>
      <w:r w:rsidR="00853B29" w:rsidRPr="006C4328">
        <w:rPr>
          <w:rFonts w:ascii="Times New Roman" w:hAnsi="Times New Roman" w:cs="Times New Roman"/>
        </w:rPr>
        <w:t xml:space="preserve"> (the underlining is mine)</w:t>
      </w:r>
    </w:p>
    <w:p w:rsidR="006C4328" w:rsidRPr="006C4328" w:rsidRDefault="006C4328" w:rsidP="006C4328">
      <w:pPr>
        <w:spacing w:after="0" w:line="240" w:lineRule="auto"/>
        <w:ind w:left="720"/>
        <w:jc w:val="both"/>
        <w:rPr>
          <w:rFonts w:ascii="Times New Roman" w:hAnsi="Times New Roman" w:cs="Times New Roman"/>
        </w:rPr>
      </w:pPr>
    </w:p>
    <w:p w:rsidR="001D222F" w:rsidRDefault="00884C51" w:rsidP="00DB45B9">
      <w:pPr>
        <w:spacing w:after="0" w:line="360" w:lineRule="auto"/>
        <w:ind w:firstLine="720"/>
        <w:jc w:val="both"/>
        <w:rPr>
          <w:rFonts w:ascii="Times New Roman" w:hAnsi="Times New Roman" w:cs="Times New Roman"/>
          <w:sz w:val="24"/>
          <w:szCs w:val="24"/>
        </w:rPr>
      </w:pPr>
      <w:r w:rsidRPr="00884C51">
        <w:rPr>
          <w:rFonts w:ascii="Times New Roman" w:hAnsi="Times New Roman" w:cs="Times New Roman"/>
          <w:sz w:val="24"/>
          <w:szCs w:val="24"/>
        </w:rPr>
        <w:t xml:space="preserve">The </w:t>
      </w:r>
      <w:r w:rsidR="005C3F2C">
        <w:rPr>
          <w:rFonts w:ascii="Times New Roman" w:hAnsi="Times New Roman" w:cs="Times New Roman"/>
          <w:sz w:val="24"/>
          <w:szCs w:val="24"/>
        </w:rPr>
        <w:t>first ground of appeal attacks</w:t>
      </w:r>
      <w:r>
        <w:rPr>
          <w:rFonts w:ascii="Times New Roman" w:hAnsi="Times New Roman" w:cs="Times New Roman"/>
          <w:sz w:val="24"/>
          <w:szCs w:val="24"/>
        </w:rPr>
        <w:t xml:space="preserve"> the learned magistrate</w:t>
      </w:r>
      <w:r w:rsidR="00DB45B9">
        <w:rPr>
          <w:rFonts w:ascii="Times New Roman" w:hAnsi="Times New Roman" w:cs="Times New Roman"/>
          <w:sz w:val="24"/>
          <w:szCs w:val="24"/>
        </w:rPr>
        <w:t>’</w:t>
      </w:r>
      <w:r w:rsidR="005C3F2C">
        <w:rPr>
          <w:rFonts w:ascii="Times New Roman" w:hAnsi="Times New Roman" w:cs="Times New Roman"/>
          <w:sz w:val="24"/>
          <w:szCs w:val="24"/>
        </w:rPr>
        <w:t>s finding that Pardon Ta</w:t>
      </w:r>
      <w:r>
        <w:rPr>
          <w:rFonts w:ascii="Times New Roman" w:hAnsi="Times New Roman" w:cs="Times New Roman"/>
          <w:sz w:val="24"/>
          <w:szCs w:val="24"/>
        </w:rPr>
        <w:t xml:space="preserve">gama (“Pardon”) was a </w:t>
      </w:r>
      <w:r w:rsidR="006C4328">
        <w:rPr>
          <w:rFonts w:ascii="Times New Roman" w:hAnsi="Times New Roman" w:cs="Times New Roman"/>
          <w:sz w:val="24"/>
          <w:szCs w:val="24"/>
        </w:rPr>
        <w:t xml:space="preserve">complainant in terms of </w:t>
      </w:r>
      <w:r>
        <w:rPr>
          <w:rFonts w:ascii="Times New Roman" w:hAnsi="Times New Roman" w:cs="Times New Roman"/>
          <w:sz w:val="24"/>
          <w:szCs w:val="24"/>
        </w:rPr>
        <w:t>the DVA. In other words, appellant</w:t>
      </w:r>
      <w:r w:rsidR="005C3F2C">
        <w:rPr>
          <w:rFonts w:ascii="Times New Roman" w:hAnsi="Times New Roman" w:cs="Times New Roman"/>
          <w:sz w:val="24"/>
          <w:szCs w:val="24"/>
        </w:rPr>
        <w:t xml:space="preserve"> ta</w:t>
      </w:r>
      <w:r w:rsidR="00AB7116">
        <w:rPr>
          <w:rFonts w:ascii="Times New Roman" w:hAnsi="Times New Roman" w:cs="Times New Roman"/>
          <w:sz w:val="24"/>
          <w:szCs w:val="24"/>
        </w:rPr>
        <w:t>k</w:t>
      </w:r>
      <w:r w:rsidR="005C3F2C">
        <w:rPr>
          <w:rFonts w:ascii="Times New Roman" w:hAnsi="Times New Roman" w:cs="Times New Roman"/>
          <w:sz w:val="24"/>
          <w:szCs w:val="24"/>
        </w:rPr>
        <w:t>es</w:t>
      </w:r>
      <w:r w:rsidR="00AB7116">
        <w:rPr>
          <w:rFonts w:ascii="Times New Roman" w:hAnsi="Times New Roman" w:cs="Times New Roman"/>
          <w:sz w:val="24"/>
          <w:szCs w:val="24"/>
        </w:rPr>
        <w:t xml:space="preserve"> issue with the finding that </w:t>
      </w:r>
      <w:r w:rsidR="005C3F2C">
        <w:rPr>
          <w:rFonts w:ascii="Times New Roman" w:hAnsi="Times New Roman" w:cs="Times New Roman"/>
          <w:sz w:val="24"/>
          <w:szCs w:val="24"/>
        </w:rPr>
        <w:t>she</w:t>
      </w:r>
      <w:r w:rsidR="00DB45B9">
        <w:rPr>
          <w:rFonts w:ascii="Times New Roman" w:hAnsi="Times New Roman" w:cs="Times New Roman"/>
          <w:sz w:val="24"/>
          <w:szCs w:val="24"/>
        </w:rPr>
        <w:t xml:space="preserve"> once lived with Pardon and that the additional circumstance of them </w:t>
      </w:r>
      <w:r w:rsidR="005C3F2C">
        <w:rPr>
          <w:rFonts w:ascii="Times New Roman" w:hAnsi="Times New Roman" w:cs="Times New Roman"/>
          <w:sz w:val="24"/>
          <w:szCs w:val="24"/>
        </w:rPr>
        <w:t>living close to each other means</w:t>
      </w:r>
      <w:r w:rsidR="00DB45B9">
        <w:rPr>
          <w:rFonts w:ascii="Times New Roman" w:hAnsi="Times New Roman" w:cs="Times New Roman"/>
          <w:sz w:val="24"/>
          <w:szCs w:val="24"/>
        </w:rPr>
        <w:t xml:space="preserve"> that appellant was living with Pardon at the </w:t>
      </w:r>
      <w:r w:rsidR="006C4328">
        <w:rPr>
          <w:rFonts w:ascii="Times New Roman" w:hAnsi="Times New Roman" w:cs="Times New Roman"/>
          <w:sz w:val="24"/>
          <w:szCs w:val="24"/>
        </w:rPr>
        <w:t>time</w:t>
      </w:r>
      <w:r w:rsidR="00DB45B9">
        <w:rPr>
          <w:rFonts w:ascii="Times New Roman" w:hAnsi="Times New Roman" w:cs="Times New Roman"/>
          <w:sz w:val="24"/>
          <w:szCs w:val="24"/>
        </w:rPr>
        <w:t xml:space="preserve"> of the al</w:t>
      </w:r>
      <w:r w:rsidR="005C3F2C">
        <w:rPr>
          <w:rFonts w:ascii="Times New Roman" w:hAnsi="Times New Roman" w:cs="Times New Roman"/>
          <w:sz w:val="24"/>
          <w:szCs w:val="24"/>
        </w:rPr>
        <w:t>leged commission of the offence.</w:t>
      </w:r>
    </w:p>
    <w:p w:rsidR="00907E89" w:rsidRPr="00A152D6" w:rsidRDefault="00DB45B9" w:rsidP="00FB16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C4328">
        <w:rPr>
          <w:rFonts w:ascii="Times New Roman" w:hAnsi="Times New Roman" w:cs="Times New Roman"/>
          <w:i/>
          <w:sz w:val="24"/>
          <w:szCs w:val="24"/>
        </w:rPr>
        <w:t>Chiko</w:t>
      </w:r>
      <w:r w:rsidR="0052053E" w:rsidRPr="006C4328">
        <w:rPr>
          <w:rFonts w:ascii="Times New Roman" w:hAnsi="Times New Roman" w:cs="Times New Roman"/>
          <w:i/>
          <w:sz w:val="24"/>
          <w:szCs w:val="24"/>
        </w:rPr>
        <w:t>sha</w:t>
      </w:r>
      <w:r w:rsidR="0052053E">
        <w:rPr>
          <w:rFonts w:ascii="Times New Roman" w:hAnsi="Times New Roman" w:cs="Times New Roman"/>
          <w:sz w:val="24"/>
          <w:szCs w:val="24"/>
        </w:rPr>
        <w:t xml:space="preserve"> conceded that there was </w:t>
      </w:r>
      <w:r w:rsidR="00FB7218">
        <w:rPr>
          <w:rFonts w:ascii="Times New Roman" w:hAnsi="Times New Roman" w:cs="Times New Roman"/>
          <w:sz w:val="24"/>
          <w:szCs w:val="24"/>
        </w:rPr>
        <w:t>no</w:t>
      </w:r>
      <w:r w:rsidR="0052053E">
        <w:rPr>
          <w:rFonts w:ascii="Times New Roman" w:hAnsi="Times New Roman" w:cs="Times New Roman"/>
          <w:sz w:val="24"/>
          <w:szCs w:val="24"/>
        </w:rPr>
        <w:t xml:space="preserve"> evidence</w:t>
      </w:r>
      <w:r w:rsidR="005C3F2C">
        <w:rPr>
          <w:rFonts w:ascii="Times New Roman" w:hAnsi="Times New Roman" w:cs="Times New Roman"/>
          <w:sz w:val="24"/>
          <w:szCs w:val="24"/>
        </w:rPr>
        <w:t xml:space="preserve"> that appellant one lived with P</w:t>
      </w:r>
      <w:r w:rsidR="0052053E">
        <w:rPr>
          <w:rFonts w:ascii="Times New Roman" w:hAnsi="Times New Roman" w:cs="Times New Roman"/>
          <w:sz w:val="24"/>
          <w:szCs w:val="24"/>
        </w:rPr>
        <w:t xml:space="preserve">ardon. He also conceded that the learned </w:t>
      </w:r>
      <w:r w:rsidR="00FB7218">
        <w:rPr>
          <w:rFonts w:ascii="Times New Roman" w:hAnsi="Times New Roman" w:cs="Times New Roman"/>
          <w:sz w:val="24"/>
          <w:szCs w:val="24"/>
        </w:rPr>
        <w:t>magistrate</w:t>
      </w:r>
      <w:r w:rsidR="0052053E">
        <w:rPr>
          <w:rFonts w:ascii="Times New Roman" w:hAnsi="Times New Roman" w:cs="Times New Roman"/>
          <w:sz w:val="24"/>
          <w:szCs w:val="24"/>
        </w:rPr>
        <w:t xml:space="preserve"> misdirected herself on the</w:t>
      </w:r>
      <w:r w:rsidR="00907E89">
        <w:rPr>
          <w:rFonts w:ascii="Times New Roman" w:hAnsi="Times New Roman" w:cs="Times New Roman"/>
          <w:sz w:val="24"/>
          <w:szCs w:val="24"/>
        </w:rPr>
        <w:t xml:space="preserve"> e</w:t>
      </w:r>
      <w:r w:rsidR="00907E89" w:rsidRPr="00A152D6">
        <w:rPr>
          <w:rFonts w:ascii="Times New Roman" w:hAnsi="Times New Roman" w:cs="Times New Roman"/>
          <w:sz w:val="24"/>
          <w:szCs w:val="24"/>
        </w:rPr>
        <w:t xml:space="preserve">vidence by finding that appellant was living with Pardon on 2 December 2019 when all that the evidence disclosed was that the parties were neighbours. My view is that these concessions are sound. Complainant </w:t>
      </w:r>
      <w:r w:rsidR="00907E89" w:rsidRPr="00A152D6">
        <w:rPr>
          <w:rFonts w:ascii="Times New Roman" w:hAnsi="Times New Roman" w:cs="Times New Roman"/>
          <w:sz w:val="24"/>
          <w:szCs w:val="24"/>
        </w:rPr>
        <w:lastRenderedPageBreak/>
        <w:t xml:space="preserve">himself said that he did not live with appellant. It is my finding that, since the parties are not the </w:t>
      </w:r>
      <w:r w:rsidR="00907E89">
        <w:rPr>
          <w:rFonts w:ascii="Times New Roman" w:hAnsi="Times New Roman" w:cs="Times New Roman"/>
          <w:sz w:val="24"/>
          <w:szCs w:val="24"/>
        </w:rPr>
        <w:t>“</w:t>
      </w:r>
      <w:r w:rsidR="00907E89" w:rsidRPr="00A152D6">
        <w:rPr>
          <w:rFonts w:ascii="Times New Roman" w:hAnsi="Times New Roman" w:cs="Times New Roman"/>
          <w:sz w:val="24"/>
          <w:szCs w:val="24"/>
        </w:rPr>
        <w:t>complainant</w:t>
      </w:r>
      <w:r w:rsidR="00907E89">
        <w:rPr>
          <w:rFonts w:ascii="Times New Roman" w:hAnsi="Times New Roman" w:cs="Times New Roman"/>
          <w:sz w:val="24"/>
          <w:szCs w:val="24"/>
        </w:rPr>
        <w:t>”</w:t>
      </w:r>
      <w:r w:rsidR="00907E89" w:rsidRPr="00A152D6">
        <w:rPr>
          <w:rFonts w:ascii="Times New Roman" w:hAnsi="Times New Roman" w:cs="Times New Roman"/>
          <w:sz w:val="24"/>
          <w:szCs w:val="24"/>
        </w:rPr>
        <w:t xml:space="preserve"> and “respondent” contemplated in the D</w:t>
      </w:r>
      <w:r w:rsidR="00907E89">
        <w:rPr>
          <w:rFonts w:ascii="Times New Roman" w:hAnsi="Times New Roman" w:cs="Times New Roman"/>
          <w:sz w:val="24"/>
          <w:szCs w:val="24"/>
        </w:rPr>
        <w:t xml:space="preserve">omestic </w:t>
      </w:r>
      <w:r w:rsidR="00907E89" w:rsidRPr="00A152D6">
        <w:rPr>
          <w:rFonts w:ascii="Times New Roman" w:hAnsi="Times New Roman" w:cs="Times New Roman"/>
          <w:sz w:val="24"/>
          <w:szCs w:val="24"/>
        </w:rPr>
        <w:t>V</w:t>
      </w:r>
      <w:r w:rsidR="00907E89">
        <w:rPr>
          <w:rFonts w:ascii="Times New Roman" w:hAnsi="Times New Roman" w:cs="Times New Roman"/>
          <w:sz w:val="24"/>
          <w:szCs w:val="24"/>
        </w:rPr>
        <w:t xml:space="preserve">iolence </w:t>
      </w:r>
      <w:r w:rsidR="00907E89" w:rsidRPr="00A152D6">
        <w:rPr>
          <w:rFonts w:ascii="Times New Roman" w:hAnsi="Times New Roman" w:cs="Times New Roman"/>
          <w:sz w:val="24"/>
          <w:szCs w:val="24"/>
        </w:rPr>
        <w:t>A</w:t>
      </w:r>
      <w:r w:rsidR="00907E89">
        <w:rPr>
          <w:rFonts w:ascii="Times New Roman" w:hAnsi="Times New Roman" w:cs="Times New Roman"/>
          <w:sz w:val="24"/>
          <w:szCs w:val="24"/>
        </w:rPr>
        <w:t>ct</w:t>
      </w:r>
      <w:r w:rsidR="00907E89" w:rsidRPr="00A152D6">
        <w:rPr>
          <w:rFonts w:ascii="Times New Roman" w:hAnsi="Times New Roman" w:cs="Times New Roman"/>
          <w:sz w:val="24"/>
          <w:szCs w:val="24"/>
        </w:rPr>
        <w:t xml:space="preserve"> the appeal su</w:t>
      </w:r>
      <w:r w:rsidR="005C3F2C">
        <w:rPr>
          <w:rFonts w:ascii="Times New Roman" w:hAnsi="Times New Roman" w:cs="Times New Roman"/>
          <w:sz w:val="24"/>
          <w:szCs w:val="24"/>
        </w:rPr>
        <w:t>cce</w:t>
      </w:r>
      <w:r w:rsidR="004F4565">
        <w:rPr>
          <w:rFonts w:ascii="Times New Roman" w:hAnsi="Times New Roman" w:cs="Times New Roman"/>
          <w:sz w:val="24"/>
          <w:szCs w:val="24"/>
        </w:rPr>
        <w:t>eds without even adverting</w:t>
      </w:r>
      <w:r w:rsidR="00907E89" w:rsidRPr="00A152D6">
        <w:rPr>
          <w:rFonts w:ascii="Times New Roman" w:hAnsi="Times New Roman" w:cs="Times New Roman"/>
          <w:sz w:val="24"/>
          <w:szCs w:val="24"/>
        </w:rPr>
        <w:t xml:space="preserve"> to the merits of the matter.</w:t>
      </w:r>
    </w:p>
    <w:p w:rsidR="00907E89" w:rsidRPr="00A152D6" w:rsidRDefault="00907E89" w:rsidP="00907E89">
      <w:pPr>
        <w:spacing w:after="0" w:line="360" w:lineRule="auto"/>
        <w:jc w:val="both"/>
        <w:rPr>
          <w:rFonts w:ascii="Times New Roman" w:hAnsi="Times New Roman" w:cs="Times New Roman"/>
          <w:sz w:val="24"/>
          <w:szCs w:val="24"/>
        </w:rPr>
      </w:pPr>
      <w:r w:rsidRPr="00A152D6">
        <w:rPr>
          <w:rFonts w:ascii="Times New Roman" w:hAnsi="Times New Roman" w:cs="Times New Roman"/>
          <w:sz w:val="24"/>
          <w:szCs w:val="24"/>
        </w:rPr>
        <w:tab/>
        <w:t>It is necessary, however</w:t>
      </w:r>
      <w:r w:rsidR="004F4565">
        <w:rPr>
          <w:rFonts w:ascii="Times New Roman" w:hAnsi="Times New Roman" w:cs="Times New Roman"/>
          <w:sz w:val="24"/>
          <w:szCs w:val="24"/>
        </w:rPr>
        <w:t>,</w:t>
      </w:r>
      <w:r w:rsidRPr="00A152D6">
        <w:rPr>
          <w:rFonts w:ascii="Times New Roman" w:hAnsi="Times New Roman" w:cs="Times New Roman"/>
          <w:sz w:val="24"/>
          <w:szCs w:val="24"/>
        </w:rPr>
        <w:t xml:space="preserve"> to deal with </w:t>
      </w:r>
      <w:r w:rsidRPr="00A152D6">
        <w:rPr>
          <w:rFonts w:ascii="Times New Roman" w:hAnsi="Times New Roman" w:cs="Times New Roman"/>
          <w:i/>
          <w:sz w:val="24"/>
          <w:szCs w:val="24"/>
        </w:rPr>
        <w:t>Mr Chikosha’s</w:t>
      </w:r>
      <w:r w:rsidRPr="00A152D6">
        <w:rPr>
          <w:rFonts w:ascii="Times New Roman" w:hAnsi="Times New Roman" w:cs="Times New Roman"/>
          <w:sz w:val="24"/>
          <w:szCs w:val="24"/>
        </w:rPr>
        <w:t xml:space="preserve"> arguments. First</w:t>
      </w:r>
      <w:r w:rsidR="004F4565">
        <w:rPr>
          <w:rFonts w:ascii="Times New Roman" w:hAnsi="Times New Roman" w:cs="Times New Roman"/>
          <w:sz w:val="24"/>
          <w:szCs w:val="24"/>
        </w:rPr>
        <w:t>,</w:t>
      </w:r>
      <w:r w:rsidRPr="00A152D6">
        <w:rPr>
          <w:rFonts w:ascii="Times New Roman" w:hAnsi="Times New Roman" w:cs="Times New Roman"/>
          <w:sz w:val="24"/>
          <w:szCs w:val="24"/>
        </w:rPr>
        <w:t xml:space="preserve"> he argued that we should allow the appeal against conviction, substitute a verdict of not guilty and acquit on the charge preferred </w:t>
      </w:r>
      <w:r w:rsidRPr="00A152D6">
        <w:rPr>
          <w:rFonts w:ascii="Times New Roman" w:hAnsi="Times New Roman" w:cs="Times New Roman"/>
          <w:i/>
          <w:sz w:val="24"/>
          <w:szCs w:val="24"/>
        </w:rPr>
        <w:t>a quo</w:t>
      </w:r>
      <w:r w:rsidRPr="00A152D6">
        <w:rPr>
          <w:rFonts w:ascii="Times New Roman" w:hAnsi="Times New Roman" w:cs="Times New Roman"/>
          <w:sz w:val="24"/>
          <w:szCs w:val="24"/>
        </w:rPr>
        <w:t xml:space="preserve"> and go on to convict the appellant of the offence of assault as defined in s 89(1)(a) of the Criminal Law (Codification and Reform) Act [</w:t>
      </w:r>
      <w:r w:rsidRPr="00A152D6">
        <w:rPr>
          <w:rFonts w:ascii="Times New Roman" w:hAnsi="Times New Roman" w:cs="Times New Roman"/>
          <w:i/>
          <w:sz w:val="24"/>
          <w:szCs w:val="24"/>
        </w:rPr>
        <w:t>Chapter 9:23</w:t>
      </w:r>
      <w:r w:rsidR="005C3F2C">
        <w:rPr>
          <w:rFonts w:ascii="Times New Roman" w:hAnsi="Times New Roman" w:cs="Times New Roman"/>
          <w:sz w:val="24"/>
          <w:szCs w:val="24"/>
        </w:rPr>
        <w:t>] (‘the C</w:t>
      </w:r>
      <w:r w:rsidRPr="00A152D6">
        <w:rPr>
          <w:rFonts w:ascii="Times New Roman" w:hAnsi="Times New Roman" w:cs="Times New Roman"/>
          <w:sz w:val="24"/>
          <w:szCs w:val="24"/>
        </w:rPr>
        <w:t>ode”)</w:t>
      </w:r>
      <w:r w:rsidR="004F4565">
        <w:rPr>
          <w:rFonts w:ascii="Times New Roman" w:hAnsi="Times New Roman" w:cs="Times New Roman"/>
          <w:sz w:val="24"/>
          <w:szCs w:val="24"/>
        </w:rPr>
        <w:t>.</w:t>
      </w:r>
      <w:r w:rsidRPr="00A152D6">
        <w:rPr>
          <w:rFonts w:ascii="Times New Roman" w:hAnsi="Times New Roman" w:cs="Times New Roman"/>
          <w:sz w:val="24"/>
          <w:szCs w:val="24"/>
        </w:rPr>
        <w:t xml:space="preserve"> This argument can be disposed of without deciding the correctness or otherwise of the magistrates court’s finding that appellant struck </w:t>
      </w:r>
      <w:r>
        <w:rPr>
          <w:rFonts w:ascii="Times New Roman" w:hAnsi="Times New Roman" w:cs="Times New Roman"/>
          <w:sz w:val="24"/>
          <w:szCs w:val="24"/>
        </w:rPr>
        <w:t>P</w:t>
      </w:r>
      <w:r w:rsidRPr="00A152D6">
        <w:rPr>
          <w:rFonts w:ascii="Times New Roman" w:hAnsi="Times New Roman" w:cs="Times New Roman"/>
          <w:sz w:val="24"/>
          <w:szCs w:val="24"/>
        </w:rPr>
        <w:t xml:space="preserve">ardon several times with an iron bar on the forehead. It is true </w:t>
      </w:r>
      <w:r w:rsidR="005C3F2C">
        <w:rPr>
          <w:rFonts w:ascii="Times New Roman" w:hAnsi="Times New Roman" w:cs="Times New Roman"/>
          <w:sz w:val="24"/>
          <w:szCs w:val="24"/>
        </w:rPr>
        <w:t xml:space="preserve">that </w:t>
      </w:r>
      <w:r>
        <w:rPr>
          <w:rFonts w:ascii="Times New Roman" w:hAnsi="Times New Roman" w:cs="Times New Roman"/>
          <w:sz w:val="24"/>
          <w:szCs w:val="24"/>
        </w:rPr>
        <w:t>in</w:t>
      </w:r>
      <w:r w:rsidRPr="00A152D6">
        <w:rPr>
          <w:rFonts w:ascii="Times New Roman" w:hAnsi="Times New Roman" w:cs="Times New Roman"/>
          <w:sz w:val="24"/>
          <w:szCs w:val="24"/>
        </w:rPr>
        <w:t xml:space="preserve"> the review judgment </w:t>
      </w:r>
      <w:r>
        <w:rPr>
          <w:rFonts w:ascii="Times New Roman" w:hAnsi="Times New Roman" w:cs="Times New Roman"/>
          <w:sz w:val="24"/>
          <w:szCs w:val="24"/>
        </w:rPr>
        <w:t>in</w:t>
      </w:r>
      <w:r w:rsidRPr="00A152D6">
        <w:rPr>
          <w:rFonts w:ascii="Times New Roman" w:hAnsi="Times New Roman" w:cs="Times New Roman"/>
          <w:sz w:val="24"/>
          <w:szCs w:val="24"/>
        </w:rPr>
        <w:t xml:space="preserve"> </w:t>
      </w:r>
      <w:r w:rsidRPr="00E2322B">
        <w:rPr>
          <w:rFonts w:ascii="Times New Roman" w:hAnsi="Times New Roman" w:cs="Times New Roman"/>
          <w:i/>
          <w:sz w:val="24"/>
          <w:szCs w:val="24"/>
        </w:rPr>
        <w:t>S</w:t>
      </w:r>
      <w:r w:rsidRPr="00A152D6">
        <w:rPr>
          <w:rFonts w:ascii="Times New Roman" w:hAnsi="Times New Roman" w:cs="Times New Roman"/>
          <w:sz w:val="24"/>
          <w:szCs w:val="24"/>
        </w:rPr>
        <w:t xml:space="preserve"> v </w:t>
      </w:r>
      <w:r w:rsidRPr="00E2322B">
        <w:rPr>
          <w:rFonts w:ascii="Times New Roman" w:hAnsi="Times New Roman" w:cs="Times New Roman"/>
          <w:i/>
          <w:sz w:val="24"/>
          <w:szCs w:val="24"/>
        </w:rPr>
        <w:t xml:space="preserve">Madyambudzi </w:t>
      </w:r>
      <w:r w:rsidRPr="00A152D6">
        <w:rPr>
          <w:rFonts w:ascii="Times New Roman" w:hAnsi="Times New Roman" w:cs="Times New Roman"/>
          <w:sz w:val="24"/>
          <w:szCs w:val="24"/>
        </w:rPr>
        <w:t xml:space="preserve">(supra) this court substituted a conviction of s 3 (1)(a) as read with s 4(1) of the Domestic Violence Act with one of assault </w:t>
      </w:r>
      <w:r w:rsidR="005C3F2C">
        <w:rPr>
          <w:rFonts w:ascii="Times New Roman" w:hAnsi="Times New Roman" w:cs="Times New Roman"/>
          <w:sz w:val="24"/>
          <w:szCs w:val="24"/>
        </w:rPr>
        <w:t>as defined in s 89(1)(a) of the C</w:t>
      </w:r>
      <w:r w:rsidRPr="00A152D6">
        <w:rPr>
          <w:rFonts w:ascii="Times New Roman" w:hAnsi="Times New Roman" w:cs="Times New Roman"/>
          <w:sz w:val="24"/>
          <w:szCs w:val="24"/>
        </w:rPr>
        <w:t>ode. It appears the court in that matter took the view</w:t>
      </w:r>
      <w:r w:rsidR="005C3F2C">
        <w:rPr>
          <w:rFonts w:ascii="Times New Roman" w:hAnsi="Times New Roman" w:cs="Times New Roman"/>
          <w:sz w:val="24"/>
          <w:szCs w:val="24"/>
        </w:rPr>
        <w:t>,</w:t>
      </w:r>
      <w:r w:rsidRPr="00A152D6">
        <w:rPr>
          <w:rFonts w:ascii="Times New Roman" w:hAnsi="Times New Roman" w:cs="Times New Roman"/>
          <w:sz w:val="24"/>
          <w:szCs w:val="24"/>
        </w:rPr>
        <w:t xml:space="preserve"> on the facts befo</w:t>
      </w:r>
      <w:r>
        <w:rPr>
          <w:rFonts w:ascii="Times New Roman" w:hAnsi="Times New Roman" w:cs="Times New Roman"/>
          <w:sz w:val="24"/>
          <w:szCs w:val="24"/>
        </w:rPr>
        <w:t>r</w:t>
      </w:r>
      <w:r w:rsidRPr="00A152D6">
        <w:rPr>
          <w:rFonts w:ascii="Times New Roman" w:hAnsi="Times New Roman" w:cs="Times New Roman"/>
          <w:sz w:val="24"/>
          <w:szCs w:val="24"/>
        </w:rPr>
        <w:t>e it, that the offence disclosed was a cont</w:t>
      </w:r>
      <w:r w:rsidR="005C3F2C">
        <w:rPr>
          <w:rFonts w:ascii="Times New Roman" w:hAnsi="Times New Roman" w:cs="Times New Roman"/>
          <w:sz w:val="24"/>
          <w:szCs w:val="24"/>
        </w:rPr>
        <w:t>ravention of s 89(1)(a) of the C</w:t>
      </w:r>
      <w:r w:rsidRPr="00A152D6">
        <w:rPr>
          <w:rFonts w:ascii="Times New Roman" w:hAnsi="Times New Roman" w:cs="Times New Roman"/>
          <w:sz w:val="24"/>
          <w:szCs w:val="24"/>
        </w:rPr>
        <w:t xml:space="preserve">ode and not s 3(1)(a) as read with s 4(1) of the Domestic Violence Act. I do not think </w:t>
      </w:r>
      <w:r w:rsidRPr="00907E89">
        <w:rPr>
          <w:rFonts w:ascii="Times New Roman" w:hAnsi="Times New Roman" w:cs="Times New Roman"/>
          <w:sz w:val="24"/>
          <w:szCs w:val="24"/>
        </w:rPr>
        <w:t>Mr</w:t>
      </w:r>
      <w:r w:rsidRPr="00E2322B">
        <w:rPr>
          <w:rFonts w:ascii="Times New Roman" w:hAnsi="Times New Roman" w:cs="Times New Roman"/>
          <w:i/>
          <w:sz w:val="24"/>
          <w:szCs w:val="24"/>
        </w:rPr>
        <w:t xml:space="preserve"> Chikosha’s</w:t>
      </w:r>
      <w:r w:rsidRPr="00A152D6">
        <w:rPr>
          <w:rFonts w:ascii="Times New Roman" w:hAnsi="Times New Roman" w:cs="Times New Roman"/>
          <w:sz w:val="24"/>
          <w:szCs w:val="24"/>
        </w:rPr>
        <w:t xml:space="preserve"> reliance on </w:t>
      </w:r>
      <w:r w:rsidRPr="00E2322B">
        <w:rPr>
          <w:rFonts w:ascii="Times New Roman" w:hAnsi="Times New Roman" w:cs="Times New Roman"/>
          <w:i/>
          <w:sz w:val="24"/>
          <w:szCs w:val="24"/>
        </w:rPr>
        <w:t>S</w:t>
      </w:r>
      <w:r w:rsidRPr="00A152D6">
        <w:rPr>
          <w:rFonts w:ascii="Times New Roman" w:hAnsi="Times New Roman" w:cs="Times New Roman"/>
          <w:sz w:val="24"/>
          <w:szCs w:val="24"/>
        </w:rPr>
        <w:t xml:space="preserve"> v </w:t>
      </w:r>
      <w:r w:rsidRPr="00E2322B">
        <w:rPr>
          <w:rFonts w:ascii="Times New Roman" w:hAnsi="Times New Roman" w:cs="Times New Roman"/>
          <w:i/>
          <w:sz w:val="24"/>
          <w:szCs w:val="24"/>
        </w:rPr>
        <w:t>Madyambudzi</w:t>
      </w:r>
      <w:r w:rsidRPr="00A152D6">
        <w:rPr>
          <w:rFonts w:ascii="Times New Roman" w:hAnsi="Times New Roman" w:cs="Times New Roman"/>
          <w:sz w:val="24"/>
          <w:szCs w:val="24"/>
        </w:rPr>
        <w:t xml:space="preserve"> is apposite for a v</w:t>
      </w:r>
      <w:r>
        <w:rPr>
          <w:rFonts w:ascii="Times New Roman" w:hAnsi="Times New Roman" w:cs="Times New Roman"/>
          <w:sz w:val="24"/>
          <w:szCs w:val="24"/>
        </w:rPr>
        <w:t>a</w:t>
      </w:r>
      <w:r w:rsidRPr="00A152D6">
        <w:rPr>
          <w:rFonts w:ascii="Times New Roman" w:hAnsi="Times New Roman" w:cs="Times New Roman"/>
          <w:sz w:val="24"/>
          <w:szCs w:val="24"/>
        </w:rPr>
        <w:t>ri</w:t>
      </w:r>
      <w:r>
        <w:rPr>
          <w:rFonts w:ascii="Times New Roman" w:hAnsi="Times New Roman" w:cs="Times New Roman"/>
          <w:sz w:val="24"/>
          <w:szCs w:val="24"/>
        </w:rPr>
        <w:t>e</w:t>
      </w:r>
      <w:r w:rsidRPr="00A152D6">
        <w:rPr>
          <w:rFonts w:ascii="Times New Roman" w:hAnsi="Times New Roman" w:cs="Times New Roman"/>
          <w:sz w:val="24"/>
          <w:szCs w:val="24"/>
        </w:rPr>
        <w:t>ty of reasons. Firstly, my</w:t>
      </w:r>
      <w:r>
        <w:rPr>
          <w:rFonts w:ascii="Times New Roman" w:hAnsi="Times New Roman" w:cs="Times New Roman"/>
          <w:sz w:val="24"/>
          <w:szCs w:val="24"/>
        </w:rPr>
        <w:t xml:space="preserve"> view is that since the offence</w:t>
      </w:r>
      <w:r w:rsidRPr="00A152D6">
        <w:rPr>
          <w:rFonts w:ascii="Times New Roman" w:hAnsi="Times New Roman" w:cs="Times New Roman"/>
          <w:sz w:val="24"/>
          <w:szCs w:val="24"/>
        </w:rPr>
        <w:t xml:space="preserve"> of </w:t>
      </w:r>
      <w:r>
        <w:rPr>
          <w:rFonts w:ascii="Times New Roman" w:hAnsi="Times New Roman" w:cs="Times New Roman"/>
          <w:sz w:val="24"/>
          <w:szCs w:val="24"/>
        </w:rPr>
        <w:t>a</w:t>
      </w:r>
      <w:r w:rsidRPr="00A152D6">
        <w:rPr>
          <w:rFonts w:ascii="Times New Roman" w:hAnsi="Times New Roman" w:cs="Times New Roman"/>
          <w:sz w:val="24"/>
          <w:szCs w:val="24"/>
        </w:rPr>
        <w:t>s</w:t>
      </w:r>
      <w:r>
        <w:rPr>
          <w:rFonts w:ascii="Times New Roman" w:hAnsi="Times New Roman" w:cs="Times New Roman"/>
          <w:sz w:val="24"/>
          <w:szCs w:val="24"/>
        </w:rPr>
        <w:t>s</w:t>
      </w:r>
      <w:r w:rsidRPr="00A152D6">
        <w:rPr>
          <w:rFonts w:ascii="Times New Roman" w:hAnsi="Times New Roman" w:cs="Times New Roman"/>
          <w:sz w:val="24"/>
          <w:szCs w:val="24"/>
        </w:rPr>
        <w:t>ault, cre</w:t>
      </w:r>
      <w:r w:rsidR="005C3F2C">
        <w:rPr>
          <w:rFonts w:ascii="Times New Roman" w:hAnsi="Times New Roman" w:cs="Times New Roman"/>
          <w:sz w:val="24"/>
          <w:szCs w:val="24"/>
        </w:rPr>
        <w:t xml:space="preserve">ated </w:t>
      </w:r>
      <w:r w:rsidRPr="00A152D6">
        <w:rPr>
          <w:rFonts w:ascii="Times New Roman" w:hAnsi="Times New Roman" w:cs="Times New Roman"/>
          <w:sz w:val="24"/>
          <w:szCs w:val="24"/>
        </w:rPr>
        <w:t xml:space="preserve">under s 89(1)(a) </w:t>
      </w:r>
      <w:r>
        <w:rPr>
          <w:rFonts w:ascii="Times New Roman" w:hAnsi="Times New Roman" w:cs="Times New Roman"/>
          <w:sz w:val="24"/>
          <w:szCs w:val="24"/>
        </w:rPr>
        <w:t>o</w:t>
      </w:r>
      <w:r w:rsidR="005C3F2C">
        <w:rPr>
          <w:rFonts w:ascii="Times New Roman" w:hAnsi="Times New Roman" w:cs="Times New Roman"/>
          <w:sz w:val="24"/>
          <w:szCs w:val="24"/>
        </w:rPr>
        <w:t>f the C</w:t>
      </w:r>
      <w:r w:rsidRPr="00A152D6">
        <w:rPr>
          <w:rFonts w:ascii="Times New Roman" w:hAnsi="Times New Roman" w:cs="Times New Roman"/>
          <w:sz w:val="24"/>
          <w:szCs w:val="24"/>
        </w:rPr>
        <w:t>ode, is not a competent verdict on a charge of contravening s 3 as read with s 4(1)(a) of the Dom</w:t>
      </w:r>
      <w:r>
        <w:rPr>
          <w:rFonts w:ascii="Times New Roman" w:hAnsi="Times New Roman" w:cs="Times New Roman"/>
          <w:sz w:val="24"/>
          <w:szCs w:val="24"/>
        </w:rPr>
        <w:t>e</w:t>
      </w:r>
      <w:r w:rsidRPr="00A152D6">
        <w:rPr>
          <w:rFonts w:ascii="Times New Roman" w:hAnsi="Times New Roman" w:cs="Times New Roman"/>
          <w:sz w:val="24"/>
          <w:szCs w:val="24"/>
        </w:rPr>
        <w:t xml:space="preserve">stic Violence Act a conviction is not competent for assault. This is the same principle applied by </w:t>
      </w:r>
      <w:r w:rsidRPr="00E2322B">
        <w:rPr>
          <w:rFonts w:ascii="Times New Roman" w:hAnsi="Times New Roman" w:cs="Times New Roman"/>
          <w:smallCaps/>
          <w:sz w:val="24"/>
          <w:szCs w:val="24"/>
        </w:rPr>
        <w:t>makarau</w:t>
      </w:r>
      <w:r>
        <w:rPr>
          <w:rFonts w:ascii="Times New Roman" w:hAnsi="Times New Roman" w:cs="Times New Roman"/>
          <w:smallCaps/>
          <w:sz w:val="24"/>
          <w:szCs w:val="24"/>
        </w:rPr>
        <w:t xml:space="preserve"> </w:t>
      </w:r>
      <w:r w:rsidRPr="00E2322B">
        <w:rPr>
          <w:rFonts w:ascii="Times New Roman" w:hAnsi="Times New Roman" w:cs="Times New Roman"/>
          <w:smallCaps/>
          <w:sz w:val="24"/>
          <w:szCs w:val="24"/>
        </w:rPr>
        <w:t>j</w:t>
      </w:r>
      <w:r w:rsidRPr="00A152D6">
        <w:rPr>
          <w:rFonts w:ascii="Times New Roman" w:hAnsi="Times New Roman" w:cs="Times New Roman"/>
          <w:sz w:val="24"/>
          <w:szCs w:val="24"/>
        </w:rPr>
        <w:t xml:space="preserve"> (as she then was) with the concurrence of </w:t>
      </w:r>
      <w:r w:rsidRPr="00E2322B">
        <w:rPr>
          <w:rFonts w:ascii="Times New Roman" w:hAnsi="Times New Roman" w:cs="Times New Roman"/>
          <w:smallCaps/>
          <w:sz w:val="24"/>
          <w:szCs w:val="24"/>
        </w:rPr>
        <w:t>karwi J</w:t>
      </w:r>
      <w:r w:rsidRPr="00A152D6">
        <w:rPr>
          <w:rFonts w:ascii="Times New Roman" w:hAnsi="Times New Roman" w:cs="Times New Roman"/>
          <w:sz w:val="24"/>
          <w:szCs w:val="24"/>
        </w:rPr>
        <w:t xml:space="preserve"> in </w:t>
      </w:r>
      <w:r w:rsidRPr="00E2322B">
        <w:rPr>
          <w:rFonts w:ascii="Times New Roman" w:hAnsi="Times New Roman" w:cs="Times New Roman"/>
          <w:i/>
          <w:sz w:val="24"/>
          <w:szCs w:val="24"/>
        </w:rPr>
        <w:t>S</w:t>
      </w:r>
      <w:r w:rsidRPr="00A152D6">
        <w:rPr>
          <w:rFonts w:ascii="Times New Roman" w:hAnsi="Times New Roman" w:cs="Times New Roman"/>
          <w:sz w:val="24"/>
          <w:szCs w:val="24"/>
        </w:rPr>
        <w:t xml:space="preserve"> v </w:t>
      </w:r>
      <w:r w:rsidRPr="00E2322B">
        <w:rPr>
          <w:rFonts w:ascii="Times New Roman" w:hAnsi="Times New Roman" w:cs="Times New Roman"/>
          <w:i/>
          <w:sz w:val="24"/>
          <w:szCs w:val="24"/>
        </w:rPr>
        <w:t xml:space="preserve">Moyo </w:t>
      </w:r>
      <w:r w:rsidRPr="00A152D6">
        <w:rPr>
          <w:rFonts w:ascii="Times New Roman" w:hAnsi="Times New Roman" w:cs="Times New Roman"/>
          <w:sz w:val="24"/>
          <w:szCs w:val="24"/>
        </w:rPr>
        <w:t>2003 (1) ZLR 309 (</w:t>
      </w:r>
      <w:r>
        <w:rPr>
          <w:rFonts w:ascii="Times New Roman" w:hAnsi="Times New Roman" w:cs="Times New Roman"/>
          <w:sz w:val="24"/>
          <w:szCs w:val="24"/>
        </w:rPr>
        <w:t>H</w:t>
      </w:r>
      <w:r w:rsidRPr="00A152D6">
        <w:rPr>
          <w:rFonts w:ascii="Times New Roman" w:hAnsi="Times New Roman" w:cs="Times New Roman"/>
          <w:sz w:val="24"/>
          <w:szCs w:val="24"/>
        </w:rPr>
        <w:t>). There, at 131 D –E</w:t>
      </w:r>
      <w:r w:rsidR="005C3F2C">
        <w:rPr>
          <w:rFonts w:ascii="Times New Roman" w:hAnsi="Times New Roman" w:cs="Times New Roman"/>
          <w:sz w:val="24"/>
          <w:szCs w:val="24"/>
        </w:rPr>
        <w:t>,</w:t>
      </w:r>
      <w:r w:rsidRPr="00A152D6">
        <w:rPr>
          <w:rFonts w:ascii="Times New Roman" w:hAnsi="Times New Roman" w:cs="Times New Roman"/>
          <w:sz w:val="24"/>
          <w:szCs w:val="24"/>
        </w:rPr>
        <w:t xml:space="preserve"> HER LADYSHIP said:</w:t>
      </w:r>
    </w:p>
    <w:p w:rsidR="00907E89" w:rsidRPr="00E2322B" w:rsidRDefault="00907E89" w:rsidP="00907E89">
      <w:pPr>
        <w:spacing w:after="0" w:line="240" w:lineRule="auto"/>
        <w:ind w:left="720" w:hanging="720"/>
        <w:jc w:val="both"/>
        <w:rPr>
          <w:rFonts w:ascii="Times New Roman" w:hAnsi="Times New Roman" w:cs="Times New Roman"/>
        </w:rPr>
      </w:pPr>
      <w:r w:rsidRPr="00A152D6">
        <w:rPr>
          <w:rFonts w:ascii="Times New Roman" w:hAnsi="Times New Roman" w:cs="Times New Roman"/>
          <w:sz w:val="24"/>
          <w:szCs w:val="24"/>
        </w:rPr>
        <w:tab/>
      </w:r>
      <w:r w:rsidRPr="00E2322B">
        <w:rPr>
          <w:rFonts w:ascii="Times New Roman" w:hAnsi="Times New Roman" w:cs="Times New Roman"/>
        </w:rPr>
        <w:t>“The issue that I have to determine is whether on appeal I can substitute a conviction of contravening s 24 of the Act as the verdict. Both Mr Ndlovu and Mrs Ziyambi are agreed that I can. I am not convinced that I can.</w:t>
      </w:r>
    </w:p>
    <w:p w:rsidR="00907E89" w:rsidRDefault="00907E89" w:rsidP="00907E89">
      <w:pPr>
        <w:spacing w:after="0" w:line="240" w:lineRule="auto"/>
        <w:ind w:left="720" w:hanging="720"/>
        <w:jc w:val="both"/>
        <w:rPr>
          <w:rFonts w:ascii="Times New Roman" w:hAnsi="Times New Roman" w:cs="Times New Roman"/>
        </w:rPr>
      </w:pPr>
      <w:r w:rsidRPr="00E2322B">
        <w:rPr>
          <w:rFonts w:ascii="Times New Roman" w:hAnsi="Times New Roman" w:cs="Times New Roman"/>
        </w:rPr>
        <w:tab/>
        <w:t xml:space="preserve">The appellant was charged with the common law offence of fraud. </w:t>
      </w:r>
      <w:r>
        <w:rPr>
          <w:rFonts w:ascii="Times New Roman" w:hAnsi="Times New Roman" w:cs="Times New Roman"/>
        </w:rPr>
        <w:t>T</w:t>
      </w:r>
      <w:r w:rsidRPr="00E2322B">
        <w:rPr>
          <w:rFonts w:ascii="Times New Roman" w:hAnsi="Times New Roman" w:cs="Times New Roman"/>
        </w:rPr>
        <w:t>he evidence before the court is that she did commit another offence</w:t>
      </w:r>
      <w:r w:rsidR="005C3F2C">
        <w:rPr>
          <w:rFonts w:ascii="Times New Roman" w:hAnsi="Times New Roman" w:cs="Times New Roman"/>
        </w:rPr>
        <w:t xml:space="preserve">, </w:t>
      </w:r>
      <w:r w:rsidRPr="00E2322B">
        <w:rPr>
          <w:rFonts w:ascii="Times New Roman" w:hAnsi="Times New Roman" w:cs="Times New Roman"/>
        </w:rPr>
        <w:t xml:space="preserve">contravening s 24(b) of the War Veterans Act. </w:t>
      </w:r>
      <w:r w:rsidRPr="00E2322B">
        <w:rPr>
          <w:rFonts w:ascii="Times New Roman" w:hAnsi="Times New Roman" w:cs="Times New Roman"/>
          <w:u w:val="single"/>
        </w:rPr>
        <w:t>This statutory offence is not a competent verdict on a charge of fraud</w:t>
      </w:r>
      <w:r w:rsidRPr="00E2322B">
        <w:rPr>
          <w:rFonts w:ascii="Times New Roman" w:hAnsi="Times New Roman" w:cs="Times New Roman"/>
        </w:rPr>
        <w:t>” (underlining is mine for emphasis)</w:t>
      </w:r>
    </w:p>
    <w:p w:rsidR="00907E89" w:rsidRPr="00E2322B" w:rsidRDefault="00907E89" w:rsidP="00907E89">
      <w:pPr>
        <w:spacing w:after="0" w:line="240" w:lineRule="auto"/>
        <w:ind w:left="720" w:hanging="720"/>
        <w:jc w:val="both"/>
        <w:rPr>
          <w:rFonts w:ascii="Times New Roman" w:hAnsi="Times New Roman" w:cs="Times New Roman"/>
        </w:rPr>
      </w:pPr>
    </w:p>
    <w:p w:rsidR="00907E89" w:rsidRPr="00A152D6" w:rsidRDefault="00907E89" w:rsidP="00907E89">
      <w:pPr>
        <w:spacing w:after="0" w:line="360" w:lineRule="auto"/>
        <w:jc w:val="both"/>
        <w:rPr>
          <w:rFonts w:ascii="Times New Roman" w:hAnsi="Times New Roman" w:cs="Times New Roman"/>
          <w:sz w:val="24"/>
          <w:szCs w:val="24"/>
        </w:rPr>
      </w:pPr>
      <w:r w:rsidRPr="00A152D6">
        <w:rPr>
          <w:rFonts w:ascii="Times New Roman" w:hAnsi="Times New Roman" w:cs="Times New Roman"/>
          <w:sz w:val="24"/>
          <w:szCs w:val="24"/>
        </w:rPr>
        <w:tab/>
        <w:t xml:space="preserve">In the instant appeal the statutory offence of </w:t>
      </w:r>
      <w:r>
        <w:rPr>
          <w:rFonts w:ascii="Times New Roman" w:hAnsi="Times New Roman" w:cs="Times New Roman"/>
          <w:sz w:val="24"/>
          <w:szCs w:val="24"/>
        </w:rPr>
        <w:t>as</w:t>
      </w:r>
      <w:r w:rsidRPr="00A152D6">
        <w:rPr>
          <w:rFonts w:ascii="Times New Roman" w:hAnsi="Times New Roman" w:cs="Times New Roman"/>
          <w:sz w:val="24"/>
          <w:szCs w:val="24"/>
        </w:rPr>
        <w:t>sault</w:t>
      </w:r>
      <w:r w:rsidR="005C3F2C">
        <w:rPr>
          <w:rFonts w:ascii="Times New Roman" w:hAnsi="Times New Roman" w:cs="Times New Roman"/>
          <w:sz w:val="24"/>
          <w:szCs w:val="24"/>
        </w:rPr>
        <w:t xml:space="preserve"> under section 89(1)(a) of the C</w:t>
      </w:r>
      <w:r w:rsidRPr="00A152D6">
        <w:rPr>
          <w:rFonts w:ascii="Times New Roman" w:hAnsi="Times New Roman" w:cs="Times New Roman"/>
          <w:sz w:val="24"/>
          <w:szCs w:val="24"/>
        </w:rPr>
        <w:t>ode is not a competent verdict on a charge of contravening the statutory crime of physical abuse as defined in s 3 as read with s 4(1)(a) of the  Domesti</w:t>
      </w:r>
      <w:r>
        <w:rPr>
          <w:rFonts w:ascii="Times New Roman" w:hAnsi="Times New Roman" w:cs="Times New Roman"/>
          <w:sz w:val="24"/>
          <w:szCs w:val="24"/>
        </w:rPr>
        <w:t>c</w:t>
      </w:r>
      <w:r w:rsidRPr="00A152D6">
        <w:rPr>
          <w:rFonts w:ascii="Times New Roman" w:hAnsi="Times New Roman" w:cs="Times New Roman"/>
          <w:sz w:val="24"/>
          <w:szCs w:val="24"/>
        </w:rPr>
        <w:t xml:space="preserve"> Violence Act. In fact there are no comp</w:t>
      </w:r>
      <w:r>
        <w:rPr>
          <w:rFonts w:ascii="Times New Roman" w:hAnsi="Times New Roman" w:cs="Times New Roman"/>
          <w:sz w:val="24"/>
          <w:szCs w:val="24"/>
        </w:rPr>
        <w:t>e</w:t>
      </w:r>
      <w:r w:rsidRPr="00A152D6">
        <w:rPr>
          <w:rFonts w:ascii="Times New Roman" w:hAnsi="Times New Roman" w:cs="Times New Roman"/>
          <w:sz w:val="24"/>
          <w:szCs w:val="24"/>
        </w:rPr>
        <w:t>tent verdicts on a charge of contravening s 3 as read with s 4(1)(a) of the Domestic Violence Act. Secon</w:t>
      </w:r>
      <w:r>
        <w:rPr>
          <w:rFonts w:ascii="Times New Roman" w:hAnsi="Times New Roman" w:cs="Times New Roman"/>
          <w:sz w:val="24"/>
          <w:szCs w:val="24"/>
        </w:rPr>
        <w:t>d</w:t>
      </w:r>
      <w:r w:rsidRPr="00A152D6">
        <w:rPr>
          <w:rFonts w:ascii="Times New Roman" w:hAnsi="Times New Roman" w:cs="Times New Roman"/>
          <w:sz w:val="24"/>
          <w:szCs w:val="24"/>
        </w:rPr>
        <w:t>ly, I do not think that it is correct to fall back on the provi</w:t>
      </w:r>
      <w:r>
        <w:rPr>
          <w:rFonts w:ascii="Times New Roman" w:hAnsi="Times New Roman" w:cs="Times New Roman"/>
          <w:sz w:val="24"/>
          <w:szCs w:val="24"/>
        </w:rPr>
        <w:t>s</w:t>
      </w:r>
      <w:r w:rsidRPr="00A152D6">
        <w:rPr>
          <w:rFonts w:ascii="Times New Roman" w:hAnsi="Times New Roman" w:cs="Times New Roman"/>
          <w:sz w:val="24"/>
          <w:szCs w:val="24"/>
        </w:rPr>
        <w:t xml:space="preserve">ions of another </w:t>
      </w:r>
      <w:r w:rsidR="005C3F2C">
        <w:rPr>
          <w:rFonts w:ascii="Times New Roman" w:hAnsi="Times New Roman" w:cs="Times New Roman"/>
          <w:sz w:val="24"/>
          <w:szCs w:val="24"/>
        </w:rPr>
        <w:t>statute</w:t>
      </w:r>
      <w:r w:rsidRPr="00A152D6">
        <w:rPr>
          <w:rFonts w:ascii="Times New Roman" w:hAnsi="Times New Roman" w:cs="Times New Roman"/>
          <w:sz w:val="24"/>
          <w:szCs w:val="24"/>
        </w:rPr>
        <w:t xml:space="preserve"> when it is conceded that the conviction on the statutory crime charged was wrong.</w:t>
      </w:r>
      <w:r>
        <w:rPr>
          <w:rFonts w:ascii="Times New Roman" w:hAnsi="Times New Roman" w:cs="Times New Roman"/>
          <w:sz w:val="24"/>
          <w:szCs w:val="24"/>
        </w:rPr>
        <w:t xml:space="preserve"> </w:t>
      </w:r>
      <w:r w:rsidRPr="00A152D6">
        <w:rPr>
          <w:rFonts w:ascii="Times New Roman" w:hAnsi="Times New Roman" w:cs="Times New Roman"/>
          <w:sz w:val="24"/>
          <w:szCs w:val="24"/>
        </w:rPr>
        <w:t xml:space="preserve">Although the court was </w:t>
      </w:r>
      <w:r w:rsidR="005C3F2C">
        <w:rPr>
          <w:rFonts w:ascii="Times New Roman" w:hAnsi="Times New Roman" w:cs="Times New Roman"/>
          <w:sz w:val="24"/>
          <w:szCs w:val="24"/>
        </w:rPr>
        <w:lastRenderedPageBreak/>
        <w:t xml:space="preserve">dealing with the issue of </w:t>
      </w:r>
      <w:r w:rsidRPr="00A152D6">
        <w:rPr>
          <w:rFonts w:ascii="Times New Roman" w:hAnsi="Times New Roman" w:cs="Times New Roman"/>
          <w:sz w:val="24"/>
          <w:szCs w:val="24"/>
        </w:rPr>
        <w:t xml:space="preserve"> </w:t>
      </w:r>
      <w:r>
        <w:rPr>
          <w:rFonts w:ascii="Times New Roman" w:hAnsi="Times New Roman" w:cs="Times New Roman"/>
          <w:sz w:val="24"/>
          <w:szCs w:val="24"/>
        </w:rPr>
        <w:t>s</w:t>
      </w:r>
      <w:r w:rsidRPr="00A152D6">
        <w:rPr>
          <w:rFonts w:ascii="Times New Roman" w:hAnsi="Times New Roman" w:cs="Times New Roman"/>
          <w:sz w:val="24"/>
          <w:szCs w:val="24"/>
        </w:rPr>
        <w:t>entence in setting aside a forfeiture order made in terms of 62(1) of the Criminal Procedure and Evidence Act [</w:t>
      </w:r>
      <w:r w:rsidRPr="00E2322B">
        <w:rPr>
          <w:rFonts w:ascii="Times New Roman" w:hAnsi="Times New Roman" w:cs="Times New Roman"/>
          <w:i/>
          <w:sz w:val="24"/>
          <w:szCs w:val="24"/>
        </w:rPr>
        <w:t>Chapter 9:07</w:t>
      </w:r>
      <w:r w:rsidRPr="00A152D6">
        <w:rPr>
          <w:rFonts w:ascii="Times New Roman" w:hAnsi="Times New Roman" w:cs="Times New Roman"/>
          <w:sz w:val="24"/>
          <w:szCs w:val="24"/>
        </w:rPr>
        <w:t>] because the penalty provision for a charge of contraven</w:t>
      </w:r>
      <w:r>
        <w:rPr>
          <w:rFonts w:ascii="Times New Roman" w:hAnsi="Times New Roman" w:cs="Times New Roman"/>
          <w:sz w:val="24"/>
          <w:szCs w:val="24"/>
        </w:rPr>
        <w:t>ing</w:t>
      </w:r>
      <w:r w:rsidR="005C3F2C">
        <w:rPr>
          <w:rFonts w:ascii="Times New Roman" w:hAnsi="Times New Roman" w:cs="Times New Roman"/>
          <w:sz w:val="24"/>
          <w:szCs w:val="24"/>
        </w:rPr>
        <w:t xml:space="preserve"> s 78(1)(a) of the F</w:t>
      </w:r>
      <w:r w:rsidRPr="00A152D6">
        <w:rPr>
          <w:rFonts w:ascii="Times New Roman" w:hAnsi="Times New Roman" w:cs="Times New Roman"/>
          <w:sz w:val="24"/>
          <w:szCs w:val="24"/>
        </w:rPr>
        <w:t>orest Act [</w:t>
      </w:r>
      <w:r w:rsidRPr="00E2322B">
        <w:rPr>
          <w:rFonts w:ascii="Times New Roman" w:hAnsi="Times New Roman" w:cs="Times New Roman"/>
          <w:i/>
          <w:sz w:val="24"/>
          <w:szCs w:val="24"/>
        </w:rPr>
        <w:t>Chapter 19:05</w:t>
      </w:r>
      <w:r w:rsidRPr="00A152D6">
        <w:rPr>
          <w:rFonts w:ascii="Times New Roman" w:hAnsi="Times New Roman" w:cs="Times New Roman"/>
          <w:sz w:val="24"/>
          <w:szCs w:val="24"/>
        </w:rPr>
        <w:t xml:space="preserve">] do not make provision for forfeiture, I still find the words of </w:t>
      </w:r>
      <w:r w:rsidRPr="00E2322B">
        <w:rPr>
          <w:rFonts w:ascii="Times New Roman" w:hAnsi="Times New Roman" w:cs="Times New Roman"/>
          <w:smallCaps/>
          <w:sz w:val="24"/>
          <w:szCs w:val="24"/>
        </w:rPr>
        <w:t>Mathonsi J</w:t>
      </w:r>
      <w:r w:rsidRPr="00A152D6">
        <w:rPr>
          <w:rFonts w:ascii="Times New Roman" w:hAnsi="Times New Roman" w:cs="Times New Roman"/>
          <w:sz w:val="24"/>
          <w:szCs w:val="24"/>
        </w:rPr>
        <w:t xml:space="preserve"> (as he then was), with whom </w:t>
      </w:r>
      <w:r w:rsidRPr="00E2322B">
        <w:rPr>
          <w:rFonts w:ascii="Times New Roman" w:hAnsi="Times New Roman" w:cs="Times New Roman"/>
          <w:smallCaps/>
          <w:sz w:val="24"/>
          <w:szCs w:val="24"/>
        </w:rPr>
        <w:t>tagu j</w:t>
      </w:r>
      <w:r w:rsidRPr="00A152D6">
        <w:rPr>
          <w:rFonts w:ascii="Times New Roman" w:hAnsi="Times New Roman" w:cs="Times New Roman"/>
          <w:sz w:val="24"/>
          <w:szCs w:val="24"/>
        </w:rPr>
        <w:t xml:space="preserve"> concurred, in </w:t>
      </w:r>
      <w:r w:rsidRPr="00E2322B">
        <w:rPr>
          <w:rFonts w:ascii="Times New Roman" w:hAnsi="Times New Roman" w:cs="Times New Roman"/>
          <w:i/>
          <w:sz w:val="24"/>
          <w:szCs w:val="24"/>
        </w:rPr>
        <w:t>S</w:t>
      </w:r>
      <w:r w:rsidRPr="00A152D6">
        <w:rPr>
          <w:rFonts w:ascii="Times New Roman" w:hAnsi="Times New Roman" w:cs="Times New Roman"/>
          <w:sz w:val="24"/>
          <w:szCs w:val="24"/>
        </w:rPr>
        <w:t xml:space="preserve"> v </w:t>
      </w:r>
      <w:r w:rsidRPr="00E2322B">
        <w:rPr>
          <w:rFonts w:ascii="Times New Roman" w:hAnsi="Times New Roman" w:cs="Times New Roman"/>
          <w:i/>
          <w:sz w:val="24"/>
          <w:szCs w:val="24"/>
        </w:rPr>
        <w:t>Chikandiwa and Others</w:t>
      </w:r>
      <w:r w:rsidRPr="00A152D6">
        <w:rPr>
          <w:rFonts w:ascii="Times New Roman" w:hAnsi="Times New Roman" w:cs="Times New Roman"/>
          <w:sz w:val="24"/>
          <w:szCs w:val="24"/>
        </w:rPr>
        <w:t xml:space="preserve"> HH 57/13 relevant in this regard. There, at pp 3 </w:t>
      </w:r>
      <w:r w:rsidR="005C3F2C">
        <w:rPr>
          <w:rFonts w:ascii="Times New Roman" w:hAnsi="Times New Roman" w:cs="Times New Roman"/>
          <w:sz w:val="24"/>
          <w:szCs w:val="24"/>
        </w:rPr>
        <w:t xml:space="preserve">-4 of the cyclostyled judgment </w:t>
      </w:r>
      <w:r w:rsidR="005C3F2C" w:rsidRPr="00A152D6">
        <w:rPr>
          <w:rFonts w:ascii="Times New Roman" w:hAnsi="Times New Roman" w:cs="Times New Roman"/>
          <w:sz w:val="24"/>
          <w:szCs w:val="24"/>
        </w:rPr>
        <w:t xml:space="preserve">HIS LORDSHIP </w:t>
      </w:r>
      <w:r w:rsidRPr="00A152D6">
        <w:rPr>
          <w:rFonts w:ascii="Times New Roman" w:hAnsi="Times New Roman" w:cs="Times New Roman"/>
          <w:sz w:val="24"/>
          <w:szCs w:val="24"/>
        </w:rPr>
        <w:t>said:</w:t>
      </w:r>
    </w:p>
    <w:p w:rsidR="00907E89" w:rsidRDefault="00907E89" w:rsidP="00907E89">
      <w:pPr>
        <w:spacing w:after="0" w:line="240" w:lineRule="auto"/>
        <w:ind w:left="630" w:hanging="630"/>
        <w:jc w:val="both"/>
        <w:rPr>
          <w:rFonts w:ascii="Times New Roman" w:hAnsi="Times New Roman" w:cs="Times New Roman"/>
        </w:rPr>
      </w:pPr>
      <w:r w:rsidRPr="00A152D6">
        <w:rPr>
          <w:rFonts w:ascii="Times New Roman" w:hAnsi="Times New Roman" w:cs="Times New Roman"/>
          <w:sz w:val="24"/>
          <w:szCs w:val="24"/>
        </w:rPr>
        <w:tab/>
      </w:r>
      <w:r w:rsidRPr="00E2322B">
        <w:rPr>
          <w:rFonts w:ascii="Times New Roman" w:hAnsi="Times New Roman" w:cs="Times New Roman"/>
        </w:rPr>
        <w:t>“Now the penalty for contravening section 78(</w:t>
      </w:r>
      <w:r>
        <w:rPr>
          <w:rFonts w:ascii="Times New Roman" w:hAnsi="Times New Roman" w:cs="Times New Roman"/>
        </w:rPr>
        <w:t>1</w:t>
      </w:r>
      <w:r w:rsidRPr="00E2322B">
        <w:rPr>
          <w:rFonts w:ascii="Times New Roman" w:hAnsi="Times New Roman" w:cs="Times New Roman"/>
        </w:rPr>
        <w:t>)(a) is set out in the Act. That penalty does not include the forfeiture of the instruments used in the commission of the offence be it the machete used to cut the f</w:t>
      </w:r>
      <w:r>
        <w:rPr>
          <w:rFonts w:ascii="Times New Roman" w:hAnsi="Times New Roman" w:cs="Times New Roman"/>
        </w:rPr>
        <w:t>i</w:t>
      </w:r>
      <w:r w:rsidRPr="00E2322B">
        <w:rPr>
          <w:rFonts w:ascii="Times New Roman" w:hAnsi="Times New Roman" w:cs="Times New Roman"/>
        </w:rPr>
        <w:t>rewood, a wheelbarrow</w:t>
      </w:r>
      <w:r w:rsidR="005C3F2C">
        <w:rPr>
          <w:rFonts w:ascii="Times New Roman" w:hAnsi="Times New Roman" w:cs="Times New Roman"/>
        </w:rPr>
        <w:t>,</w:t>
      </w:r>
      <w:r w:rsidRPr="00E2322B">
        <w:rPr>
          <w:rFonts w:ascii="Times New Roman" w:hAnsi="Times New Roman" w:cs="Times New Roman"/>
        </w:rPr>
        <w:t xml:space="preserve"> scotch cart or indeed m</w:t>
      </w:r>
      <w:r>
        <w:rPr>
          <w:rFonts w:ascii="Times New Roman" w:hAnsi="Times New Roman" w:cs="Times New Roman"/>
        </w:rPr>
        <w:t>o</w:t>
      </w:r>
      <w:r w:rsidRPr="00E2322B">
        <w:rPr>
          <w:rFonts w:ascii="Times New Roman" w:hAnsi="Times New Roman" w:cs="Times New Roman"/>
        </w:rPr>
        <w:t>tor vehicle used to carry the f</w:t>
      </w:r>
      <w:r>
        <w:rPr>
          <w:rFonts w:ascii="Times New Roman" w:hAnsi="Times New Roman" w:cs="Times New Roman"/>
        </w:rPr>
        <w:t>i</w:t>
      </w:r>
      <w:r w:rsidRPr="00E2322B">
        <w:rPr>
          <w:rFonts w:ascii="Times New Roman" w:hAnsi="Times New Roman" w:cs="Times New Roman"/>
        </w:rPr>
        <w:t xml:space="preserve">rewood. If the legislature intended to provide for the forfeiture of those items, it would have certainly said so </w:t>
      </w:r>
      <w:r>
        <w:rPr>
          <w:rFonts w:ascii="Times New Roman" w:hAnsi="Times New Roman" w:cs="Times New Roman"/>
        </w:rPr>
        <w:t xml:space="preserve">in </w:t>
      </w:r>
      <w:r w:rsidRPr="00E2322B">
        <w:rPr>
          <w:rFonts w:ascii="Times New Roman" w:hAnsi="Times New Roman" w:cs="Times New Roman"/>
        </w:rPr>
        <w:t>the penal section. It did not.</w:t>
      </w:r>
    </w:p>
    <w:p w:rsidR="00907E89" w:rsidRPr="00E2322B" w:rsidRDefault="00907E89" w:rsidP="00907E89">
      <w:pPr>
        <w:spacing w:after="0" w:line="240" w:lineRule="auto"/>
        <w:ind w:left="630" w:hanging="630"/>
        <w:jc w:val="both"/>
        <w:rPr>
          <w:rFonts w:ascii="Times New Roman" w:hAnsi="Times New Roman" w:cs="Times New Roman"/>
        </w:rPr>
      </w:pPr>
    </w:p>
    <w:p w:rsidR="00907E89" w:rsidRDefault="00907E89" w:rsidP="00907E89">
      <w:pPr>
        <w:spacing w:after="0" w:line="240" w:lineRule="auto"/>
        <w:ind w:left="630"/>
        <w:jc w:val="both"/>
        <w:rPr>
          <w:rFonts w:ascii="Times New Roman" w:hAnsi="Times New Roman" w:cs="Times New Roman"/>
        </w:rPr>
      </w:pPr>
      <w:r w:rsidRPr="00E2322B">
        <w:rPr>
          <w:rFonts w:ascii="Times New Roman" w:hAnsi="Times New Roman" w:cs="Times New Roman"/>
        </w:rPr>
        <w:t xml:space="preserve">In my view, it was not the business of the sentencing court to go beyond the penal provision and import further penalty provisions from another law </w:t>
      </w:r>
      <w:r>
        <w:rPr>
          <w:rFonts w:ascii="Times New Roman" w:hAnsi="Times New Roman" w:cs="Times New Roman"/>
        </w:rPr>
        <w:t>w</w:t>
      </w:r>
      <w:r w:rsidRPr="00E2322B">
        <w:rPr>
          <w:rFonts w:ascii="Times New Roman" w:hAnsi="Times New Roman" w:cs="Times New Roman"/>
        </w:rPr>
        <w:t>h</w:t>
      </w:r>
      <w:r>
        <w:rPr>
          <w:rFonts w:ascii="Times New Roman" w:hAnsi="Times New Roman" w:cs="Times New Roman"/>
        </w:rPr>
        <w:t>e</w:t>
      </w:r>
      <w:r w:rsidRPr="00E2322B">
        <w:rPr>
          <w:rFonts w:ascii="Times New Roman" w:hAnsi="Times New Roman" w:cs="Times New Roman"/>
        </w:rPr>
        <w:t>n the law giver had specifically provided for the punishment to be imposed against the offender. In doing so, the trial court fell into error.</w:t>
      </w:r>
    </w:p>
    <w:p w:rsidR="001A51FA" w:rsidRPr="00E2322B" w:rsidRDefault="001A51FA" w:rsidP="00907E89">
      <w:pPr>
        <w:spacing w:after="0" w:line="240" w:lineRule="auto"/>
        <w:ind w:left="630"/>
        <w:jc w:val="both"/>
        <w:rPr>
          <w:rFonts w:ascii="Times New Roman" w:hAnsi="Times New Roman" w:cs="Times New Roman"/>
        </w:rPr>
      </w:pPr>
    </w:p>
    <w:p w:rsidR="00A743AF" w:rsidRDefault="00907E89" w:rsidP="001A51FA">
      <w:pPr>
        <w:spacing w:after="0" w:line="240" w:lineRule="auto"/>
        <w:ind w:left="630"/>
        <w:jc w:val="both"/>
        <w:rPr>
          <w:rFonts w:ascii="Times New Roman" w:hAnsi="Times New Roman" w:cs="Times New Roman"/>
        </w:rPr>
      </w:pPr>
      <w:r w:rsidRPr="00E2322B">
        <w:rPr>
          <w:rFonts w:ascii="Times New Roman" w:hAnsi="Times New Roman" w:cs="Times New Roman"/>
        </w:rPr>
        <w:t>The offence committed is a sta</w:t>
      </w:r>
      <w:r w:rsidR="005C3F2C">
        <w:rPr>
          <w:rFonts w:ascii="Times New Roman" w:hAnsi="Times New Roman" w:cs="Times New Roman"/>
        </w:rPr>
        <w:t>tutory one provided for in the F</w:t>
      </w:r>
      <w:r w:rsidRPr="00E2322B">
        <w:rPr>
          <w:rFonts w:ascii="Times New Roman" w:hAnsi="Times New Roman" w:cs="Times New Roman"/>
        </w:rPr>
        <w:t>orest Act. It is undesirable</w:t>
      </w:r>
      <w:r w:rsidR="00780C75">
        <w:rPr>
          <w:rFonts w:ascii="Times New Roman" w:hAnsi="Times New Roman" w:cs="Times New Roman"/>
        </w:rPr>
        <w:t xml:space="preserve"> </w:t>
      </w:r>
      <w:r w:rsidR="001A51FA">
        <w:rPr>
          <w:rFonts w:ascii="Times New Roman" w:hAnsi="Times New Roman" w:cs="Times New Roman"/>
        </w:rPr>
        <w:t xml:space="preserve">to go further </w:t>
      </w:r>
      <w:r w:rsidR="00A743AF" w:rsidRPr="001A51FA">
        <w:rPr>
          <w:rFonts w:ascii="Times New Roman" w:hAnsi="Times New Roman" w:cs="Times New Roman"/>
        </w:rPr>
        <w:t>than the statute criminalising the conduct of the accused persons in search of further sentencing power when such power is speci</w:t>
      </w:r>
      <w:r w:rsidR="005C3F2C">
        <w:rPr>
          <w:rFonts w:ascii="Times New Roman" w:hAnsi="Times New Roman" w:cs="Times New Roman"/>
        </w:rPr>
        <w:t>fic</w:t>
      </w:r>
      <w:r w:rsidR="00A743AF" w:rsidRPr="001A51FA">
        <w:rPr>
          <w:rFonts w:ascii="Times New Roman" w:hAnsi="Times New Roman" w:cs="Times New Roman"/>
        </w:rPr>
        <w:t>ally given in the Act. Doing so leads to imposition of a penalty not envisaged by the law give</w:t>
      </w:r>
      <w:r w:rsidR="005C3F2C">
        <w:rPr>
          <w:rFonts w:ascii="Times New Roman" w:hAnsi="Times New Roman" w:cs="Times New Roman"/>
        </w:rPr>
        <w:t>r</w:t>
      </w:r>
      <w:r w:rsidR="00A743AF" w:rsidRPr="001A51FA">
        <w:rPr>
          <w:rFonts w:ascii="Times New Roman" w:hAnsi="Times New Roman" w:cs="Times New Roman"/>
        </w:rPr>
        <w:t xml:space="preserve"> and certainly leads to undue punishment.</w:t>
      </w:r>
    </w:p>
    <w:p w:rsidR="001A51FA" w:rsidRPr="001A51FA" w:rsidRDefault="001A51FA" w:rsidP="001A51FA">
      <w:pPr>
        <w:spacing w:after="0" w:line="240" w:lineRule="auto"/>
        <w:ind w:left="630"/>
        <w:jc w:val="both"/>
        <w:rPr>
          <w:rFonts w:ascii="Times New Roman" w:hAnsi="Times New Roman" w:cs="Times New Roman"/>
        </w:rPr>
      </w:pPr>
    </w:p>
    <w:p w:rsidR="00A743AF" w:rsidRDefault="00A743AF" w:rsidP="001A51FA">
      <w:pPr>
        <w:spacing w:after="0" w:line="240" w:lineRule="auto"/>
        <w:ind w:left="630"/>
        <w:jc w:val="both"/>
        <w:rPr>
          <w:rFonts w:ascii="Times New Roman" w:hAnsi="Times New Roman" w:cs="Times New Roman"/>
        </w:rPr>
      </w:pPr>
      <w:r w:rsidRPr="001A51FA">
        <w:rPr>
          <w:rFonts w:ascii="Times New Roman" w:hAnsi="Times New Roman" w:cs="Times New Roman"/>
        </w:rPr>
        <w:t>The magistrate says he had to go to s62 (1) of the Criminal Procedure and Evidence Act [</w:t>
      </w:r>
      <w:r w:rsidRPr="001A51FA">
        <w:rPr>
          <w:rFonts w:ascii="Times New Roman" w:hAnsi="Times New Roman" w:cs="Times New Roman"/>
          <w:i/>
        </w:rPr>
        <w:t>Chapter 9:07</w:t>
      </w:r>
      <w:r w:rsidRPr="001A51FA">
        <w:rPr>
          <w:rFonts w:ascii="Times New Roman" w:hAnsi="Times New Roman" w:cs="Times New Roman"/>
        </w:rPr>
        <w:t>] in order to find jurisdiction and authority to forfeit the vehicle. He does not explain why he found it necessary to do so. This was as unnecessary as it was a misdirection”.</w:t>
      </w:r>
    </w:p>
    <w:p w:rsidR="001A51FA" w:rsidRPr="001A51FA" w:rsidRDefault="001A51FA" w:rsidP="001A51FA">
      <w:pPr>
        <w:spacing w:after="0" w:line="240" w:lineRule="auto"/>
        <w:ind w:left="630"/>
        <w:jc w:val="both"/>
        <w:rPr>
          <w:rFonts w:ascii="Times New Roman" w:hAnsi="Times New Roman" w:cs="Times New Roman"/>
        </w:rPr>
      </w:pPr>
    </w:p>
    <w:p w:rsidR="00A743AF" w:rsidRDefault="00A743AF" w:rsidP="00A74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By parity of reasoning </w:t>
      </w:r>
      <w:r w:rsidR="004F4565">
        <w:rPr>
          <w:rFonts w:ascii="Times New Roman" w:hAnsi="Times New Roman" w:cs="Times New Roman"/>
          <w:sz w:val="24"/>
          <w:szCs w:val="24"/>
        </w:rPr>
        <w:t xml:space="preserve">I </w:t>
      </w:r>
      <w:r>
        <w:rPr>
          <w:rFonts w:ascii="Times New Roman" w:hAnsi="Times New Roman" w:cs="Times New Roman"/>
          <w:sz w:val="24"/>
          <w:szCs w:val="24"/>
        </w:rPr>
        <w:t>do not think that it was the intention of the legislature that where a conviction for contravening s3 as read with s4 (1) (a) of the DVA cannot be sustained on appeal be</w:t>
      </w:r>
      <w:r w:rsidR="005C3F2C">
        <w:rPr>
          <w:rFonts w:ascii="Times New Roman" w:hAnsi="Times New Roman" w:cs="Times New Roman"/>
          <w:sz w:val="24"/>
          <w:szCs w:val="24"/>
        </w:rPr>
        <w:t>cause the elements of the offenc</w:t>
      </w:r>
      <w:r>
        <w:rPr>
          <w:rFonts w:ascii="Times New Roman" w:hAnsi="Times New Roman" w:cs="Times New Roman"/>
          <w:sz w:val="24"/>
          <w:szCs w:val="24"/>
        </w:rPr>
        <w:t>e of physical abuse are found to be conspicuous by their absence then the court should set aside that conviction and go on to substitute a conviction for another statutory offence for which no charge was preferred (s 89 (1)(a) of the Co</w:t>
      </w:r>
      <w:r w:rsidR="005C3F2C">
        <w:rPr>
          <w:rFonts w:ascii="Times New Roman" w:hAnsi="Times New Roman" w:cs="Times New Roman"/>
          <w:sz w:val="24"/>
          <w:szCs w:val="24"/>
        </w:rPr>
        <w:t>de). The preamble to the DVA mak</w:t>
      </w:r>
      <w:r>
        <w:rPr>
          <w:rFonts w:ascii="Times New Roman" w:hAnsi="Times New Roman" w:cs="Times New Roman"/>
          <w:sz w:val="24"/>
          <w:szCs w:val="24"/>
        </w:rPr>
        <w:t>es it clear that the statute is law:</w:t>
      </w:r>
    </w:p>
    <w:p w:rsidR="00A743AF" w:rsidRDefault="00A743AF" w:rsidP="00A743AF">
      <w:pPr>
        <w:spacing w:after="0" w:line="240" w:lineRule="auto"/>
        <w:ind w:left="720"/>
        <w:jc w:val="both"/>
        <w:rPr>
          <w:rFonts w:ascii="Times New Roman" w:hAnsi="Times New Roman" w:cs="Times New Roman"/>
        </w:rPr>
      </w:pPr>
      <w:r>
        <w:rPr>
          <w:rFonts w:ascii="Times New Roman" w:hAnsi="Times New Roman" w:cs="Times New Roman"/>
        </w:rPr>
        <w:t>“To make provision for the protection and relief of victims of domestic violence and to provide for matters connected with or incidental to the foregoing”.</w:t>
      </w:r>
    </w:p>
    <w:p w:rsidR="00A743AF" w:rsidRDefault="00A743AF" w:rsidP="00A743AF">
      <w:pPr>
        <w:spacing w:after="0" w:line="240" w:lineRule="auto"/>
        <w:ind w:left="720"/>
        <w:jc w:val="both"/>
        <w:rPr>
          <w:rFonts w:ascii="Times New Roman" w:hAnsi="Times New Roman" w:cs="Times New Roman"/>
        </w:rPr>
      </w:pPr>
    </w:p>
    <w:p w:rsidR="00A743AF" w:rsidRDefault="00A743AF" w:rsidP="00A743AF">
      <w:pPr>
        <w:spacing w:after="0" w:line="360" w:lineRule="auto"/>
        <w:ind w:firstLine="720"/>
        <w:jc w:val="both"/>
        <w:rPr>
          <w:rFonts w:ascii="Times New Roman" w:hAnsi="Times New Roman" w:cs="Times New Roman"/>
          <w:sz w:val="24"/>
          <w:szCs w:val="24"/>
        </w:rPr>
      </w:pPr>
      <w:r w:rsidRPr="00A91C1E">
        <w:rPr>
          <w:rFonts w:ascii="Times New Roman" w:hAnsi="Times New Roman" w:cs="Times New Roman"/>
          <w:sz w:val="24"/>
          <w:szCs w:val="24"/>
        </w:rPr>
        <w:t>In enacting the DVA and creating the offence of physical abuse, the legislature was</w:t>
      </w:r>
      <w:r>
        <w:rPr>
          <w:rFonts w:ascii="Times New Roman" w:hAnsi="Times New Roman" w:cs="Times New Roman"/>
          <w:sz w:val="24"/>
          <w:szCs w:val="24"/>
        </w:rPr>
        <w:t xml:space="preserve"> aware of the existence of the then common law offences of assault and assault with intention to do grievous bodily harm. Indeed, the same legislature, after enacting the DVA in 2007 went on to codify and ref</w:t>
      </w:r>
      <w:r w:rsidR="005C3F2C">
        <w:rPr>
          <w:rFonts w:ascii="Times New Roman" w:hAnsi="Times New Roman" w:cs="Times New Roman"/>
          <w:sz w:val="24"/>
          <w:szCs w:val="24"/>
        </w:rPr>
        <w:t>orm the criminal law under the C</w:t>
      </w:r>
      <w:r>
        <w:rPr>
          <w:rFonts w:ascii="Times New Roman" w:hAnsi="Times New Roman" w:cs="Times New Roman"/>
          <w:sz w:val="24"/>
          <w:szCs w:val="24"/>
        </w:rPr>
        <w:t>ode but still left the DVA existing as law.</w:t>
      </w:r>
    </w:p>
    <w:p w:rsidR="00A743AF" w:rsidRDefault="00A743AF" w:rsidP="00A74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 must</w:t>
      </w:r>
      <w:r w:rsidR="00A30100">
        <w:rPr>
          <w:rFonts w:ascii="Times New Roman" w:hAnsi="Times New Roman" w:cs="Times New Roman"/>
          <w:sz w:val="24"/>
          <w:szCs w:val="24"/>
        </w:rPr>
        <w:t xml:space="preserve"> simply prefer the</w:t>
      </w:r>
      <w:r>
        <w:rPr>
          <w:rFonts w:ascii="Times New Roman" w:hAnsi="Times New Roman" w:cs="Times New Roman"/>
          <w:sz w:val="24"/>
          <w:szCs w:val="24"/>
        </w:rPr>
        <w:t xml:space="preserve"> correct charge on the facts of any particular case. See </w:t>
      </w:r>
      <w:r w:rsidRPr="00A91C1E">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A91C1E">
        <w:rPr>
          <w:rFonts w:ascii="Times New Roman" w:hAnsi="Times New Roman" w:cs="Times New Roman"/>
          <w:i/>
          <w:sz w:val="24"/>
          <w:szCs w:val="24"/>
        </w:rPr>
        <w:t>Shonhiwa</w:t>
      </w:r>
      <w:r>
        <w:rPr>
          <w:rFonts w:ascii="Times New Roman" w:hAnsi="Times New Roman" w:cs="Times New Roman"/>
          <w:sz w:val="24"/>
          <w:szCs w:val="24"/>
        </w:rPr>
        <w:t xml:space="preserve"> 2015 (2) ZLR 436 (H).</w:t>
      </w:r>
    </w:p>
    <w:p w:rsidR="00A743AF" w:rsidRDefault="00A743AF" w:rsidP="00A74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A91C1E">
        <w:rPr>
          <w:rFonts w:ascii="Times New Roman" w:hAnsi="Times New Roman" w:cs="Times New Roman"/>
          <w:i/>
          <w:sz w:val="24"/>
          <w:szCs w:val="24"/>
        </w:rPr>
        <w:t>Chikosha</w:t>
      </w:r>
      <w:r>
        <w:rPr>
          <w:rFonts w:ascii="Times New Roman" w:hAnsi="Times New Roman" w:cs="Times New Roman"/>
          <w:sz w:val="24"/>
          <w:szCs w:val="24"/>
        </w:rPr>
        <w:t xml:space="preserve"> also urged us to substitute a conviction for contravening s89 (1) (a) of the Code on the basis that although Pardon and the appellant were not</w:t>
      </w:r>
      <w:r w:rsidR="00A30100">
        <w:rPr>
          <w:rFonts w:ascii="Times New Roman" w:hAnsi="Times New Roman" w:cs="Times New Roman"/>
          <w:sz w:val="24"/>
          <w:szCs w:val="24"/>
        </w:rPr>
        <w:t>,</w:t>
      </w:r>
      <w:r>
        <w:rPr>
          <w:rFonts w:ascii="Times New Roman" w:hAnsi="Times New Roman" w:cs="Times New Roman"/>
          <w:sz w:val="24"/>
          <w:szCs w:val="24"/>
        </w:rPr>
        <w:t xml:space="preserve"> respectively, complainant and respondent in terms of the DVA and therefore the conviction for physical abuse could not be sustained the fact that a finding was made that appellant assaulted Pardon means there is a part of the offence which was proved, which part is the assault. Counsel said he relied on s207 of the Criminal Procedure and Evidence Act [</w:t>
      </w:r>
      <w:r w:rsidRPr="003866C3">
        <w:rPr>
          <w:rFonts w:ascii="Times New Roman" w:hAnsi="Times New Roman" w:cs="Times New Roman"/>
          <w:i/>
          <w:sz w:val="24"/>
          <w:szCs w:val="24"/>
        </w:rPr>
        <w:t>Chapter 9:07</w:t>
      </w:r>
      <w:r>
        <w:rPr>
          <w:rFonts w:ascii="Times New Roman" w:hAnsi="Times New Roman" w:cs="Times New Roman"/>
          <w:sz w:val="24"/>
          <w:szCs w:val="24"/>
        </w:rPr>
        <w:t>] (“the CPEA”). That section reads:</w:t>
      </w:r>
    </w:p>
    <w:p w:rsidR="00A743AF" w:rsidRDefault="00A743AF" w:rsidP="00A743A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207 Conviction for part of crime charged. For the avoidance of doubt it is declared that where a court finds that part but not all of the facts of</w:t>
      </w:r>
      <w:r w:rsidR="00A30100">
        <w:rPr>
          <w:rFonts w:ascii="Times New Roman" w:hAnsi="Times New Roman" w:cs="Times New Roman"/>
        </w:rPr>
        <w:t xml:space="preserve"> an offence charged have been </w:t>
      </w:r>
      <w:r>
        <w:rPr>
          <w:rFonts w:ascii="Times New Roman" w:hAnsi="Times New Roman" w:cs="Times New Roman"/>
        </w:rPr>
        <w:t>proved, it shall nevertheless convict the accused of that offence if the facts that are prove</w:t>
      </w:r>
      <w:r w:rsidR="00A30100">
        <w:rPr>
          <w:rFonts w:ascii="Times New Roman" w:hAnsi="Times New Roman" w:cs="Times New Roman"/>
        </w:rPr>
        <w:t>d</w:t>
      </w:r>
      <w:r>
        <w:rPr>
          <w:rFonts w:ascii="Times New Roman" w:hAnsi="Times New Roman" w:cs="Times New Roman"/>
        </w:rPr>
        <w:t xml:space="preserve"> disclose all the essential elements of that offence”.</w:t>
      </w:r>
    </w:p>
    <w:p w:rsidR="00A743AF" w:rsidRPr="003866C3" w:rsidRDefault="00A743AF" w:rsidP="00A743AF">
      <w:pPr>
        <w:spacing w:after="0" w:line="240" w:lineRule="auto"/>
        <w:ind w:left="720"/>
        <w:jc w:val="both"/>
        <w:rPr>
          <w:rFonts w:ascii="Times New Roman" w:hAnsi="Times New Roman" w:cs="Times New Roman"/>
        </w:rPr>
      </w:pPr>
    </w:p>
    <w:p w:rsidR="00A743AF" w:rsidRDefault="00A743AF" w:rsidP="00A74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A30100">
        <w:rPr>
          <w:rFonts w:ascii="Times New Roman" w:hAnsi="Times New Roman" w:cs="Times New Roman"/>
          <w:sz w:val="24"/>
          <w:szCs w:val="24"/>
        </w:rPr>
        <w:t>is</w:t>
      </w:r>
      <w:r>
        <w:rPr>
          <w:rFonts w:ascii="Times New Roman" w:hAnsi="Times New Roman" w:cs="Times New Roman"/>
          <w:sz w:val="24"/>
          <w:szCs w:val="24"/>
        </w:rPr>
        <w:t xml:space="preserve"> appeal does not require us to determine whether s207 of the CPEA empowers us to substitute a conviction for contravening s89 (1) (a) of the Code on the basis that part of the facts proved show that appellant in any event struck Pardon several times with an iron bar on the forehead. The appellant impugned the finding that he assaulted the complainant in the face of inadequate evidence to ground such a conclusion. Mr </w:t>
      </w:r>
      <w:r w:rsidRPr="003866C3">
        <w:rPr>
          <w:rFonts w:ascii="Times New Roman" w:hAnsi="Times New Roman" w:cs="Times New Roman"/>
          <w:i/>
          <w:sz w:val="24"/>
          <w:szCs w:val="24"/>
        </w:rPr>
        <w:t>Chikosha</w:t>
      </w:r>
      <w:r>
        <w:rPr>
          <w:rFonts w:ascii="Times New Roman" w:hAnsi="Times New Roman" w:cs="Times New Roman"/>
          <w:i/>
          <w:sz w:val="24"/>
          <w:szCs w:val="24"/>
        </w:rPr>
        <w:t xml:space="preserve"> </w:t>
      </w:r>
      <w:r>
        <w:rPr>
          <w:rFonts w:ascii="Times New Roman" w:hAnsi="Times New Roman" w:cs="Times New Roman"/>
          <w:sz w:val="24"/>
          <w:szCs w:val="24"/>
        </w:rPr>
        <w:t>made a number of proper concessions in this regard. First, since the alleged assault occurred in a family environment, it was vital for the prosecution to have led evidence from Life Tito (“Tito”)</w:t>
      </w:r>
      <w:r>
        <w:rPr>
          <w:rFonts w:ascii="Times New Roman" w:hAnsi="Times New Roman" w:cs="Times New Roman"/>
          <w:i/>
          <w:sz w:val="24"/>
          <w:szCs w:val="24"/>
        </w:rPr>
        <w:t xml:space="preserve">. </w:t>
      </w:r>
      <w:r w:rsidRPr="003866C3">
        <w:rPr>
          <w:rFonts w:ascii="Times New Roman" w:hAnsi="Times New Roman" w:cs="Times New Roman"/>
          <w:sz w:val="24"/>
          <w:szCs w:val="24"/>
        </w:rPr>
        <w:t>The complainant and his wife testified that it was Tito, an adult, who brought the assault to an end by wrestling the iron bar</w:t>
      </w:r>
      <w:r>
        <w:rPr>
          <w:rFonts w:ascii="Times New Roman" w:hAnsi="Times New Roman" w:cs="Times New Roman"/>
          <w:sz w:val="24"/>
          <w:szCs w:val="24"/>
        </w:rPr>
        <w:t xml:space="preserve"> from the appellant and took that weapon to the police station. Tito did not testify. No reason was given for this. The iron bar was not produced at the trial. There were</w:t>
      </w:r>
      <w:r w:rsidR="004F4565">
        <w:rPr>
          <w:rFonts w:ascii="Times New Roman" w:hAnsi="Times New Roman" w:cs="Times New Roman"/>
          <w:sz w:val="24"/>
          <w:szCs w:val="24"/>
        </w:rPr>
        <w:t xml:space="preserve"> also</w:t>
      </w:r>
      <w:r>
        <w:rPr>
          <w:rFonts w:ascii="Times New Roman" w:hAnsi="Times New Roman" w:cs="Times New Roman"/>
          <w:sz w:val="24"/>
          <w:szCs w:val="24"/>
        </w:rPr>
        <w:t xml:space="preserve"> inconsistences between the complainant and his wife on whether Kudakwashe Tagama sat on the complainant’s stomach while appellant was assaulting the complainant or whether Kudakwashe was standing behind the complainant, holding the victims’ hands, while the appellant was perpetrating the assault. In any event Kudakwashe was neither charge</w:t>
      </w:r>
      <w:r w:rsidR="00A30100">
        <w:rPr>
          <w:rFonts w:ascii="Times New Roman" w:hAnsi="Times New Roman" w:cs="Times New Roman"/>
          <w:sz w:val="24"/>
          <w:szCs w:val="24"/>
        </w:rPr>
        <w:t>d</w:t>
      </w:r>
      <w:r>
        <w:rPr>
          <w:rFonts w:ascii="Times New Roman" w:hAnsi="Times New Roman" w:cs="Times New Roman"/>
          <w:sz w:val="24"/>
          <w:szCs w:val="24"/>
        </w:rPr>
        <w:t xml:space="preserve"> nor brought to </w:t>
      </w:r>
      <w:r w:rsidR="00A30100">
        <w:rPr>
          <w:rFonts w:ascii="Times New Roman" w:hAnsi="Times New Roman" w:cs="Times New Roman"/>
          <w:sz w:val="24"/>
          <w:szCs w:val="24"/>
        </w:rPr>
        <w:t xml:space="preserve">court to </w:t>
      </w:r>
      <w:r>
        <w:rPr>
          <w:rFonts w:ascii="Times New Roman" w:hAnsi="Times New Roman" w:cs="Times New Roman"/>
          <w:sz w:val="24"/>
          <w:szCs w:val="24"/>
        </w:rPr>
        <w:t>testify for the prosecution as an accomplice witness. Complainant never said he fainted. His spouse testified that the assault perpetrated on the complainant led to the latter falling unconscious for 40 minutes. The complainant corroborated the appellant’s</w:t>
      </w:r>
      <w:r w:rsidR="00A30100">
        <w:rPr>
          <w:rFonts w:ascii="Times New Roman" w:hAnsi="Times New Roman" w:cs="Times New Roman"/>
          <w:sz w:val="24"/>
          <w:szCs w:val="24"/>
        </w:rPr>
        <w:t xml:space="preserve"> explanation that there was bad</w:t>
      </w:r>
      <w:r>
        <w:rPr>
          <w:rFonts w:ascii="Times New Roman" w:hAnsi="Times New Roman" w:cs="Times New Roman"/>
          <w:sz w:val="24"/>
          <w:szCs w:val="24"/>
        </w:rPr>
        <w:t xml:space="preserve"> blood between him and the appellant emanating from the former accusing the latter of bewitching Precious Matamba, the complainant’s spouse. Appellant explained that the allegations of assault were false, having been </w:t>
      </w:r>
      <w:r w:rsidR="00A30100">
        <w:rPr>
          <w:rFonts w:ascii="Times New Roman" w:hAnsi="Times New Roman" w:cs="Times New Roman"/>
          <w:sz w:val="24"/>
          <w:szCs w:val="24"/>
        </w:rPr>
        <w:lastRenderedPageBreak/>
        <w:t>raised</w:t>
      </w:r>
      <w:r>
        <w:rPr>
          <w:rFonts w:ascii="Times New Roman" w:hAnsi="Times New Roman" w:cs="Times New Roman"/>
          <w:sz w:val="24"/>
          <w:szCs w:val="24"/>
        </w:rPr>
        <w:t xml:space="preserve"> only because of the strained relationship between the parties. Despite initiall</w:t>
      </w:r>
      <w:r w:rsidR="004F4565">
        <w:rPr>
          <w:rFonts w:ascii="Times New Roman" w:hAnsi="Times New Roman" w:cs="Times New Roman"/>
          <w:sz w:val="24"/>
          <w:szCs w:val="24"/>
        </w:rPr>
        <w:t>y denying knowledge of such</w:t>
      </w:r>
      <w:r w:rsidR="00A30100">
        <w:rPr>
          <w:rFonts w:ascii="Times New Roman" w:hAnsi="Times New Roman" w:cs="Times New Roman"/>
          <w:sz w:val="24"/>
          <w:szCs w:val="24"/>
        </w:rPr>
        <w:t xml:space="preserve"> ba</w:t>
      </w:r>
      <w:r>
        <w:rPr>
          <w:rFonts w:ascii="Times New Roman" w:hAnsi="Times New Roman" w:cs="Times New Roman"/>
          <w:sz w:val="24"/>
          <w:szCs w:val="24"/>
        </w:rPr>
        <w:t>d blood, the complainant’s wife conceded under cross examination</w:t>
      </w:r>
      <w:r w:rsidR="00A30100">
        <w:rPr>
          <w:rFonts w:ascii="Times New Roman" w:hAnsi="Times New Roman" w:cs="Times New Roman"/>
          <w:sz w:val="24"/>
          <w:szCs w:val="24"/>
        </w:rPr>
        <w:t xml:space="preserve"> that indeed there was ba</w:t>
      </w:r>
      <w:r>
        <w:rPr>
          <w:rFonts w:ascii="Times New Roman" w:hAnsi="Times New Roman" w:cs="Times New Roman"/>
          <w:sz w:val="24"/>
          <w:szCs w:val="24"/>
        </w:rPr>
        <w:t xml:space="preserve">d </w:t>
      </w:r>
      <w:r w:rsidR="004F4565">
        <w:rPr>
          <w:rFonts w:ascii="Times New Roman" w:hAnsi="Times New Roman" w:cs="Times New Roman"/>
          <w:sz w:val="24"/>
          <w:szCs w:val="24"/>
        </w:rPr>
        <w:t xml:space="preserve">blood </w:t>
      </w:r>
      <w:r>
        <w:rPr>
          <w:rFonts w:ascii="Times New Roman" w:hAnsi="Times New Roman" w:cs="Times New Roman"/>
          <w:sz w:val="24"/>
          <w:szCs w:val="24"/>
        </w:rPr>
        <w:t>between the appellant and complainant.</w:t>
      </w:r>
    </w:p>
    <w:p w:rsidR="00A743AF" w:rsidRDefault="00A743AF" w:rsidP="00A74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the appellant contended that the court </w:t>
      </w:r>
      <w:r w:rsidRPr="003D72BB">
        <w:rPr>
          <w:rFonts w:ascii="Times New Roman" w:hAnsi="Times New Roman" w:cs="Times New Roman"/>
          <w:i/>
          <w:sz w:val="24"/>
          <w:szCs w:val="24"/>
        </w:rPr>
        <w:t>a quo</w:t>
      </w:r>
      <w:r>
        <w:rPr>
          <w:rFonts w:ascii="Times New Roman" w:hAnsi="Times New Roman" w:cs="Times New Roman"/>
          <w:sz w:val="24"/>
          <w:szCs w:val="24"/>
        </w:rPr>
        <w:t xml:space="preserve"> erred in rejecting his defence. That defence was this</w:t>
      </w:r>
      <w:r w:rsidR="00A30100">
        <w:rPr>
          <w:rFonts w:ascii="Times New Roman" w:hAnsi="Times New Roman" w:cs="Times New Roman"/>
          <w:sz w:val="24"/>
          <w:szCs w:val="24"/>
        </w:rPr>
        <w:t>.</w:t>
      </w:r>
      <w:r>
        <w:rPr>
          <w:rFonts w:ascii="Times New Roman" w:hAnsi="Times New Roman" w:cs="Times New Roman"/>
          <w:sz w:val="24"/>
          <w:szCs w:val="24"/>
        </w:rPr>
        <w:t xml:space="preserve"> </w:t>
      </w:r>
      <w:r w:rsidR="00A30100">
        <w:rPr>
          <w:rFonts w:ascii="Times New Roman" w:hAnsi="Times New Roman" w:cs="Times New Roman"/>
          <w:sz w:val="24"/>
          <w:szCs w:val="24"/>
        </w:rPr>
        <w:t>C</w:t>
      </w:r>
      <w:r>
        <w:rPr>
          <w:rFonts w:ascii="Times New Roman" w:hAnsi="Times New Roman" w:cs="Times New Roman"/>
          <w:sz w:val="24"/>
          <w:szCs w:val="24"/>
        </w:rPr>
        <w:t>omplainant arrived at appellant’s homestead. He kicked open the bedroom door. Once inside he commenced assaulting the appellant. To free herself, she pushed away the complainant. He fell onto a sewing machine, injuring himself on the face. This accounts for the multiple lacerations recorded in the medical report. Given that the same medical report was not clear the explanation tendered by the appellant was erroneously rejected as being beyond reasonable doubt false. The force used to inflict the injuries was recorded as moderate. This was mor</w:t>
      </w:r>
      <w:r w:rsidR="00A30100">
        <w:rPr>
          <w:rFonts w:ascii="Times New Roman" w:hAnsi="Times New Roman" w:cs="Times New Roman"/>
          <w:sz w:val="24"/>
          <w:szCs w:val="24"/>
        </w:rPr>
        <w:t>e in accord with the defence pro</w:t>
      </w:r>
      <w:r>
        <w:rPr>
          <w:rFonts w:ascii="Times New Roman" w:hAnsi="Times New Roman" w:cs="Times New Roman"/>
          <w:sz w:val="24"/>
          <w:szCs w:val="24"/>
        </w:rPr>
        <w:t>ferred on how the injuries ensued rather than the</w:t>
      </w:r>
      <w:r w:rsidR="00A30100">
        <w:rPr>
          <w:rFonts w:ascii="Times New Roman" w:hAnsi="Times New Roman" w:cs="Times New Roman"/>
          <w:sz w:val="24"/>
          <w:szCs w:val="24"/>
        </w:rPr>
        <w:t xml:space="preserve"> alleged</w:t>
      </w:r>
      <w:r>
        <w:rPr>
          <w:rFonts w:ascii="Times New Roman" w:hAnsi="Times New Roman" w:cs="Times New Roman"/>
          <w:sz w:val="24"/>
          <w:szCs w:val="24"/>
        </w:rPr>
        <w:t xml:space="preserve"> assault with an iron bar on the complainant’s forehead, result</w:t>
      </w:r>
      <w:r w:rsidR="00A30100">
        <w:rPr>
          <w:rFonts w:ascii="Times New Roman" w:hAnsi="Times New Roman" w:cs="Times New Roman"/>
          <w:sz w:val="24"/>
          <w:szCs w:val="24"/>
        </w:rPr>
        <w:t>ing in him falling unconscious f</w:t>
      </w:r>
      <w:r>
        <w:rPr>
          <w:rFonts w:ascii="Times New Roman" w:hAnsi="Times New Roman" w:cs="Times New Roman"/>
          <w:sz w:val="24"/>
          <w:szCs w:val="24"/>
        </w:rPr>
        <w:t xml:space="preserve">or more than half an hour. There was no possibility of permanent injury. Rather strangely, the medical report indicates that both a sharp and blunt object was used to inflict the injuries. </w:t>
      </w:r>
    </w:p>
    <w:p w:rsidR="00A743AF" w:rsidRDefault="00A743AF" w:rsidP="00A74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on the basis of the medical report that Mr </w:t>
      </w:r>
      <w:r w:rsidRPr="00367FC1">
        <w:rPr>
          <w:rFonts w:ascii="Times New Roman" w:hAnsi="Times New Roman" w:cs="Times New Roman"/>
          <w:i/>
          <w:sz w:val="24"/>
          <w:szCs w:val="24"/>
        </w:rPr>
        <w:t>Chikosha</w:t>
      </w:r>
      <w:r>
        <w:rPr>
          <w:rFonts w:ascii="Times New Roman" w:hAnsi="Times New Roman" w:cs="Times New Roman"/>
          <w:sz w:val="24"/>
          <w:szCs w:val="24"/>
        </w:rPr>
        <w:t xml:space="preserve"> supported the magistrates court’s finding that the appellant struck the complainant on the forehead using an iron bar. </w:t>
      </w:r>
    </w:p>
    <w:p w:rsidR="00A743AF" w:rsidRDefault="00A743AF" w:rsidP="00A74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consider that in view of the admitted inadequacies in the case for the prosecution, inclusive of the inadequacies of the medical report itself the trial was reduced to a boxing match pitting the appellant on the one hand against the complainant and his wife on the other. In the circumstances, even on the facts, the learned magistrate erred in finding that the appellant had assaulted the complainant in the manner alleged or at all.</w:t>
      </w:r>
    </w:p>
    <w:p w:rsidR="00A743AF" w:rsidRPr="005A55EF" w:rsidRDefault="00A743AF" w:rsidP="00A74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A55EF">
        <w:rPr>
          <w:rFonts w:ascii="Times New Roman" w:hAnsi="Times New Roman" w:cs="Times New Roman"/>
          <w:sz w:val="24"/>
          <w:szCs w:val="24"/>
        </w:rPr>
        <w:t>In the result, the following order shall issue:</w:t>
      </w:r>
    </w:p>
    <w:p w:rsidR="00A743AF" w:rsidRPr="005A55EF" w:rsidRDefault="00A743AF" w:rsidP="00A743AF">
      <w:pPr>
        <w:pStyle w:val="ListParagraph"/>
        <w:numPr>
          <w:ilvl w:val="0"/>
          <w:numId w:val="1"/>
        </w:numPr>
        <w:spacing w:after="0" w:line="360" w:lineRule="auto"/>
        <w:jc w:val="both"/>
        <w:rPr>
          <w:rFonts w:ascii="Times New Roman" w:hAnsi="Times New Roman" w:cs="Times New Roman"/>
          <w:sz w:val="24"/>
          <w:szCs w:val="24"/>
        </w:rPr>
      </w:pPr>
      <w:r w:rsidRPr="005A55EF">
        <w:rPr>
          <w:rFonts w:ascii="Times New Roman" w:hAnsi="Times New Roman" w:cs="Times New Roman"/>
          <w:sz w:val="24"/>
          <w:szCs w:val="24"/>
        </w:rPr>
        <w:t xml:space="preserve">The appeal be and is allowed. </w:t>
      </w:r>
    </w:p>
    <w:p w:rsidR="00A743AF" w:rsidRPr="005A55EF" w:rsidRDefault="00A743AF" w:rsidP="00A743AF">
      <w:pPr>
        <w:pStyle w:val="ListParagraph"/>
        <w:numPr>
          <w:ilvl w:val="0"/>
          <w:numId w:val="1"/>
        </w:numPr>
        <w:spacing w:after="0" w:line="360" w:lineRule="auto"/>
        <w:jc w:val="both"/>
        <w:rPr>
          <w:rFonts w:ascii="Times New Roman" w:hAnsi="Times New Roman" w:cs="Times New Roman"/>
          <w:sz w:val="24"/>
          <w:szCs w:val="24"/>
        </w:rPr>
      </w:pPr>
      <w:r w:rsidRPr="005A55EF">
        <w:rPr>
          <w:rFonts w:ascii="Times New Roman" w:hAnsi="Times New Roman" w:cs="Times New Roman"/>
          <w:sz w:val="24"/>
          <w:szCs w:val="24"/>
        </w:rPr>
        <w:t xml:space="preserve">The conviction is quashed and the sentence is set aside. The following is substituted: </w:t>
      </w:r>
    </w:p>
    <w:p w:rsidR="00A743AF" w:rsidRPr="005A55EF" w:rsidRDefault="00A743AF" w:rsidP="00A743AF">
      <w:pPr>
        <w:pStyle w:val="ListParagraph"/>
        <w:spacing w:after="0" w:line="360" w:lineRule="auto"/>
        <w:jc w:val="both"/>
        <w:rPr>
          <w:rFonts w:ascii="Times New Roman" w:hAnsi="Times New Roman" w:cs="Times New Roman"/>
          <w:sz w:val="24"/>
          <w:szCs w:val="24"/>
        </w:rPr>
      </w:pPr>
    </w:p>
    <w:p w:rsidR="00A743AF" w:rsidRPr="005A55EF" w:rsidRDefault="00A743AF" w:rsidP="00A743AF">
      <w:pPr>
        <w:spacing w:after="0" w:line="360" w:lineRule="auto"/>
        <w:ind w:left="360"/>
        <w:jc w:val="both"/>
        <w:rPr>
          <w:rFonts w:ascii="Times New Roman" w:hAnsi="Times New Roman" w:cs="Times New Roman"/>
          <w:sz w:val="24"/>
          <w:szCs w:val="24"/>
        </w:rPr>
      </w:pPr>
      <w:r w:rsidRPr="005A55EF">
        <w:rPr>
          <w:rFonts w:ascii="Times New Roman" w:hAnsi="Times New Roman" w:cs="Times New Roman"/>
          <w:sz w:val="24"/>
          <w:szCs w:val="24"/>
        </w:rPr>
        <w:t xml:space="preserve">“The accused is found not guilty and is acquitted.”     </w:t>
      </w:r>
    </w:p>
    <w:p w:rsidR="00A743AF" w:rsidRPr="005A55EF" w:rsidRDefault="00A743AF" w:rsidP="00A743AF">
      <w:pPr>
        <w:spacing w:after="0" w:line="360" w:lineRule="auto"/>
        <w:jc w:val="both"/>
        <w:rPr>
          <w:rFonts w:ascii="Times New Roman" w:hAnsi="Times New Roman" w:cs="Times New Roman"/>
          <w:sz w:val="24"/>
          <w:szCs w:val="24"/>
        </w:rPr>
      </w:pPr>
    </w:p>
    <w:p w:rsidR="00A743AF" w:rsidRDefault="00A743AF" w:rsidP="00A743AF">
      <w:pPr>
        <w:spacing w:after="0" w:line="360" w:lineRule="auto"/>
        <w:jc w:val="both"/>
        <w:rPr>
          <w:rFonts w:ascii="Times New Roman" w:hAnsi="Times New Roman" w:cs="Times New Roman"/>
          <w:sz w:val="24"/>
          <w:szCs w:val="24"/>
        </w:rPr>
      </w:pPr>
    </w:p>
    <w:p w:rsidR="00A743AF" w:rsidRDefault="00A743AF" w:rsidP="00A743AF">
      <w:pPr>
        <w:spacing w:after="0" w:line="360" w:lineRule="auto"/>
        <w:jc w:val="both"/>
        <w:rPr>
          <w:rFonts w:ascii="Times New Roman" w:hAnsi="Times New Roman" w:cs="Times New Roman"/>
          <w:sz w:val="24"/>
          <w:szCs w:val="24"/>
        </w:rPr>
      </w:pPr>
    </w:p>
    <w:p w:rsidR="00A743AF" w:rsidRPr="005A55EF" w:rsidRDefault="00A743AF" w:rsidP="00A743AF">
      <w:pPr>
        <w:spacing w:after="0" w:line="360" w:lineRule="auto"/>
        <w:jc w:val="both"/>
        <w:rPr>
          <w:rFonts w:ascii="Times New Roman" w:hAnsi="Times New Roman" w:cs="Times New Roman"/>
          <w:sz w:val="24"/>
          <w:szCs w:val="24"/>
        </w:rPr>
      </w:pPr>
    </w:p>
    <w:p w:rsidR="00A743AF" w:rsidRDefault="00A743AF" w:rsidP="00A743AF">
      <w:pPr>
        <w:spacing w:after="0" w:line="360" w:lineRule="auto"/>
        <w:jc w:val="both"/>
        <w:rPr>
          <w:rFonts w:ascii="Times New Roman" w:hAnsi="Times New Roman" w:cs="Times New Roman"/>
          <w:sz w:val="24"/>
          <w:szCs w:val="24"/>
        </w:rPr>
      </w:pPr>
      <w:r w:rsidRPr="007D688E">
        <w:rPr>
          <w:rFonts w:ascii="Times New Roman" w:hAnsi="Times New Roman" w:cs="Times New Roman"/>
          <w:szCs w:val="24"/>
        </w:rPr>
        <w:lastRenderedPageBreak/>
        <w:t>KWENDA J</w:t>
      </w:r>
      <w:r>
        <w:rPr>
          <w:rFonts w:ascii="Times New Roman" w:hAnsi="Times New Roman" w:cs="Times New Roman"/>
          <w:sz w:val="24"/>
          <w:szCs w:val="24"/>
        </w:rPr>
        <w:t>: Agrees…………………</w:t>
      </w:r>
      <w:r w:rsidRPr="006442C5">
        <w:rPr>
          <w:rFonts w:ascii="Times New Roman" w:hAnsi="Times New Roman" w:cs="Times New Roman"/>
          <w:sz w:val="24"/>
          <w:szCs w:val="24"/>
        </w:rPr>
        <w:t xml:space="preserve"> </w:t>
      </w:r>
    </w:p>
    <w:p w:rsidR="00A743AF" w:rsidRDefault="00A743AF" w:rsidP="00A743AF">
      <w:pPr>
        <w:spacing w:after="0" w:line="360" w:lineRule="auto"/>
        <w:jc w:val="both"/>
        <w:rPr>
          <w:rFonts w:ascii="Times New Roman" w:hAnsi="Times New Roman" w:cs="Times New Roman"/>
          <w:sz w:val="24"/>
          <w:szCs w:val="24"/>
        </w:rPr>
      </w:pPr>
    </w:p>
    <w:p w:rsidR="00A743AF" w:rsidRDefault="00A743AF" w:rsidP="00A743AF">
      <w:pPr>
        <w:spacing w:after="0" w:line="240" w:lineRule="auto"/>
        <w:jc w:val="both"/>
        <w:rPr>
          <w:rFonts w:ascii="Times New Roman" w:hAnsi="Times New Roman" w:cs="Times New Roman"/>
          <w:i/>
          <w:sz w:val="24"/>
          <w:szCs w:val="24"/>
        </w:rPr>
      </w:pPr>
    </w:p>
    <w:p w:rsidR="00A743AF" w:rsidRDefault="00A743AF" w:rsidP="00A743AF">
      <w:pPr>
        <w:spacing w:after="0" w:line="240" w:lineRule="auto"/>
        <w:jc w:val="both"/>
        <w:rPr>
          <w:rFonts w:ascii="Times New Roman" w:hAnsi="Times New Roman" w:cs="Times New Roman"/>
          <w:i/>
          <w:sz w:val="24"/>
          <w:szCs w:val="24"/>
        </w:rPr>
      </w:pPr>
    </w:p>
    <w:p w:rsidR="00A743AF" w:rsidRDefault="00A743AF" w:rsidP="00A743AF">
      <w:pPr>
        <w:spacing w:after="0" w:line="240" w:lineRule="auto"/>
        <w:jc w:val="both"/>
        <w:rPr>
          <w:rFonts w:ascii="Times New Roman" w:hAnsi="Times New Roman" w:cs="Times New Roman"/>
          <w:sz w:val="24"/>
          <w:szCs w:val="24"/>
        </w:rPr>
      </w:pPr>
      <w:r w:rsidRPr="00553F91">
        <w:rPr>
          <w:rFonts w:ascii="Times New Roman" w:hAnsi="Times New Roman" w:cs="Times New Roman"/>
          <w:i/>
          <w:sz w:val="24"/>
          <w:szCs w:val="24"/>
        </w:rPr>
        <w:t xml:space="preserve">Mutandiro, </w:t>
      </w:r>
      <w:r>
        <w:rPr>
          <w:rFonts w:ascii="Times New Roman" w:hAnsi="Times New Roman" w:cs="Times New Roman"/>
          <w:i/>
          <w:sz w:val="24"/>
          <w:szCs w:val="24"/>
        </w:rPr>
        <w:t>C</w:t>
      </w:r>
      <w:r w:rsidRPr="00553F91">
        <w:rPr>
          <w:rFonts w:ascii="Times New Roman" w:hAnsi="Times New Roman" w:cs="Times New Roman"/>
          <w:i/>
          <w:sz w:val="24"/>
          <w:szCs w:val="24"/>
        </w:rPr>
        <w:t>hitsanga &amp; Chitima</w:t>
      </w:r>
      <w:r>
        <w:rPr>
          <w:rFonts w:ascii="Times New Roman" w:hAnsi="Times New Roman" w:cs="Times New Roman"/>
          <w:sz w:val="24"/>
          <w:szCs w:val="24"/>
        </w:rPr>
        <w:t>, appellant’s legal practitioners</w:t>
      </w:r>
    </w:p>
    <w:p w:rsidR="00A743AF" w:rsidRPr="006442C5" w:rsidRDefault="00A743AF" w:rsidP="00A743AF">
      <w:pPr>
        <w:spacing w:after="0" w:line="240" w:lineRule="auto"/>
        <w:jc w:val="both"/>
        <w:rPr>
          <w:rFonts w:ascii="Times New Roman" w:hAnsi="Times New Roman" w:cs="Times New Roman"/>
          <w:sz w:val="24"/>
          <w:szCs w:val="24"/>
        </w:rPr>
      </w:pPr>
      <w:r w:rsidRPr="007D688E">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A743AF" w:rsidRPr="00601E59" w:rsidRDefault="00A743AF" w:rsidP="00A743AF">
      <w:pPr>
        <w:rPr>
          <w:rFonts w:ascii="Times New Roman" w:hAnsi="Times New Roman" w:cs="Times New Roman"/>
          <w:sz w:val="24"/>
          <w:szCs w:val="24"/>
        </w:rPr>
      </w:pPr>
      <w:r>
        <w:rPr>
          <w:rFonts w:ascii="Times New Roman" w:hAnsi="Times New Roman" w:cs="Times New Roman"/>
          <w:sz w:val="24"/>
          <w:szCs w:val="24"/>
        </w:rPr>
        <w:tab/>
      </w:r>
    </w:p>
    <w:p w:rsidR="00A743AF" w:rsidRPr="00884C51" w:rsidRDefault="00A743AF" w:rsidP="00DB45B9">
      <w:pPr>
        <w:spacing w:after="0" w:line="360" w:lineRule="auto"/>
        <w:ind w:firstLine="720"/>
        <w:jc w:val="both"/>
        <w:rPr>
          <w:rFonts w:ascii="Times New Roman" w:hAnsi="Times New Roman" w:cs="Times New Roman"/>
          <w:sz w:val="24"/>
          <w:szCs w:val="24"/>
        </w:rPr>
      </w:pPr>
    </w:p>
    <w:p w:rsidR="005D7C80" w:rsidRPr="00643423" w:rsidRDefault="005D7C80" w:rsidP="00643423">
      <w:pPr>
        <w:spacing w:after="0" w:line="360" w:lineRule="auto"/>
        <w:jc w:val="both"/>
        <w:rPr>
          <w:rFonts w:ascii="Times New Roman" w:hAnsi="Times New Roman" w:cs="Times New Roman"/>
          <w:sz w:val="24"/>
          <w:szCs w:val="24"/>
        </w:rPr>
      </w:pPr>
    </w:p>
    <w:p w:rsidR="00B423DE" w:rsidRPr="00B423DE" w:rsidRDefault="00B423DE" w:rsidP="00B423DE">
      <w:pPr>
        <w:spacing w:after="0" w:line="360" w:lineRule="auto"/>
        <w:jc w:val="both"/>
        <w:rPr>
          <w:rFonts w:ascii="Times New Roman" w:hAnsi="Times New Roman" w:cs="Times New Roman"/>
          <w:sz w:val="24"/>
          <w:szCs w:val="24"/>
        </w:rPr>
      </w:pPr>
    </w:p>
    <w:sectPr w:rsidR="00B423DE" w:rsidRPr="00B423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624" w:rsidRDefault="00CF6624" w:rsidP="00B423DE">
      <w:pPr>
        <w:spacing w:after="0" w:line="240" w:lineRule="auto"/>
      </w:pPr>
      <w:r>
        <w:separator/>
      </w:r>
    </w:p>
  </w:endnote>
  <w:endnote w:type="continuationSeparator" w:id="0">
    <w:p w:rsidR="00CF6624" w:rsidRDefault="00CF6624" w:rsidP="00B42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624" w:rsidRDefault="00CF6624" w:rsidP="00B423DE">
      <w:pPr>
        <w:spacing w:after="0" w:line="240" w:lineRule="auto"/>
      </w:pPr>
      <w:r>
        <w:separator/>
      </w:r>
    </w:p>
  </w:footnote>
  <w:footnote w:type="continuationSeparator" w:id="0">
    <w:p w:rsidR="00CF6624" w:rsidRDefault="00CF6624" w:rsidP="00B42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193667"/>
      <w:docPartObj>
        <w:docPartGallery w:val="Page Numbers (Top of Page)"/>
        <w:docPartUnique/>
      </w:docPartObj>
    </w:sdtPr>
    <w:sdtEndPr>
      <w:rPr>
        <w:noProof/>
      </w:rPr>
    </w:sdtEndPr>
    <w:sdtContent>
      <w:p w:rsidR="00B423DE" w:rsidRDefault="00B423DE">
        <w:pPr>
          <w:pStyle w:val="Header"/>
          <w:jc w:val="right"/>
          <w:rPr>
            <w:noProof/>
          </w:rPr>
        </w:pPr>
        <w:r>
          <w:fldChar w:fldCharType="begin"/>
        </w:r>
        <w:r>
          <w:instrText xml:space="preserve"> PAGE   \* MERGEFORMAT </w:instrText>
        </w:r>
        <w:r>
          <w:fldChar w:fldCharType="separate"/>
        </w:r>
        <w:r w:rsidR="00C85671">
          <w:rPr>
            <w:noProof/>
          </w:rPr>
          <w:t>1</w:t>
        </w:r>
        <w:r>
          <w:rPr>
            <w:noProof/>
          </w:rPr>
          <w:fldChar w:fldCharType="end"/>
        </w:r>
      </w:p>
      <w:p w:rsidR="00B423DE" w:rsidRDefault="00B423DE">
        <w:pPr>
          <w:pStyle w:val="Header"/>
          <w:jc w:val="right"/>
          <w:rPr>
            <w:noProof/>
          </w:rPr>
        </w:pPr>
        <w:r>
          <w:rPr>
            <w:noProof/>
          </w:rPr>
          <w:t>HH</w:t>
        </w:r>
        <w:r w:rsidR="00312876">
          <w:rPr>
            <w:noProof/>
          </w:rPr>
          <w:t xml:space="preserve"> 246-21</w:t>
        </w:r>
      </w:p>
      <w:p w:rsidR="00B423DE" w:rsidRDefault="00B423DE">
        <w:pPr>
          <w:pStyle w:val="Header"/>
          <w:jc w:val="right"/>
          <w:rPr>
            <w:noProof/>
          </w:rPr>
        </w:pPr>
        <w:r>
          <w:rPr>
            <w:noProof/>
          </w:rPr>
          <w:t>CA 232/20</w:t>
        </w:r>
      </w:p>
      <w:p w:rsidR="00B423DE" w:rsidRDefault="00B423DE">
        <w:pPr>
          <w:pStyle w:val="Header"/>
          <w:jc w:val="right"/>
        </w:pPr>
        <w:r>
          <w:rPr>
            <w:noProof/>
          </w:rPr>
          <w:t>Ref Case No. CRB CHVPF 40/20</w:t>
        </w:r>
      </w:p>
    </w:sdtContent>
  </w:sdt>
  <w:p w:rsidR="00B423DE" w:rsidRDefault="00B423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F1C81"/>
    <w:multiLevelType w:val="hybridMultilevel"/>
    <w:tmpl w:val="962CB8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DE"/>
    <w:rsid w:val="000C5606"/>
    <w:rsid w:val="00104A42"/>
    <w:rsid w:val="001A51FA"/>
    <w:rsid w:val="001D1C47"/>
    <w:rsid w:val="001D222F"/>
    <w:rsid w:val="001D3E34"/>
    <w:rsid w:val="001F6FEF"/>
    <w:rsid w:val="00201605"/>
    <w:rsid w:val="002F2F65"/>
    <w:rsid w:val="00312876"/>
    <w:rsid w:val="003B53F5"/>
    <w:rsid w:val="003D72BB"/>
    <w:rsid w:val="00407B81"/>
    <w:rsid w:val="004F4565"/>
    <w:rsid w:val="00507CB8"/>
    <w:rsid w:val="00515B1A"/>
    <w:rsid w:val="0052053E"/>
    <w:rsid w:val="0055577F"/>
    <w:rsid w:val="005C3F2C"/>
    <w:rsid w:val="005C601C"/>
    <w:rsid w:val="005D7C80"/>
    <w:rsid w:val="0064197E"/>
    <w:rsid w:val="00643423"/>
    <w:rsid w:val="00664C48"/>
    <w:rsid w:val="006859EA"/>
    <w:rsid w:val="00693E78"/>
    <w:rsid w:val="006C4328"/>
    <w:rsid w:val="00705819"/>
    <w:rsid w:val="00780C75"/>
    <w:rsid w:val="00792D64"/>
    <w:rsid w:val="007F6339"/>
    <w:rsid w:val="00815CCF"/>
    <w:rsid w:val="00853B29"/>
    <w:rsid w:val="00855E97"/>
    <w:rsid w:val="00884C51"/>
    <w:rsid w:val="008F055A"/>
    <w:rsid w:val="00907E89"/>
    <w:rsid w:val="00914A4E"/>
    <w:rsid w:val="00921622"/>
    <w:rsid w:val="00976E6A"/>
    <w:rsid w:val="00986EDA"/>
    <w:rsid w:val="00A30100"/>
    <w:rsid w:val="00A4522C"/>
    <w:rsid w:val="00A743AF"/>
    <w:rsid w:val="00AB7116"/>
    <w:rsid w:val="00AE63D1"/>
    <w:rsid w:val="00B423DE"/>
    <w:rsid w:val="00B62F57"/>
    <w:rsid w:val="00BF3F95"/>
    <w:rsid w:val="00C54F7B"/>
    <w:rsid w:val="00C84E91"/>
    <w:rsid w:val="00C85671"/>
    <w:rsid w:val="00C92DC1"/>
    <w:rsid w:val="00CF6624"/>
    <w:rsid w:val="00CF6B3C"/>
    <w:rsid w:val="00D30B2D"/>
    <w:rsid w:val="00D53B2B"/>
    <w:rsid w:val="00DB45B9"/>
    <w:rsid w:val="00E25F43"/>
    <w:rsid w:val="00E41397"/>
    <w:rsid w:val="00EA1AAC"/>
    <w:rsid w:val="00F53B0A"/>
    <w:rsid w:val="00F87C89"/>
    <w:rsid w:val="00FB164E"/>
    <w:rsid w:val="00FB5151"/>
    <w:rsid w:val="00FB7218"/>
    <w:rsid w:val="00FE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675D1-37D7-452B-95DB-2B5EBEB5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3DE"/>
  </w:style>
  <w:style w:type="paragraph" w:styleId="Footer">
    <w:name w:val="footer"/>
    <w:basedOn w:val="Normal"/>
    <w:link w:val="FooterChar"/>
    <w:uiPriority w:val="99"/>
    <w:unhideWhenUsed/>
    <w:rsid w:val="00B42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3DE"/>
  </w:style>
  <w:style w:type="paragraph" w:styleId="ListParagraph">
    <w:name w:val="List Paragraph"/>
    <w:basedOn w:val="Normal"/>
    <w:uiPriority w:val="34"/>
    <w:qFormat/>
    <w:rsid w:val="00A743A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2021-05-21T06:53:00Z</dcterms:created>
  <dcterms:modified xsi:type="dcterms:W3CDTF">2021-05-21T06:53:00Z</dcterms:modified>
</cp:coreProperties>
</file>