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3CF7" w:rsidRDefault="009C3CF7" w:rsidP="009C3CF7">
      <w:pPr>
        <w:spacing w:after="0"/>
        <w:rPr>
          <w:rFonts w:ascii="Times New Roman" w:hAnsi="Times New Roman" w:cs="Times New Roman"/>
          <w:sz w:val="24"/>
          <w:szCs w:val="24"/>
        </w:rPr>
      </w:pPr>
      <w:bookmarkStart w:id="0" w:name="_GoBack"/>
      <w:bookmarkEnd w:id="0"/>
      <w:r>
        <w:rPr>
          <w:rFonts w:ascii="Times New Roman" w:hAnsi="Times New Roman" w:cs="Times New Roman"/>
          <w:sz w:val="24"/>
          <w:szCs w:val="24"/>
        </w:rPr>
        <w:t>MARGARET MAZANI</w:t>
      </w:r>
    </w:p>
    <w:p w:rsidR="009C3CF7" w:rsidRDefault="009C3CF7" w:rsidP="009C3CF7">
      <w:pPr>
        <w:spacing w:after="0"/>
        <w:rPr>
          <w:rFonts w:ascii="Times New Roman" w:hAnsi="Times New Roman" w:cs="Times New Roman"/>
          <w:sz w:val="24"/>
          <w:szCs w:val="24"/>
        </w:rPr>
      </w:pPr>
      <w:r>
        <w:rPr>
          <w:rFonts w:ascii="Times New Roman" w:hAnsi="Times New Roman" w:cs="Times New Roman"/>
          <w:sz w:val="24"/>
          <w:szCs w:val="24"/>
        </w:rPr>
        <w:t>versus</w:t>
      </w:r>
    </w:p>
    <w:p w:rsidR="009C3CF7" w:rsidRDefault="009C3CF7" w:rsidP="009C3CF7">
      <w:pPr>
        <w:spacing w:after="0"/>
        <w:rPr>
          <w:rFonts w:ascii="Times New Roman" w:hAnsi="Times New Roman" w:cs="Times New Roman"/>
          <w:sz w:val="24"/>
          <w:szCs w:val="24"/>
        </w:rPr>
      </w:pPr>
      <w:r>
        <w:rPr>
          <w:rFonts w:ascii="Times New Roman" w:hAnsi="Times New Roman" w:cs="Times New Roman"/>
          <w:sz w:val="24"/>
          <w:szCs w:val="24"/>
        </w:rPr>
        <w:t>SCHOLASTIC MATIYENGA</w:t>
      </w:r>
    </w:p>
    <w:p w:rsidR="009C3CF7" w:rsidRDefault="009C3CF7" w:rsidP="009C3CF7">
      <w:pPr>
        <w:spacing w:after="0"/>
        <w:rPr>
          <w:rFonts w:ascii="Times New Roman" w:hAnsi="Times New Roman" w:cs="Times New Roman"/>
          <w:sz w:val="24"/>
          <w:szCs w:val="24"/>
        </w:rPr>
      </w:pPr>
      <w:r>
        <w:rPr>
          <w:rFonts w:ascii="Times New Roman" w:hAnsi="Times New Roman" w:cs="Times New Roman"/>
          <w:sz w:val="24"/>
          <w:szCs w:val="24"/>
        </w:rPr>
        <w:t>and</w:t>
      </w:r>
    </w:p>
    <w:p w:rsidR="009C3CF7" w:rsidRDefault="009C3CF7" w:rsidP="009C3CF7">
      <w:pPr>
        <w:spacing w:after="0"/>
        <w:rPr>
          <w:rFonts w:ascii="Times New Roman" w:hAnsi="Times New Roman" w:cs="Times New Roman"/>
          <w:sz w:val="24"/>
          <w:szCs w:val="24"/>
        </w:rPr>
      </w:pPr>
      <w:r>
        <w:rPr>
          <w:rFonts w:ascii="Times New Roman" w:hAnsi="Times New Roman" w:cs="Times New Roman"/>
          <w:sz w:val="24"/>
          <w:szCs w:val="24"/>
        </w:rPr>
        <w:t>HAPPYMORE MUCHAYI</w:t>
      </w:r>
    </w:p>
    <w:p w:rsidR="009C3CF7" w:rsidRDefault="009C3CF7" w:rsidP="009C3CF7">
      <w:pPr>
        <w:spacing w:after="0"/>
        <w:rPr>
          <w:rFonts w:ascii="Times New Roman" w:hAnsi="Times New Roman" w:cs="Times New Roman"/>
          <w:sz w:val="24"/>
          <w:szCs w:val="24"/>
        </w:rPr>
      </w:pPr>
      <w:r>
        <w:rPr>
          <w:rFonts w:ascii="Times New Roman" w:hAnsi="Times New Roman" w:cs="Times New Roman"/>
          <w:sz w:val="24"/>
          <w:szCs w:val="24"/>
        </w:rPr>
        <w:t>and</w:t>
      </w:r>
    </w:p>
    <w:p w:rsidR="009C3CF7" w:rsidRDefault="009C3CF7" w:rsidP="009C3CF7">
      <w:pPr>
        <w:spacing w:after="0"/>
        <w:rPr>
          <w:rFonts w:ascii="Times New Roman" w:hAnsi="Times New Roman" w:cs="Times New Roman"/>
          <w:sz w:val="24"/>
          <w:szCs w:val="24"/>
        </w:rPr>
      </w:pPr>
      <w:r>
        <w:rPr>
          <w:rFonts w:ascii="Times New Roman" w:hAnsi="Times New Roman" w:cs="Times New Roman"/>
          <w:sz w:val="24"/>
          <w:szCs w:val="24"/>
        </w:rPr>
        <w:t>MINISTER OF NATIONAL HOUSING AND SOCIAL AMMENITIES</w:t>
      </w:r>
    </w:p>
    <w:p w:rsidR="009C3CF7" w:rsidRDefault="009C3CF7" w:rsidP="009C3CF7">
      <w:pPr>
        <w:spacing w:after="0"/>
        <w:rPr>
          <w:rFonts w:ascii="Times New Roman" w:hAnsi="Times New Roman" w:cs="Times New Roman"/>
          <w:sz w:val="24"/>
          <w:szCs w:val="24"/>
        </w:rPr>
      </w:pPr>
    </w:p>
    <w:p w:rsidR="009C3CF7" w:rsidRDefault="009C3CF7" w:rsidP="009C3CF7">
      <w:pPr>
        <w:spacing w:after="0" w:line="240" w:lineRule="auto"/>
        <w:jc w:val="both"/>
        <w:rPr>
          <w:rFonts w:ascii="Times New Roman" w:hAnsi="Times New Roman" w:cs="Times New Roman"/>
          <w:sz w:val="24"/>
          <w:szCs w:val="24"/>
        </w:rPr>
      </w:pPr>
    </w:p>
    <w:p w:rsidR="009C3CF7" w:rsidRDefault="009C3CF7" w:rsidP="009C3CF7">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9C3CF7" w:rsidRDefault="009C3CF7" w:rsidP="009C3CF7">
      <w:pPr>
        <w:spacing w:after="0" w:line="240" w:lineRule="auto"/>
        <w:rPr>
          <w:rFonts w:ascii="Times New Roman" w:hAnsi="Times New Roman" w:cs="Times New Roman"/>
          <w:sz w:val="24"/>
          <w:szCs w:val="24"/>
        </w:rPr>
      </w:pPr>
      <w:r>
        <w:rPr>
          <w:rFonts w:ascii="Times New Roman" w:hAnsi="Times New Roman" w:cs="Times New Roman"/>
          <w:sz w:val="24"/>
          <w:szCs w:val="24"/>
        </w:rPr>
        <w:t>MANGOTA J</w:t>
      </w:r>
    </w:p>
    <w:p w:rsidR="009C3CF7" w:rsidRDefault="009C3CF7" w:rsidP="009C3CF7">
      <w:pPr>
        <w:spacing w:after="0" w:line="240" w:lineRule="auto"/>
        <w:rPr>
          <w:rFonts w:ascii="Times New Roman" w:hAnsi="Times New Roman" w:cs="Times New Roman"/>
          <w:sz w:val="24"/>
          <w:szCs w:val="24"/>
        </w:rPr>
      </w:pPr>
      <w:r>
        <w:rPr>
          <w:rFonts w:ascii="Times New Roman" w:hAnsi="Times New Roman" w:cs="Times New Roman"/>
          <w:sz w:val="24"/>
          <w:szCs w:val="24"/>
        </w:rPr>
        <w:t>HARARE, 7 September 2021</w:t>
      </w:r>
      <w:r w:rsidR="001C7F38">
        <w:rPr>
          <w:rFonts w:ascii="Times New Roman" w:hAnsi="Times New Roman" w:cs="Times New Roman"/>
          <w:sz w:val="24"/>
          <w:szCs w:val="24"/>
        </w:rPr>
        <w:t xml:space="preserve"> &amp; 24 August 2022</w:t>
      </w:r>
    </w:p>
    <w:p w:rsidR="009C3CF7" w:rsidRDefault="009C3CF7" w:rsidP="009C3CF7">
      <w:pPr>
        <w:spacing w:after="0" w:line="240" w:lineRule="auto"/>
        <w:rPr>
          <w:rFonts w:ascii="Times New Roman" w:hAnsi="Times New Roman" w:cs="Times New Roman"/>
          <w:sz w:val="24"/>
          <w:szCs w:val="24"/>
        </w:rPr>
      </w:pPr>
    </w:p>
    <w:p w:rsidR="009C3CF7" w:rsidRDefault="009C3CF7" w:rsidP="009C3CF7">
      <w:pPr>
        <w:spacing w:after="0"/>
        <w:rPr>
          <w:rFonts w:ascii="Times New Roman" w:hAnsi="Times New Roman" w:cs="Times New Roman"/>
          <w:sz w:val="24"/>
          <w:szCs w:val="24"/>
        </w:rPr>
      </w:pPr>
    </w:p>
    <w:p w:rsidR="009C3CF7" w:rsidRDefault="004C6C19" w:rsidP="009C3CF7">
      <w:pPr>
        <w:spacing w:after="0"/>
        <w:rPr>
          <w:rFonts w:ascii="Times New Roman" w:hAnsi="Times New Roman" w:cs="Times New Roman"/>
          <w:b/>
          <w:sz w:val="24"/>
          <w:szCs w:val="24"/>
        </w:rPr>
      </w:pPr>
      <w:r>
        <w:rPr>
          <w:rFonts w:ascii="Times New Roman" w:hAnsi="Times New Roman" w:cs="Times New Roman"/>
          <w:b/>
          <w:sz w:val="24"/>
          <w:szCs w:val="24"/>
        </w:rPr>
        <w:t>Opposed Matter</w:t>
      </w:r>
    </w:p>
    <w:p w:rsidR="005F28A6" w:rsidRDefault="005F28A6" w:rsidP="009C3CF7">
      <w:pPr>
        <w:spacing w:after="0"/>
        <w:rPr>
          <w:rFonts w:ascii="Times New Roman" w:hAnsi="Times New Roman" w:cs="Times New Roman"/>
          <w:b/>
          <w:sz w:val="24"/>
          <w:szCs w:val="24"/>
        </w:rPr>
      </w:pPr>
    </w:p>
    <w:p w:rsidR="005F28A6" w:rsidRDefault="005F28A6" w:rsidP="009C3CF7">
      <w:pPr>
        <w:spacing w:after="0"/>
        <w:rPr>
          <w:rFonts w:ascii="Times New Roman" w:hAnsi="Times New Roman" w:cs="Times New Roman"/>
          <w:b/>
          <w:sz w:val="24"/>
          <w:szCs w:val="24"/>
        </w:rPr>
      </w:pPr>
    </w:p>
    <w:p w:rsidR="005F28A6" w:rsidRPr="005F28A6" w:rsidRDefault="005F28A6" w:rsidP="009C3CF7">
      <w:pPr>
        <w:spacing w:after="0"/>
        <w:rPr>
          <w:rFonts w:ascii="Times New Roman" w:hAnsi="Times New Roman" w:cs="Times New Roman"/>
          <w:sz w:val="24"/>
          <w:szCs w:val="24"/>
        </w:rPr>
      </w:pPr>
      <w:r w:rsidRPr="005F28A6">
        <w:rPr>
          <w:rFonts w:ascii="Times New Roman" w:hAnsi="Times New Roman" w:cs="Times New Roman"/>
          <w:sz w:val="24"/>
          <w:szCs w:val="24"/>
        </w:rPr>
        <w:t xml:space="preserve">Mr </w:t>
      </w:r>
      <w:r w:rsidRPr="00D6736D">
        <w:rPr>
          <w:rFonts w:ascii="Times New Roman" w:hAnsi="Times New Roman" w:cs="Times New Roman"/>
          <w:i/>
          <w:sz w:val="24"/>
          <w:szCs w:val="24"/>
        </w:rPr>
        <w:t>Mudhara,</w:t>
      </w:r>
      <w:r w:rsidRPr="005F28A6">
        <w:rPr>
          <w:rFonts w:ascii="Times New Roman" w:hAnsi="Times New Roman" w:cs="Times New Roman"/>
          <w:sz w:val="24"/>
          <w:szCs w:val="24"/>
        </w:rPr>
        <w:t xml:space="preserve"> for the applicant</w:t>
      </w:r>
    </w:p>
    <w:p w:rsidR="005F28A6" w:rsidRPr="005F28A6" w:rsidRDefault="005F28A6" w:rsidP="009C3CF7">
      <w:pPr>
        <w:spacing w:after="0"/>
        <w:rPr>
          <w:rFonts w:ascii="Times New Roman" w:hAnsi="Times New Roman" w:cs="Times New Roman"/>
          <w:sz w:val="24"/>
          <w:szCs w:val="24"/>
        </w:rPr>
      </w:pPr>
      <w:r w:rsidRPr="005F28A6">
        <w:rPr>
          <w:rFonts w:ascii="Times New Roman" w:hAnsi="Times New Roman" w:cs="Times New Roman"/>
          <w:sz w:val="24"/>
          <w:szCs w:val="24"/>
        </w:rPr>
        <w:t xml:space="preserve">Mr </w:t>
      </w:r>
      <w:r w:rsidRPr="00D6736D">
        <w:rPr>
          <w:rFonts w:ascii="Times New Roman" w:hAnsi="Times New Roman" w:cs="Times New Roman"/>
          <w:i/>
          <w:sz w:val="24"/>
          <w:szCs w:val="24"/>
        </w:rPr>
        <w:t>I Norest</w:t>
      </w:r>
      <w:r w:rsidRPr="005F28A6">
        <w:rPr>
          <w:rFonts w:ascii="Times New Roman" w:hAnsi="Times New Roman" w:cs="Times New Roman"/>
          <w:sz w:val="24"/>
          <w:szCs w:val="24"/>
        </w:rPr>
        <w:t>, for 1</w:t>
      </w:r>
      <w:r w:rsidRPr="005F28A6">
        <w:rPr>
          <w:rFonts w:ascii="Times New Roman" w:hAnsi="Times New Roman" w:cs="Times New Roman"/>
          <w:sz w:val="24"/>
          <w:szCs w:val="24"/>
          <w:vertAlign w:val="superscript"/>
        </w:rPr>
        <w:t>st</w:t>
      </w:r>
      <w:r w:rsidRPr="005F28A6">
        <w:rPr>
          <w:rFonts w:ascii="Times New Roman" w:hAnsi="Times New Roman" w:cs="Times New Roman"/>
          <w:sz w:val="24"/>
          <w:szCs w:val="24"/>
        </w:rPr>
        <w:t xml:space="preserve"> &amp;</w:t>
      </w:r>
      <w:r>
        <w:rPr>
          <w:rFonts w:ascii="Times New Roman" w:hAnsi="Times New Roman" w:cs="Times New Roman"/>
          <w:sz w:val="24"/>
          <w:szCs w:val="24"/>
        </w:rPr>
        <w:t xml:space="preserve"> </w:t>
      </w:r>
      <w:r w:rsidRPr="005F28A6">
        <w:rPr>
          <w:rFonts w:ascii="Times New Roman" w:hAnsi="Times New Roman" w:cs="Times New Roman"/>
          <w:sz w:val="24"/>
          <w:szCs w:val="24"/>
        </w:rPr>
        <w:t>2</w:t>
      </w:r>
      <w:r w:rsidRPr="005F28A6">
        <w:rPr>
          <w:rFonts w:ascii="Times New Roman" w:hAnsi="Times New Roman" w:cs="Times New Roman"/>
          <w:sz w:val="24"/>
          <w:szCs w:val="24"/>
          <w:vertAlign w:val="superscript"/>
        </w:rPr>
        <w:t>nd</w:t>
      </w:r>
      <w:r w:rsidRPr="005F28A6">
        <w:rPr>
          <w:rFonts w:ascii="Times New Roman" w:hAnsi="Times New Roman" w:cs="Times New Roman"/>
          <w:sz w:val="24"/>
          <w:szCs w:val="24"/>
        </w:rPr>
        <w:t xml:space="preserve"> respondent</w:t>
      </w:r>
    </w:p>
    <w:p w:rsidR="004C6C19" w:rsidRDefault="004C6C19" w:rsidP="009C3CF7">
      <w:pPr>
        <w:spacing w:after="0"/>
        <w:rPr>
          <w:rFonts w:ascii="Times New Roman" w:hAnsi="Times New Roman" w:cs="Times New Roman"/>
          <w:b/>
          <w:sz w:val="24"/>
          <w:szCs w:val="24"/>
        </w:rPr>
      </w:pPr>
    </w:p>
    <w:p w:rsidR="009C3CF7" w:rsidRPr="009C3CF7" w:rsidRDefault="009C3CF7" w:rsidP="009C3CF7">
      <w:pPr>
        <w:spacing w:after="0"/>
        <w:rPr>
          <w:rFonts w:ascii="Times New Roman" w:hAnsi="Times New Roman" w:cs="Times New Roman"/>
          <w:b/>
          <w:sz w:val="24"/>
          <w:szCs w:val="24"/>
        </w:rPr>
      </w:pPr>
    </w:p>
    <w:p w:rsidR="00725B40" w:rsidRPr="009C3CF7" w:rsidRDefault="009C3CF7" w:rsidP="00CB72BF">
      <w:pPr>
        <w:spacing w:after="0" w:line="360" w:lineRule="auto"/>
        <w:rPr>
          <w:rFonts w:ascii="Times New Roman" w:hAnsi="Times New Roman" w:cs="Times New Roman"/>
          <w:sz w:val="24"/>
          <w:szCs w:val="24"/>
        </w:rPr>
      </w:pPr>
      <w:r>
        <w:rPr>
          <w:rFonts w:ascii="Times New Roman" w:hAnsi="Times New Roman" w:cs="Times New Roman"/>
          <w:sz w:val="24"/>
          <w:szCs w:val="24"/>
        </w:rPr>
        <w:tab/>
      </w:r>
      <w:r w:rsidR="00725B40" w:rsidRPr="00CB72BF">
        <w:rPr>
          <w:rFonts w:ascii="Times New Roman" w:hAnsi="Times New Roman" w:cs="Times New Roman"/>
          <w:b/>
          <w:sz w:val="24"/>
          <w:szCs w:val="24"/>
        </w:rPr>
        <w:t>MANGOTA J</w:t>
      </w:r>
      <w:r>
        <w:rPr>
          <w:rFonts w:ascii="Times New Roman" w:hAnsi="Times New Roman" w:cs="Times New Roman"/>
          <w:sz w:val="24"/>
          <w:szCs w:val="24"/>
        </w:rPr>
        <w:t xml:space="preserve">:  </w:t>
      </w:r>
      <w:r w:rsidR="00725B40" w:rsidRPr="009C3CF7">
        <w:rPr>
          <w:rFonts w:ascii="Times New Roman" w:hAnsi="Times New Roman" w:cs="Times New Roman"/>
          <w:sz w:val="24"/>
          <w:szCs w:val="24"/>
        </w:rPr>
        <w:t>I heard t</w:t>
      </w:r>
      <w:r w:rsidR="00CB72BF">
        <w:rPr>
          <w:rFonts w:ascii="Times New Roman" w:hAnsi="Times New Roman" w:cs="Times New Roman"/>
          <w:sz w:val="24"/>
          <w:szCs w:val="24"/>
        </w:rPr>
        <w:t xml:space="preserve">his application on 7 September </w:t>
      </w:r>
      <w:r w:rsidR="00725B40" w:rsidRPr="009C3CF7">
        <w:rPr>
          <w:rFonts w:ascii="Times New Roman" w:hAnsi="Times New Roman" w:cs="Times New Roman"/>
          <w:sz w:val="24"/>
          <w:szCs w:val="24"/>
        </w:rPr>
        <w:t xml:space="preserve">2021. </w:t>
      </w:r>
      <w:r>
        <w:rPr>
          <w:rFonts w:ascii="Times New Roman" w:hAnsi="Times New Roman" w:cs="Times New Roman"/>
          <w:sz w:val="24"/>
          <w:szCs w:val="24"/>
        </w:rPr>
        <w:t xml:space="preserve"> </w:t>
      </w:r>
      <w:r w:rsidR="00725B40" w:rsidRPr="009C3CF7">
        <w:rPr>
          <w:rFonts w:ascii="Times New Roman" w:hAnsi="Times New Roman" w:cs="Times New Roman"/>
          <w:sz w:val="24"/>
          <w:szCs w:val="24"/>
        </w:rPr>
        <w:t xml:space="preserve">I delivered an </w:t>
      </w:r>
      <w:r w:rsidR="00725B40" w:rsidRPr="009C3CF7">
        <w:rPr>
          <w:rFonts w:ascii="Times New Roman" w:hAnsi="Times New Roman" w:cs="Times New Roman"/>
          <w:i/>
          <w:sz w:val="24"/>
          <w:szCs w:val="24"/>
        </w:rPr>
        <w:t>ex tempore</w:t>
      </w:r>
      <w:r w:rsidR="00725B40" w:rsidRPr="009C3CF7">
        <w:rPr>
          <w:rFonts w:ascii="Times New Roman" w:hAnsi="Times New Roman" w:cs="Times New Roman"/>
          <w:sz w:val="24"/>
          <w:szCs w:val="24"/>
        </w:rPr>
        <w:t xml:space="preserve"> judgement in which I granted the</w:t>
      </w:r>
      <w:r w:rsidR="007B7FE4" w:rsidRPr="009C3CF7">
        <w:rPr>
          <w:rFonts w:ascii="Times New Roman" w:hAnsi="Times New Roman" w:cs="Times New Roman"/>
          <w:sz w:val="24"/>
          <w:szCs w:val="24"/>
        </w:rPr>
        <w:t xml:space="preserve"> applicant’s</w:t>
      </w:r>
      <w:r w:rsidR="00725B40" w:rsidRPr="009C3CF7">
        <w:rPr>
          <w:rFonts w:ascii="Times New Roman" w:hAnsi="Times New Roman" w:cs="Times New Roman"/>
          <w:sz w:val="24"/>
          <w:szCs w:val="24"/>
        </w:rPr>
        <w:t xml:space="preserve"> application for interim relief.</w:t>
      </w:r>
    </w:p>
    <w:p w:rsidR="00090968" w:rsidRPr="009C3CF7" w:rsidRDefault="00CB72BF" w:rsidP="009C3C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90968" w:rsidRPr="009C3CF7">
        <w:rPr>
          <w:rFonts w:ascii="Times New Roman" w:hAnsi="Times New Roman" w:cs="Times New Roman"/>
          <w:sz w:val="24"/>
          <w:szCs w:val="24"/>
        </w:rPr>
        <w:t>On 15 June 2022 the second respondent wrote to the Judge President raising concern on my delay in furnishing the first respondent and him with written reasons for my decision. I state, for the avoidance of doubt, that the letter which the second respondent wrote to the Judge President is the only correspondence which is filed of record in regard to his concern.</w:t>
      </w:r>
      <w:r w:rsidR="003A5717" w:rsidRPr="009C3CF7">
        <w:rPr>
          <w:rFonts w:ascii="Times New Roman" w:hAnsi="Times New Roman" w:cs="Times New Roman"/>
          <w:sz w:val="24"/>
          <w:szCs w:val="24"/>
        </w:rPr>
        <w:t xml:space="preserve"> He wrote no letter other than the one which drew my attention to the need on my part to furnish the first respondent and him with reasons for the decision which I made. Neither the first respondent nor him h</w:t>
      </w:r>
      <w:r>
        <w:rPr>
          <w:rFonts w:ascii="Times New Roman" w:hAnsi="Times New Roman" w:cs="Times New Roman"/>
          <w:sz w:val="24"/>
          <w:szCs w:val="24"/>
        </w:rPr>
        <w:t>ad written earlier than 15 June</w:t>
      </w:r>
      <w:r w:rsidR="003A5717" w:rsidRPr="009C3CF7">
        <w:rPr>
          <w:rFonts w:ascii="Times New Roman" w:hAnsi="Times New Roman" w:cs="Times New Roman"/>
          <w:sz w:val="24"/>
          <w:szCs w:val="24"/>
        </w:rPr>
        <w:t xml:space="preserve"> 2022 requesting me to give him or her a fully dressed judgment.</w:t>
      </w:r>
    </w:p>
    <w:p w:rsidR="003A5717" w:rsidRPr="009C3CF7" w:rsidRDefault="00CB72BF" w:rsidP="009C3C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A5717" w:rsidRPr="009C3CF7">
        <w:rPr>
          <w:rFonts w:ascii="Times New Roman" w:hAnsi="Times New Roman" w:cs="Times New Roman"/>
          <w:sz w:val="24"/>
          <w:szCs w:val="24"/>
        </w:rPr>
        <w:t>When the record, HC 4155/21, was referred to me for my attention following the second respondent’s letter, I went through it</w:t>
      </w:r>
      <w:r w:rsidR="007B7FE4" w:rsidRPr="009C3CF7">
        <w:rPr>
          <w:rFonts w:ascii="Times New Roman" w:hAnsi="Times New Roman" w:cs="Times New Roman"/>
          <w:sz w:val="24"/>
          <w:szCs w:val="24"/>
        </w:rPr>
        <w:t>.</w:t>
      </w:r>
      <w:r w:rsidR="003A5717" w:rsidRPr="009C3CF7">
        <w:rPr>
          <w:rFonts w:ascii="Times New Roman" w:hAnsi="Times New Roman" w:cs="Times New Roman"/>
          <w:sz w:val="24"/>
          <w:szCs w:val="24"/>
        </w:rPr>
        <w:t xml:space="preserve"> I realized that</w:t>
      </w:r>
      <w:r w:rsidR="007B7FE4" w:rsidRPr="009C3CF7">
        <w:rPr>
          <w:rFonts w:ascii="Times New Roman" w:hAnsi="Times New Roman" w:cs="Times New Roman"/>
          <w:sz w:val="24"/>
          <w:szCs w:val="24"/>
        </w:rPr>
        <w:t xml:space="preserve"> the applica</w:t>
      </w:r>
      <w:r w:rsidR="00E67AA3" w:rsidRPr="009C3CF7">
        <w:rPr>
          <w:rFonts w:ascii="Times New Roman" w:hAnsi="Times New Roman" w:cs="Times New Roman"/>
          <w:sz w:val="24"/>
          <w:szCs w:val="24"/>
        </w:rPr>
        <w:t xml:space="preserve">nt attached to her application the application for a declaratur which she filed at about the time that she filed this application. That application has </w:t>
      </w:r>
      <w:r>
        <w:rPr>
          <w:rFonts w:ascii="Times New Roman" w:hAnsi="Times New Roman" w:cs="Times New Roman"/>
          <w:sz w:val="24"/>
          <w:szCs w:val="24"/>
        </w:rPr>
        <w:t>its draft order which is at p</w:t>
      </w:r>
      <w:r w:rsidR="00E67AA3" w:rsidRPr="009C3CF7">
        <w:rPr>
          <w:rFonts w:ascii="Times New Roman" w:hAnsi="Times New Roman" w:cs="Times New Roman"/>
          <w:sz w:val="24"/>
          <w:szCs w:val="24"/>
        </w:rPr>
        <w:t xml:space="preserve"> 39 of the record. I observed also that the order which relates to the current application</w:t>
      </w:r>
      <w:r>
        <w:rPr>
          <w:rFonts w:ascii="Times New Roman" w:hAnsi="Times New Roman" w:cs="Times New Roman"/>
          <w:sz w:val="24"/>
          <w:szCs w:val="24"/>
        </w:rPr>
        <w:t xml:space="preserve"> appears at p</w:t>
      </w:r>
      <w:r w:rsidR="007B7FE4" w:rsidRPr="009C3CF7">
        <w:rPr>
          <w:rFonts w:ascii="Times New Roman" w:hAnsi="Times New Roman" w:cs="Times New Roman"/>
          <w:sz w:val="24"/>
          <w:szCs w:val="24"/>
        </w:rPr>
        <w:t xml:space="preserve"> 42 of the record. I realized further that, in granting the application, I erroneously s</w:t>
      </w:r>
      <w:r>
        <w:rPr>
          <w:rFonts w:ascii="Times New Roman" w:hAnsi="Times New Roman" w:cs="Times New Roman"/>
          <w:sz w:val="24"/>
          <w:szCs w:val="24"/>
        </w:rPr>
        <w:t>igned the order which is at p</w:t>
      </w:r>
      <w:r w:rsidR="007B7FE4" w:rsidRPr="009C3CF7">
        <w:rPr>
          <w:rFonts w:ascii="Times New Roman" w:hAnsi="Times New Roman" w:cs="Times New Roman"/>
          <w:sz w:val="24"/>
          <w:szCs w:val="24"/>
        </w:rPr>
        <w:t xml:space="preserve"> 39 instead of the one which is at page </w:t>
      </w:r>
      <w:r w:rsidR="007B7FE4" w:rsidRPr="009C3CF7">
        <w:rPr>
          <w:rFonts w:ascii="Times New Roman" w:hAnsi="Times New Roman" w:cs="Times New Roman"/>
          <w:sz w:val="24"/>
          <w:szCs w:val="24"/>
        </w:rPr>
        <w:lastRenderedPageBreak/>
        <w:t xml:space="preserve">42 which is </w:t>
      </w:r>
      <w:r w:rsidR="007B7FE4" w:rsidRPr="004C6C19">
        <w:rPr>
          <w:rFonts w:ascii="Times New Roman" w:hAnsi="Times New Roman" w:cs="Times New Roman"/>
          <w:i/>
          <w:sz w:val="24"/>
          <w:szCs w:val="24"/>
        </w:rPr>
        <w:t xml:space="preserve">in sync </w:t>
      </w:r>
      <w:r w:rsidR="007B7FE4" w:rsidRPr="009C3CF7">
        <w:rPr>
          <w:rFonts w:ascii="Times New Roman" w:hAnsi="Times New Roman" w:cs="Times New Roman"/>
          <w:sz w:val="24"/>
          <w:szCs w:val="24"/>
        </w:rPr>
        <w:t>with the appli</w:t>
      </w:r>
      <w:r>
        <w:rPr>
          <w:rFonts w:ascii="Times New Roman" w:hAnsi="Times New Roman" w:cs="Times New Roman"/>
          <w:sz w:val="24"/>
          <w:szCs w:val="24"/>
        </w:rPr>
        <w:t>cation. The one which is at p</w:t>
      </w:r>
      <w:r w:rsidR="007B7FE4" w:rsidRPr="009C3CF7">
        <w:rPr>
          <w:rFonts w:ascii="Times New Roman" w:hAnsi="Times New Roman" w:cs="Times New Roman"/>
          <w:sz w:val="24"/>
          <w:szCs w:val="24"/>
        </w:rPr>
        <w:t xml:space="preserve"> 39 of the record is not in any way related to the application which the applicant placed before me. It is foreign to the same.</w:t>
      </w:r>
      <w:r>
        <w:rPr>
          <w:rFonts w:ascii="Times New Roman" w:hAnsi="Times New Roman" w:cs="Times New Roman"/>
          <w:sz w:val="24"/>
          <w:szCs w:val="24"/>
        </w:rPr>
        <w:t xml:space="preserve"> </w:t>
      </w:r>
      <w:r w:rsidR="00E67AA3" w:rsidRPr="009C3CF7">
        <w:rPr>
          <w:rFonts w:ascii="Times New Roman" w:hAnsi="Times New Roman" w:cs="Times New Roman"/>
          <w:sz w:val="24"/>
          <w:szCs w:val="24"/>
        </w:rPr>
        <w:t xml:space="preserve"> It relates to the applicant’s application for a declaratur.</w:t>
      </w:r>
    </w:p>
    <w:p w:rsidR="0024073E" w:rsidRPr="009C3CF7" w:rsidRDefault="0024073E" w:rsidP="009C3CF7">
      <w:pPr>
        <w:spacing w:after="0" w:line="360" w:lineRule="auto"/>
        <w:jc w:val="both"/>
        <w:rPr>
          <w:rFonts w:ascii="Times New Roman" w:hAnsi="Times New Roman" w:cs="Times New Roman"/>
          <w:sz w:val="24"/>
          <w:szCs w:val="24"/>
        </w:rPr>
      </w:pPr>
      <w:r w:rsidRPr="009C3CF7">
        <w:rPr>
          <w:rFonts w:ascii="Times New Roman" w:hAnsi="Times New Roman" w:cs="Times New Roman"/>
          <w:sz w:val="24"/>
          <w:szCs w:val="24"/>
        </w:rPr>
        <w:t xml:space="preserve">It is in view of the above-observed matter that I act in terms of </w:t>
      </w:r>
      <w:r w:rsidR="008B1EDB">
        <w:rPr>
          <w:rFonts w:ascii="Times New Roman" w:hAnsi="Times New Roman" w:cs="Times New Roman"/>
          <w:sz w:val="24"/>
          <w:szCs w:val="24"/>
        </w:rPr>
        <w:t>r</w:t>
      </w:r>
      <w:r w:rsidRPr="009C3CF7">
        <w:rPr>
          <w:rFonts w:ascii="Times New Roman" w:hAnsi="Times New Roman" w:cs="Times New Roman"/>
          <w:sz w:val="24"/>
          <w:szCs w:val="24"/>
        </w:rPr>
        <w:t xml:space="preserve"> 29(1)(a) of the High Court Rules, 2021 and rescind the erroneously</w:t>
      </w:r>
      <w:r w:rsidR="007B7FE4" w:rsidRPr="009C3CF7">
        <w:rPr>
          <w:rFonts w:ascii="Times New Roman" w:hAnsi="Times New Roman" w:cs="Times New Roman"/>
          <w:sz w:val="24"/>
          <w:szCs w:val="24"/>
        </w:rPr>
        <w:t xml:space="preserve"> typed out order which I substitute</w:t>
      </w:r>
      <w:r w:rsidRPr="009C3CF7">
        <w:rPr>
          <w:rFonts w:ascii="Times New Roman" w:hAnsi="Times New Roman" w:cs="Times New Roman"/>
          <w:sz w:val="24"/>
          <w:szCs w:val="24"/>
        </w:rPr>
        <w:t xml:space="preserve"> with the interim order which the applicant moved me to grant to her on 7 September, 2021. For the avoidance of doubt, the interim order which I granted to the applicant reads:</w:t>
      </w:r>
    </w:p>
    <w:p w:rsidR="0024073E" w:rsidRPr="008B1EDB" w:rsidRDefault="008B1EDB" w:rsidP="008B1EDB">
      <w:pPr>
        <w:spacing w:after="0" w:line="240" w:lineRule="auto"/>
        <w:jc w:val="both"/>
        <w:rPr>
          <w:rFonts w:ascii="Times New Roman" w:hAnsi="Times New Roman" w:cs="Times New Roman"/>
        </w:rPr>
      </w:pPr>
      <w:r>
        <w:rPr>
          <w:rFonts w:ascii="Times New Roman" w:hAnsi="Times New Roman" w:cs="Times New Roman"/>
        </w:rPr>
        <w:tab/>
      </w:r>
      <w:r w:rsidR="0024073E" w:rsidRPr="008B1EDB">
        <w:rPr>
          <w:rFonts w:ascii="Times New Roman" w:hAnsi="Times New Roman" w:cs="Times New Roman"/>
        </w:rPr>
        <w:t>“TERMS OF THE INTERIM RELIEF GRANTED</w:t>
      </w:r>
    </w:p>
    <w:p w:rsidR="00516D4C" w:rsidRDefault="008B1EDB" w:rsidP="008B1EDB">
      <w:pPr>
        <w:spacing w:after="0" w:line="240" w:lineRule="auto"/>
        <w:ind w:left="105"/>
        <w:jc w:val="both"/>
        <w:rPr>
          <w:rFonts w:ascii="Times New Roman" w:hAnsi="Times New Roman" w:cs="Times New Roman"/>
        </w:rPr>
      </w:pPr>
      <w:r w:rsidRPr="008B1EDB">
        <w:rPr>
          <w:rFonts w:ascii="Times New Roman" w:hAnsi="Times New Roman" w:cs="Times New Roman"/>
        </w:rPr>
        <w:tab/>
        <w:t>1.</w:t>
      </w:r>
      <w:r w:rsidRPr="008B1EDB">
        <w:rPr>
          <w:rFonts w:ascii="Times New Roman" w:hAnsi="Times New Roman" w:cs="Times New Roman"/>
        </w:rPr>
        <w:tab/>
      </w:r>
      <w:r w:rsidR="00516D4C" w:rsidRPr="008B1EDB">
        <w:rPr>
          <w:rFonts w:ascii="Times New Roman" w:hAnsi="Times New Roman" w:cs="Times New Roman"/>
        </w:rPr>
        <w:t>The 1</w:t>
      </w:r>
      <w:r w:rsidR="00516D4C" w:rsidRPr="008B1EDB">
        <w:rPr>
          <w:rFonts w:ascii="Times New Roman" w:hAnsi="Times New Roman" w:cs="Times New Roman"/>
          <w:vertAlign w:val="superscript"/>
        </w:rPr>
        <w:t>st</w:t>
      </w:r>
      <w:r w:rsidR="00516D4C" w:rsidRPr="008B1EDB">
        <w:rPr>
          <w:rFonts w:ascii="Times New Roman" w:hAnsi="Times New Roman" w:cs="Times New Roman"/>
        </w:rPr>
        <w:t xml:space="preserve"> and 2</w:t>
      </w:r>
      <w:r w:rsidR="00516D4C" w:rsidRPr="008B1EDB">
        <w:rPr>
          <w:rFonts w:ascii="Times New Roman" w:hAnsi="Times New Roman" w:cs="Times New Roman"/>
          <w:vertAlign w:val="superscript"/>
        </w:rPr>
        <w:t>nd</w:t>
      </w:r>
      <w:r w:rsidR="00516D4C" w:rsidRPr="008B1EDB">
        <w:rPr>
          <w:rFonts w:ascii="Times New Roman" w:hAnsi="Times New Roman" w:cs="Times New Roman"/>
        </w:rPr>
        <w:t xml:space="preserve"> Respondents and all their agents or representatives be and are hereby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516D4C" w:rsidRPr="008B1EDB">
        <w:rPr>
          <w:rFonts w:ascii="Times New Roman" w:hAnsi="Times New Roman" w:cs="Times New Roman"/>
        </w:rPr>
        <w:t xml:space="preserve">interdicted </w:t>
      </w:r>
      <w:r>
        <w:rPr>
          <w:rFonts w:ascii="Times New Roman" w:hAnsi="Times New Roman" w:cs="Times New Roman"/>
        </w:rPr>
        <w:t>f</w:t>
      </w:r>
      <w:r w:rsidR="00516D4C" w:rsidRPr="008B1EDB">
        <w:rPr>
          <w:rFonts w:ascii="Times New Roman" w:hAnsi="Times New Roman" w:cs="Times New Roman"/>
        </w:rPr>
        <w:t xml:space="preserve">orthwith from carrying out construction on Stand 9030 Raheen, Garikayi,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516D4C" w:rsidRPr="008B1EDB">
        <w:rPr>
          <w:rFonts w:ascii="Times New Roman" w:hAnsi="Times New Roman" w:cs="Times New Roman"/>
        </w:rPr>
        <w:t>Phase 2, Mutare pending the return date of this provisional order”.</w:t>
      </w:r>
    </w:p>
    <w:p w:rsidR="008B1EDB" w:rsidRPr="008B1EDB" w:rsidRDefault="008B1EDB" w:rsidP="008B1EDB">
      <w:pPr>
        <w:pStyle w:val="ListParagraph"/>
        <w:spacing w:after="0" w:line="240" w:lineRule="auto"/>
        <w:ind w:left="465"/>
        <w:jc w:val="both"/>
        <w:rPr>
          <w:rFonts w:ascii="Times New Roman" w:hAnsi="Times New Roman" w:cs="Times New Roman"/>
        </w:rPr>
      </w:pPr>
    </w:p>
    <w:p w:rsidR="00516D4C" w:rsidRPr="009C3CF7" w:rsidRDefault="008B1EDB" w:rsidP="009C3C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B7FE4" w:rsidRPr="009C3CF7">
        <w:rPr>
          <w:rFonts w:ascii="Times New Roman" w:hAnsi="Times New Roman" w:cs="Times New Roman"/>
          <w:sz w:val="24"/>
          <w:szCs w:val="24"/>
        </w:rPr>
        <w:t>This</w:t>
      </w:r>
      <w:r w:rsidR="00516D4C" w:rsidRPr="009C3CF7">
        <w:rPr>
          <w:rFonts w:ascii="Times New Roman" w:hAnsi="Times New Roman" w:cs="Times New Roman"/>
          <w:sz w:val="24"/>
          <w:szCs w:val="24"/>
        </w:rPr>
        <w:t xml:space="preserve"> application was filed through the urgent chamber book.</w:t>
      </w:r>
      <w:r>
        <w:rPr>
          <w:rFonts w:ascii="Times New Roman" w:hAnsi="Times New Roman" w:cs="Times New Roman"/>
          <w:sz w:val="24"/>
          <w:szCs w:val="24"/>
        </w:rPr>
        <w:t xml:space="preserve"> </w:t>
      </w:r>
      <w:r w:rsidR="00516D4C" w:rsidRPr="009C3CF7">
        <w:rPr>
          <w:rFonts w:ascii="Times New Roman" w:hAnsi="Times New Roman" w:cs="Times New Roman"/>
          <w:sz w:val="24"/>
          <w:szCs w:val="24"/>
        </w:rPr>
        <w:t xml:space="preserve"> It moved me to interdict the first and second respondents from carrying on construction work on Stand </w:t>
      </w:r>
      <w:r>
        <w:rPr>
          <w:rFonts w:ascii="Times New Roman" w:hAnsi="Times New Roman" w:cs="Times New Roman"/>
          <w:sz w:val="24"/>
          <w:szCs w:val="24"/>
        </w:rPr>
        <w:t>N</w:t>
      </w:r>
      <w:r w:rsidR="00516D4C" w:rsidRPr="009C3CF7">
        <w:rPr>
          <w:rFonts w:ascii="Times New Roman" w:hAnsi="Times New Roman" w:cs="Times New Roman"/>
          <w:sz w:val="24"/>
          <w:szCs w:val="24"/>
        </w:rPr>
        <w:t xml:space="preserve">umber 9030, Raheen, Garikayi , Phase 2, Mutare (‘the property”). The applicant’s statement is that the third respondent who is the Minister of National Housing and Social Amenities allocated the property to her in 2010. She alleges that she contributed towards payment of the property through FBC Building Society after she joined what she terms Access to Home Ownership Scheme in 2006. She claims that in 2012 she went to pay her instalments to the Scheme’s Committee which, according to her, refused to accept her subscription stating that the property had been re-allocated to someone else as had been the case, at the time, with properties of other persons </w:t>
      </w:r>
      <w:r w:rsidR="005321ED" w:rsidRPr="009C3CF7">
        <w:rPr>
          <w:rFonts w:ascii="Times New Roman" w:hAnsi="Times New Roman" w:cs="Times New Roman"/>
          <w:sz w:val="24"/>
          <w:szCs w:val="24"/>
        </w:rPr>
        <w:t>who fell into her unfortunate set of circu</w:t>
      </w:r>
      <w:r w:rsidR="00111AC8" w:rsidRPr="009C3CF7">
        <w:rPr>
          <w:rFonts w:ascii="Times New Roman" w:hAnsi="Times New Roman" w:cs="Times New Roman"/>
          <w:sz w:val="24"/>
          <w:szCs w:val="24"/>
        </w:rPr>
        <w:t xml:space="preserve">mstances. </w:t>
      </w:r>
      <w:r>
        <w:rPr>
          <w:rFonts w:ascii="Times New Roman" w:hAnsi="Times New Roman" w:cs="Times New Roman"/>
          <w:sz w:val="24"/>
          <w:szCs w:val="24"/>
        </w:rPr>
        <w:t xml:space="preserve"> </w:t>
      </w:r>
      <w:r w:rsidR="00111AC8" w:rsidRPr="009C3CF7">
        <w:rPr>
          <w:rFonts w:ascii="Times New Roman" w:hAnsi="Times New Roman" w:cs="Times New Roman"/>
          <w:sz w:val="24"/>
          <w:szCs w:val="24"/>
        </w:rPr>
        <w:t>Those persons and her,</w:t>
      </w:r>
      <w:r w:rsidR="005321ED" w:rsidRPr="009C3CF7">
        <w:rPr>
          <w:rFonts w:ascii="Times New Roman" w:hAnsi="Times New Roman" w:cs="Times New Roman"/>
          <w:sz w:val="24"/>
          <w:szCs w:val="24"/>
        </w:rPr>
        <w:t xml:space="preserve"> she avers, challenged the decision of the Committee with the result that a Ministerial Committee was established and charged with the responsibility of resolving the issue of re-allocation of the properties of persons who were in her category, her case included. The Ministerial Committee, she claims, resolved that all re-allocations were to be disregarded and all those who benefitted from such re-allocation</w:t>
      </w:r>
      <w:r w:rsidR="004C6C19">
        <w:rPr>
          <w:rFonts w:ascii="Times New Roman" w:hAnsi="Times New Roman" w:cs="Times New Roman"/>
          <w:sz w:val="24"/>
          <w:szCs w:val="24"/>
        </w:rPr>
        <w:t>s</w:t>
      </w:r>
      <w:r w:rsidR="005321ED" w:rsidRPr="009C3CF7">
        <w:rPr>
          <w:rFonts w:ascii="Times New Roman" w:hAnsi="Times New Roman" w:cs="Times New Roman"/>
          <w:sz w:val="24"/>
          <w:szCs w:val="24"/>
        </w:rPr>
        <w:t xml:space="preserve"> were to be refunded their money or given properties elsewhere. The first and secon</w:t>
      </w:r>
      <w:r w:rsidR="00111AC8" w:rsidRPr="009C3CF7">
        <w:rPr>
          <w:rFonts w:ascii="Times New Roman" w:hAnsi="Times New Roman" w:cs="Times New Roman"/>
          <w:sz w:val="24"/>
          <w:szCs w:val="24"/>
        </w:rPr>
        <w:t>d respondents, she alleges, fall</w:t>
      </w:r>
      <w:r w:rsidR="005321ED" w:rsidRPr="009C3CF7">
        <w:rPr>
          <w:rFonts w:ascii="Times New Roman" w:hAnsi="Times New Roman" w:cs="Times New Roman"/>
          <w:sz w:val="24"/>
          <w:szCs w:val="24"/>
        </w:rPr>
        <w:t xml:space="preserve"> under the group which benefitted from the re-allocation exercise and did not, therefore, have the right to occupy her property.</w:t>
      </w:r>
      <w:r w:rsidR="00900916">
        <w:rPr>
          <w:rFonts w:ascii="Times New Roman" w:hAnsi="Times New Roman" w:cs="Times New Roman"/>
          <w:sz w:val="24"/>
          <w:szCs w:val="24"/>
        </w:rPr>
        <w:t xml:space="preserve"> </w:t>
      </w:r>
      <w:r w:rsidR="005321ED" w:rsidRPr="009C3CF7">
        <w:rPr>
          <w:rFonts w:ascii="Times New Roman" w:hAnsi="Times New Roman" w:cs="Times New Roman"/>
          <w:sz w:val="24"/>
          <w:szCs w:val="24"/>
        </w:rPr>
        <w:t xml:space="preserve"> She insists that the third respondent did not cancel the offer which he made to her when he allocated the property to her. Her offer, she avers, still stands. She states that, on 14 February 2021, she found the first and second respondents at her property making every effort to carry out construction work on the same. </w:t>
      </w:r>
      <w:r>
        <w:rPr>
          <w:rFonts w:ascii="Times New Roman" w:hAnsi="Times New Roman" w:cs="Times New Roman"/>
          <w:sz w:val="24"/>
          <w:szCs w:val="24"/>
        </w:rPr>
        <w:t xml:space="preserve"> </w:t>
      </w:r>
      <w:r w:rsidR="005321ED" w:rsidRPr="009C3CF7">
        <w:rPr>
          <w:rFonts w:ascii="Times New Roman" w:hAnsi="Times New Roman" w:cs="Times New Roman"/>
          <w:sz w:val="24"/>
          <w:szCs w:val="24"/>
        </w:rPr>
        <w:t xml:space="preserve">She alleges that she told the respondents that they were </w:t>
      </w:r>
      <w:r w:rsidR="005321ED" w:rsidRPr="009C3CF7">
        <w:rPr>
          <w:rFonts w:ascii="Times New Roman" w:hAnsi="Times New Roman" w:cs="Times New Roman"/>
          <w:sz w:val="24"/>
          <w:szCs w:val="24"/>
        </w:rPr>
        <w:lastRenderedPageBreak/>
        <w:t>not the lawful occupants of the p</w:t>
      </w:r>
      <w:r w:rsidR="00D807EB" w:rsidRPr="009C3CF7">
        <w:rPr>
          <w:rFonts w:ascii="Times New Roman" w:hAnsi="Times New Roman" w:cs="Times New Roman"/>
          <w:sz w:val="24"/>
          <w:szCs w:val="24"/>
        </w:rPr>
        <w:t>roperty, that the same was allocated to her and that they should desist from continuing with construction on her property. These, she claims, did not desist compelling her to file this application on the basis of urgency.</w:t>
      </w:r>
    </w:p>
    <w:p w:rsidR="008F208F" w:rsidRPr="009C3CF7" w:rsidRDefault="00900916" w:rsidP="009C3C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F208F" w:rsidRPr="009C3CF7">
        <w:rPr>
          <w:rFonts w:ascii="Times New Roman" w:hAnsi="Times New Roman" w:cs="Times New Roman"/>
          <w:sz w:val="24"/>
          <w:szCs w:val="24"/>
        </w:rPr>
        <w:t>The current is an application for the relief of</w:t>
      </w:r>
      <w:r w:rsidR="00111AC8" w:rsidRPr="009C3CF7">
        <w:rPr>
          <w:rFonts w:ascii="Times New Roman" w:hAnsi="Times New Roman" w:cs="Times New Roman"/>
          <w:sz w:val="24"/>
          <w:szCs w:val="24"/>
        </w:rPr>
        <w:t xml:space="preserve"> a</w:t>
      </w:r>
      <w:r w:rsidR="008F208F" w:rsidRPr="009C3CF7">
        <w:rPr>
          <w:rFonts w:ascii="Times New Roman" w:hAnsi="Times New Roman" w:cs="Times New Roman"/>
          <w:sz w:val="24"/>
          <w:szCs w:val="24"/>
        </w:rPr>
        <w:t xml:space="preserve"> temporary interdict. The law which relates to the remedy of an interdict was clearly spelt out in a number of case authorities. Notable amongst those is that of </w:t>
      </w:r>
      <w:r w:rsidR="008F208F" w:rsidRPr="00900916">
        <w:rPr>
          <w:rFonts w:ascii="Times New Roman" w:hAnsi="Times New Roman" w:cs="Times New Roman"/>
          <w:i/>
          <w:sz w:val="24"/>
          <w:szCs w:val="24"/>
        </w:rPr>
        <w:t xml:space="preserve">Setlogelo </w:t>
      </w:r>
      <w:r w:rsidR="008F208F" w:rsidRPr="00900916">
        <w:rPr>
          <w:rFonts w:ascii="Times New Roman" w:hAnsi="Times New Roman" w:cs="Times New Roman"/>
          <w:sz w:val="24"/>
          <w:szCs w:val="24"/>
        </w:rPr>
        <w:t>v</w:t>
      </w:r>
      <w:r w:rsidR="008F208F" w:rsidRPr="00900916">
        <w:rPr>
          <w:rFonts w:ascii="Times New Roman" w:hAnsi="Times New Roman" w:cs="Times New Roman"/>
          <w:i/>
          <w:sz w:val="24"/>
          <w:szCs w:val="24"/>
        </w:rPr>
        <w:t xml:space="preserve"> Setlogelo</w:t>
      </w:r>
      <w:r w:rsidR="008F208F" w:rsidRPr="009C3CF7">
        <w:rPr>
          <w:rFonts w:ascii="Times New Roman" w:hAnsi="Times New Roman" w:cs="Times New Roman"/>
          <w:sz w:val="24"/>
          <w:szCs w:val="24"/>
        </w:rPr>
        <w:t>, 1913 AD 221 at 227. This lays down the requirements which an applicant for an interdict must satisfy for him to succeed. The requirements comprise:</w:t>
      </w:r>
    </w:p>
    <w:p w:rsidR="008F208F" w:rsidRPr="009C3CF7" w:rsidRDefault="00D6736D" w:rsidP="009C3CF7">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w:t>
      </w:r>
      <w:r w:rsidR="008F208F" w:rsidRPr="009C3CF7">
        <w:rPr>
          <w:rFonts w:ascii="Times New Roman" w:hAnsi="Times New Roman" w:cs="Times New Roman"/>
          <w:sz w:val="24"/>
          <w:szCs w:val="24"/>
        </w:rPr>
        <w:t xml:space="preserve"> clear right or a right which is open to some doubt;</w:t>
      </w:r>
    </w:p>
    <w:p w:rsidR="008F208F" w:rsidRPr="009C3CF7" w:rsidRDefault="00D6736D" w:rsidP="009C3CF7">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w:t>
      </w:r>
      <w:r w:rsidR="008F208F" w:rsidRPr="009C3CF7">
        <w:rPr>
          <w:rFonts w:ascii="Times New Roman" w:hAnsi="Times New Roman" w:cs="Times New Roman"/>
          <w:sz w:val="24"/>
          <w:szCs w:val="24"/>
        </w:rPr>
        <w:t>ctual or reasonably apprehended injury or harm;</w:t>
      </w:r>
    </w:p>
    <w:p w:rsidR="008F208F" w:rsidRPr="009C3CF7" w:rsidRDefault="00D6736D" w:rsidP="009C3CF7">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w:t>
      </w:r>
      <w:r w:rsidR="008F208F" w:rsidRPr="009C3CF7">
        <w:rPr>
          <w:rFonts w:ascii="Times New Roman" w:hAnsi="Times New Roman" w:cs="Times New Roman"/>
          <w:sz w:val="24"/>
          <w:szCs w:val="24"/>
        </w:rPr>
        <w:t>bsence of any other remedy – and</w:t>
      </w:r>
    </w:p>
    <w:p w:rsidR="008F208F" w:rsidRPr="009C3CF7" w:rsidRDefault="00D6736D" w:rsidP="009C3CF7">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b</w:t>
      </w:r>
      <w:r w:rsidR="008F208F" w:rsidRPr="009C3CF7">
        <w:rPr>
          <w:rFonts w:ascii="Times New Roman" w:hAnsi="Times New Roman" w:cs="Times New Roman"/>
          <w:sz w:val="24"/>
          <w:szCs w:val="24"/>
        </w:rPr>
        <w:t>alance of convenience which favours the applicant.</w:t>
      </w:r>
    </w:p>
    <w:p w:rsidR="006A024A" w:rsidRPr="009C3CF7" w:rsidRDefault="00900916" w:rsidP="009C3C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A024A" w:rsidRPr="009C3CF7">
        <w:rPr>
          <w:rFonts w:ascii="Times New Roman" w:hAnsi="Times New Roman" w:cs="Times New Roman"/>
          <w:sz w:val="24"/>
          <w:szCs w:val="24"/>
        </w:rPr>
        <w:t xml:space="preserve">For the applicant to succeed in her application for a temporary interdict, she must show that she has a </w:t>
      </w:r>
      <w:r w:rsidR="006A024A" w:rsidRPr="00212F69">
        <w:rPr>
          <w:rFonts w:ascii="Times New Roman" w:hAnsi="Times New Roman" w:cs="Times New Roman"/>
          <w:i/>
          <w:sz w:val="24"/>
          <w:szCs w:val="24"/>
        </w:rPr>
        <w:t>prima facie</w:t>
      </w:r>
      <w:r w:rsidR="006A024A" w:rsidRPr="009C3CF7">
        <w:rPr>
          <w:rFonts w:ascii="Times New Roman" w:hAnsi="Times New Roman" w:cs="Times New Roman"/>
          <w:sz w:val="24"/>
          <w:szCs w:val="24"/>
        </w:rPr>
        <w:t xml:space="preserve"> right to the property. </w:t>
      </w:r>
      <w:r>
        <w:rPr>
          <w:rFonts w:ascii="Times New Roman" w:hAnsi="Times New Roman" w:cs="Times New Roman"/>
          <w:sz w:val="24"/>
          <w:szCs w:val="24"/>
        </w:rPr>
        <w:t xml:space="preserve"> </w:t>
      </w:r>
      <w:r w:rsidR="006A024A" w:rsidRPr="009C3CF7">
        <w:rPr>
          <w:rFonts w:ascii="Times New Roman" w:hAnsi="Times New Roman" w:cs="Times New Roman"/>
          <w:sz w:val="24"/>
          <w:szCs w:val="24"/>
        </w:rPr>
        <w:t xml:space="preserve">A </w:t>
      </w:r>
      <w:r w:rsidR="006A024A" w:rsidRPr="00900916">
        <w:rPr>
          <w:rFonts w:ascii="Times New Roman" w:hAnsi="Times New Roman" w:cs="Times New Roman"/>
          <w:i/>
          <w:sz w:val="24"/>
          <w:szCs w:val="24"/>
        </w:rPr>
        <w:t>prima facie</w:t>
      </w:r>
      <w:r w:rsidR="006A024A" w:rsidRPr="009C3CF7">
        <w:rPr>
          <w:rFonts w:ascii="Times New Roman" w:hAnsi="Times New Roman" w:cs="Times New Roman"/>
          <w:sz w:val="24"/>
          <w:szCs w:val="24"/>
        </w:rPr>
        <w:t xml:space="preserve"> right is one which is open to doubt but which, on the return date, will be shown to have ripened into a clear right. </w:t>
      </w:r>
      <w:r>
        <w:rPr>
          <w:rFonts w:ascii="Times New Roman" w:hAnsi="Times New Roman" w:cs="Times New Roman"/>
          <w:sz w:val="24"/>
          <w:szCs w:val="24"/>
        </w:rPr>
        <w:t xml:space="preserve"> </w:t>
      </w:r>
      <w:r w:rsidR="006A024A" w:rsidRPr="009C3CF7">
        <w:rPr>
          <w:rFonts w:ascii="Times New Roman" w:hAnsi="Times New Roman" w:cs="Times New Roman"/>
          <w:sz w:val="24"/>
          <w:szCs w:val="24"/>
        </w:rPr>
        <w:t xml:space="preserve">It is more often than not available to an applicant who seeks the remedy of an interim interdict which may either be confirmed or discharged on the return date. </w:t>
      </w:r>
      <w:r>
        <w:rPr>
          <w:rFonts w:ascii="Times New Roman" w:hAnsi="Times New Roman" w:cs="Times New Roman"/>
          <w:sz w:val="24"/>
          <w:szCs w:val="24"/>
        </w:rPr>
        <w:t xml:space="preserve"> </w:t>
      </w:r>
      <w:r w:rsidR="006A024A" w:rsidRPr="009C3CF7">
        <w:rPr>
          <w:rFonts w:ascii="Times New Roman" w:hAnsi="Times New Roman" w:cs="Times New Roman"/>
          <w:sz w:val="24"/>
          <w:szCs w:val="24"/>
        </w:rPr>
        <w:t xml:space="preserve">It will be confirmed if the applicant establishes that her </w:t>
      </w:r>
      <w:r w:rsidR="006A024A" w:rsidRPr="00900916">
        <w:rPr>
          <w:rFonts w:ascii="Times New Roman" w:hAnsi="Times New Roman" w:cs="Times New Roman"/>
          <w:i/>
          <w:sz w:val="24"/>
          <w:szCs w:val="24"/>
        </w:rPr>
        <w:t>prima facie</w:t>
      </w:r>
      <w:r w:rsidR="006A024A" w:rsidRPr="009C3CF7">
        <w:rPr>
          <w:rFonts w:ascii="Times New Roman" w:hAnsi="Times New Roman" w:cs="Times New Roman"/>
          <w:sz w:val="24"/>
          <w:szCs w:val="24"/>
        </w:rPr>
        <w:t xml:space="preserve"> right is, in fact, a clear right. </w:t>
      </w:r>
      <w:r>
        <w:rPr>
          <w:rFonts w:ascii="Times New Roman" w:hAnsi="Times New Roman" w:cs="Times New Roman"/>
          <w:sz w:val="24"/>
          <w:szCs w:val="24"/>
        </w:rPr>
        <w:t xml:space="preserve"> </w:t>
      </w:r>
      <w:r w:rsidR="006A024A" w:rsidRPr="009C3CF7">
        <w:rPr>
          <w:rFonts w:ascii="Times New Roman" w:hAnsi="Times New Roman" w:cs="Times New Roman"/>
          <w:sz w:val="24"/>
          <w:szCs w:val="24"/>
        </w:rPr>
        <w:t>Where she fails to do so on the return date, the interim order which would have been entered in her favour will naturally be discharged.</w:t>
      </w:r>
    </w:p>
    <w:p w:rsidR="00441DDB" w:rsidRPr="009C3CF7" w:rsidRDefault="00900916" w:rsidP="009C3C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41DDB" w:rsidRPr="009C3CF7">
        <w:rPr>
          <w:rFonts w:ascii="Times New Roman" w:hAnsi="Times New Roman" w:cs="Times New Roman"/>
          <w:sz w:val="24"/>
          <w:szCs w:val="24"/>
        </w:rPr>
        <w:t xml:space="preserve">Whether or not the applicant established a prima facie right </w:t>
      </w:r>
      <w:r w:rsidR="00441DDB" w:rsidRPr="00900916">
        <w:rPr>
          <w:rFonts w:ascii="Times New Roman" w:hAnsi="Times New Roman" w:cs="Times New Roman"/>
          <w:i/>
          <w:sz w:val="24"/>
          <w:szCs w:val="24"/>
        </w:rPr>
        <w:t>in casu</w:t>
      </w:r>
      <w:r w:rsidR="00441DDB" w:rsidRPr="009C3CF7">
        <w:rPr>
          <w:rFonts w:ascii="Times New Roman" w:hAnsi="Times New Roman" w:cs="Times New Roman"/>
          <w:sz w:val="24"/>
          <w:szCs w:val="24"/>
        </w:rPr>
        <w:t xml:space="preserve"> does, in a large measure, depend on the evidence which she placed before me. Annexures </w:t>
      </w:r>
      <w:r w:rsidR="00212F69">
        <w:rPr>
          <w:rFonts w:ascii="Times New Roman" w:hAnsi="Times New Roman" w:cs="Times New Roman"/>
          <w:sz w:val="24"/>
          <w:szCs w:val="24"/>
        </w:rPr>
        <w:t>‘</w:t>
      </w:r>
      <w:r w:rsidR="00441DDB" w:rsidRPr="009C3CF7">
        <w:rPr>
          <w:rFonts w:ascii="Times New Roman" w:hAnsi="Times New Roman" w:cs="Times New Roman"/>
          <w:sz w:val="24"/>
          <w:szCs w:val="24"/>
        </w:rPr>
        <w:t>A</w:t>
      </w:r>
      <w:r w:rsidR="00212F69">
        <w:rPr>
          <w:rFonts w:ascii="Times New Roman" w:hAnsi="Times New Roman" w:cs="Times New Roman"/>
          <w:sz w:val="24"/>
          <w:szCs w:val="24"/>
        </w:rPr>
        <w:t>’</w:t>
      </w:r>
      <w:r w:rsidRPr="009C3CF7">
        <w:rPr>
          <w:rFonts w:ascii="Times New Roman" w:hAnsi="Times New Roman" w:cs="Times New Roman"/>
          <w:sz w:val="24"/>
          <w:szCs w:val="24"/>
        </w:rPr>
        <w:t xml:space="preserve">, </w:t>
      </w:r>
      <w:r w:rsidR="00212F69">
        <w:rPr>
          <w:rFonts w:ascii="Times New Roman" w:hAnsi="Times New Roman" w:cs="Times New Roman"/>
          <w:sz w:val="24"/>
          <w:szCs w:val="24"/>
        </w:rPr>
        <w:t>‘</w:t>
      </w:r>
      <w:r w:rsidRPr="009C3CF7">
        <w:rPr>
          <w:rFonts w:ascii="Times New Roman" w:hAnsi="Times New Roman" w:cs="Times New Roman"/>
          <w:sz w:val="24"/>
          <w:szCs w:val="24"/>
        </w:rPr>
        <w:t>B</w:t>
      </w:r>
      <w:r w:rsidR="00212F69">
        <w:rPr>
          <w:rFonts w:ascii="Times New Roman" w:hAnsi="Times New Roman" w:cs="Times New Roman"/>
          <w:sz w:val="24"/>
          <w:szCs w:val="24"/>
        </w:rPr>
        <w:t>’</w:t>
      </w:r>
      <w:r w:rsidR="00441DDB" w:rsidRPr="009C3CF7">
        <w:rPr>
          <w:rFonts w:ascii="Times New Roman" w:hAnsi="Times New Roman" w:cs="Times New Roman"/>
          <w:sz w:val="24"/>
          <w:szCs w:val="24"/>
        </w:rPr>
        <w:t xml:space="preserve"> and </w:t>
      </w:r>
      <w:r w:rsidR="00212F69">
        <w:rPr>
          <w:rFonts w:ascii="Times New Roman" w:hAnsi="Times New Roman" w:cs="Times New Roman"/>
          <w:sz w:val="24"/>
          <w:szCs w:val="24"/>
        </w:rPr>
        <w:t>‘</w:t>
      </w:r>
      <w:r w:rsidR="00441DDB" w:rsidRPr="009C3CF7">
        <w:rPr>
          <w:rFonts w:ascii="Times New Roman" w:hAnsi="Times New Roman" w:cs="Times New Roman"/>
          <w:sz w:val="24"/>
          <w:szCs w:val="24"/>
        </w:rPr>
        <w:t>C</w:t>
      </w:r>
      <w:r w:rsidR="00212F69">
        <w:rPr>
          <w:rFonts w:ascii="Times New Roman" w:hAnsi="Times New Roman" w:cs="Times New Roman"/>
          <w:sz w:val="24"/>
          <w:szCs w:val="24"/>
        </w:rPr>
        <w:t>’</w:t>
      </w:r>
      <w:r w:rsidR="00441DDB" w:rsidRPr="009C3CF7">
        <w:rPr>
          <w:rFonts w:ascii="Times New Roman" w:hAnsi="Times New Roman" w:cs="Times New Roman"/>
          <w:sz w:val="24"/>
          <w:szCs w:val="24"/>
        </w:rPr>
        <w:t xml:space="preserve"> which she attached to her applicatio</w:t>
      </w:r>
      <w:r>
        <w:rPr>
          <w:rFonts w:ascii="Times New Roman" w:hAnsi="Times New Roman" w:cs="Times New Roman"/>
          <w:sz w:val="24"/>
          <w:szCs w:val="24"/>
        </w:rPr>
        <w:t>n are relevant. The first one, ‘</w:t>
      </w:r>
      <w:r w:rsidR="00441DDB" w:rsidRPr="009C3CF7">
        <w:rPr>
          <w:rFonts w:ascii="Times New Roman" w:hAnsi="Times New Roman" w:cs="Times New Roman"/>
          <w:sz w:val="24"/>
          <w:szCs w:val="24"/>
        </w:rPr>
        <w:t>A</w:t>
      </w:r>
      <w:r>
        <w:rPr>
          <w:rFonts w:ascii="Times New Roman" w:hAnsi="Times New Roman" w:cs="Times New Roman"/>
          <w:sz w:val="24"/>
          <w:szCs w:val="24"/>
        </w:rPr>
        <w:t>’</w:t>
      </w:r>
      <w:r w:rsidR="00441DDB" w:rsidRPr="009C3CF7">
        <w:rPr>
          <w:rFonts w:ascii="Times New Roman" w:hAnsi="Times New Roman" w:cs="Times New Roman"/>
          <w:sz w:val="24"/>
          <w:szCs w:val="24"/>
        </w:rPr>
        <w:t xml:space="preserve">, is the offer letter which the third respondent addressed to the applicant on 28 October, 2010. </w:t>
      </w:r>
      <w:r>
        <w:rPr>
          <w:rFonts w:ascii="Times New Roman" w:hAnsi="Times New Roman" w:cs="Times New Roman"/>
          <w:sz w:val="24"/>
          <w:szCs w:val="24"/>
        </w:rPr>
        <w:t xml:space="preserve"> </w:t>
      </w:r>
      <w:r w:rsidR="00441DDB" w:rsidRPr="009C3CF7">
        <w:rPr>
          <w:rFonts w:ascii="Times New Roman" w:hAnsi="Times New Roman" w:cs="Times New Roman"/>
          <w:sz w:val="24"/>
          <w:szCs w:val="24"/>
        </w:rPr>
        <w:t>It appe</w:t>
      </w:r>
      <w:r>
        <w:rPr>
          <w:rFonts w:ascii="Times New Roman" w:hAnsi="Times New Roman" w:cs="Times New Roman"/>
          <w:sz w:val="24"/>
          <w:szCs w:val="24"/>
        </w:rPr>
        <w:t>ars at p</w:t>
      </w:r>
      <w:r w:rsidR="00441DDB" w:rsidRPr="009C3CF7">
        <w:rPr>
          <w:rFonts w:ascii="Times New Roman" w:hAnsi="Times New Roman" w:cs="Times New Roman"/>
          <w:sz w:val="24"/>
          <w:szCs w:val="24"/>
        </w:rPr>
        <w:t xml:space="preserve"> 17 of the record. It offers the property to her. </w:t>
      </w:r>
      <w:r>
        <w:rPr>
          <w:rFonts w:ascii="Times New Roman" w:hAnsi="Times New Roman" w:cs="Times New Roman"/>
          <w:sz w:val="24"/>
          <w:szCs w:val="24"/>
        </w:rPr>
        <w:t xml:space="preserve"> </w:t>
      </w:r>
      <w:r w:rsidR="00441DDB" w:rsidRPr="009C3CF7">
        <w:rPr>
          <w:rFonts w:ascii="Times New Roman" w:hAnsi="Times New Roman" w:cs="Times New Roman"/>
          <w:sz w:val="24"/>
          <w:szCs w:val="24"/>
        </w:rPr>
        <w:t xml:space="preserve">Annexure </w:t>
      </w:r>
      <w:r>
        <w:rPr>
          <w:rFonts w:ascii="Times New Roman" w:hAnsi="Times New Roman" w:cs="Times New Roman"/>
          <w:sz w:val="24"/>
          <w:szCs w:val="24"/>
        </w:rPr>
        <w:t>‘</w:t>
      </w:r>
      <w:r w:rsidR="00441DDB" w:rsidRPr="009C3CF7">
        <w:rPr>
          <w:rFonts w:ascii="Times New Roman" w:hAnsi="Times New Roman" w:cs="Times New Roman"/>
          <w:sz w:val="24"/>
          <w:szCs w:val="24"/>
        </w:rPr>
        <w:t>B</w:t>
      </w:r>
      <w:r>
        <w:rPr>
          <w:rFonts w:ascii="Times New Roman" w:hAnsi="Times New Roman" w:cs="Times New Roman"/>
          <w:sz w:val="24"/>
          <w:szCs w:val="24"/>
        </w:rPr>
        <w:t>’</w:t>
      </w:r>
      <w:r w:rsidR="00441DDB" w:rsidRPr="009C3CF7">
        <w:rPr>
          <w:rFonts w:ascii="Times New Roman" w:hAnsi="Times New Roman" w:cs="Times New Roman"/>
          <w:sz w:val="24"/>
          <w:szCs w:val="24"/>
        </w:rPr>
        <w:t xml:space="preserve"> is the original Access to Home Ownership List where</w:t>
      </w:r>
      <w:r w:rsidR="00111AC8" w:rsidRPr="009C3CF7">
        <w:rPr>
          <w:rFonts w:ascii="Times New Roman" w:hAnsi="Times New Roman" w:cs="Times New Roman"/>
          <w:sz w:val="24"/>
          <w:szCs w:val="24"/>
        </w:rPr>
        <w:t>in</w:t>
      </w:r>
      <w:r w:rsidR="00441DDB" w:rsidRPr="009C3CF7">
        <w:rPr>
          <w:rFonts w:ascii="Times New Roman" w:hAnsi="Times New Roman" w:cs="Times New Roman"/>
          <w:sz w:val="24"/>
          <w:szCs w:val="24"/>
        </w:rPr>
        <w:t xml:space="preserve"> the applicant’s name appears in the first column, her identification certificate number appears in the second column and the number of the property which the third respondent allocated to her appears in the third column. The annexure is at page 18 of the record. The last annexure, ‘C’, contains names of beneficiaries of properties who paid for the same through FBC Building Society ac</w:t>
      </w:r>
      <w:r>
        <w:rPr>
          <w:rFonts w:ascii="Times New Roman" w:hAnsi="Times New Roman" w:cs="Times New Roman"/>
          <w:sz w:val="24"/>
          <w:szCs w:val="24"/>
        </w:rPr>
        <w:t>count. Her name appears at p</w:t>
      </w:r>
      <w:r w:rsidR="00441DDB" w:rsidRPr="009C3CF7">
        <w:rPr>
          <w:rFonts w:ascii="Times New Roman" w:hAnsi="Times New Roman" w:cs="Times New Roman"/>
          <w:sz w:val="24"/>
          <w:szCs w:val="24"/>
        </w:rPr>
        <w:t xml:space="preserve"> 21 of the record.</w:t>
      </w:r>
      <w:r w:rsidR="00B73143" w:rsidRPr="009C3CF7">
        <w:rPr>
          <w:rFonts w:ascii="Times New Roman" w:hAnsi="Times New Roman" w:cs="Times New Roman"/>
          <w:sz w:val="24"/>
          <w:szCs w:val="24"/>
        </w:rPr>
        <w:t xml:space="preserve">   </w:t>
      </w:r>
    </w:p>
    <w:p w:rsidR="00B73143" w:rsidRPr="009C3CF7" w:rsidRDefault="00900916" w:rsidP="009C3C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11AC8" w:rsidRPr="009C3CF7">
        <w:rPr>
          <w:rFonts w:ascii="Times New Roman" w:hAnsi="Times New Roman" w:cs="Times New Roman"/>
          <w:sz w:val="24"/>
          <w:szCs w:val="24"/>
        </w:rPr>
        <w:t xml:space="preserve">Annexures </w:t>
      </w:r>
      <w:r>
        <w:rPr>
          <w:rFonts w:ascii="Times New Roman" w:hAnsi="Times New Roman" w:cs="Times New Roman"/>
          <w:sz w:val="24"/>
          <w:szCs w:val="24"/>
        </w:rPr>
        <w:t>‘</w:t>
      </w:r>
      <w:r w:rsidR="00111AC8" w:rsidRPr="009C3CF7">
        <w:rPr>
          <w:rFonts w:ascii="Times New Roman" w:hAnsi="Times New Roman" w:cs="Times New Roman"/>
          <w:sz w:val="24"/>
          <w:szCs w:val="24"/>
        </w:rPr>
        <w:t>D</w:t>
      </w:r>
      <w:r>
        <w:rPr>
          <w:rFonts w:ascii="Times New Roman" w:hAnsi="Times New Roman" w:cs="Times New Roman"/>
          <w:sz w:val="24"/>
          <w:szCs w:val="24"/>
        </w:rPr>
        <w:t>’</w:t>
      </w:r>
      <w:r w:rsidR="00111AC8" w:rsidRPr="009C3CF7">
        <w:rPr>
          <w:rFonts w:ascii="Times New Roman" w:hAnsi="Times New Roman" w:cs="Times New Roman"/>
          <w:sz w:val="24"/>
          <w:szCs w:val="24"/>
        </w:rPr>
        <w:t xml:space="preserve"> and </w:t>
      </w:r>
      <w:r>
        <w:rPr>
          <w:rFonts w:ascii="Times New Roman" w:hAnsi="Times New Roman" w:cs="Times New Roman"/>
          <w:sz w:val="24"/>
          <w:szCs w:val="24"/>
        </w:rPr>
        <w:t>‘</w:t>
      </w:r>
      <w:r w:rsidR="00111AC8" w:rsidRPr="009C3CF7">
        <w:rPr>
          <w:rFonts w:ascii="Times New Roman" w:hAnsi="Times New Roman" w:cs="Times New Roman"/>
          <w:sz w:val="24"/>
          <w:szCs w:val="24"/>
        </w:rPr>
        <w:t>E</w:t>
      </w:r>
      <w:r>
        <w:rPr>
          <w:rFonts w:ascii="Times New Roman" w:hAnsi="Times New Roman" w:cs="Times New Roman"/>
          <w:sz w:val="24"/>
          <w:szCs w:val="24"/>
        </w:rPr>
        <w:t>’</w:t>
      </w:r>
      <w:r w:rsidR="00111AC8" w:rsidRPr="009C3CF7">
        <w:rPr>
          <w:rFonts w:ascii="Times New Roman" w:hAnsi="Times New Roman" w:cs="Times New Roman"/>
          <w:sz w:val="24"/>
          <w:szCs w:val="24"/>
        </w:rPr>
        <w:t xml:space="preserve"> constitute</w:t>
      </w:r>
      <w:r w:rsidR="00B73143" w:rsidRPr="009C3CF7">
        <w:rPr>
          <w:rFonts w:ascii="Times New Roman" w:hAnsi="Times New Roman" w:cs="Times New Roman"/>
          <w:sz w:val="24"/>
          <w:szCs w:val="24"/>
        </w:rPr>
        <w:t xml:space="preserve"> further evidence which support the claim of the applicant. The first is a memorandum which the Acting Chief Housing and Social Amenities Officer wrote </w:t>
      </w:r>
      <w:r w:rsidR="00B73143" w:rsidRPr="009C3CF7">
        <w:rPr>
          <w:rFonts w:ascii="Times New Roman" w:hAnsi="Times New Roman" w:cs="Times New Roman"/>
          <w:sz w:val="24"/>
          <w:szCs w:val="24"/>
        </w:rPr>
        <w:lastRenderedPageBreak/>
        <w:t>to the third respondent</w:t>
      </w:r>
      <w:r>
        <w:rPr>
          <w:rFonts w:ascii="Times New Roman" w:hAnsi="Times New Roman" w:cs="Times New Roman"/>
          <w:sz w:val="24"/>
          <w:szCs w:val="24"/>
        </w:rPr>
        <w:t xml:space="preserve"> on 15 April</w:t>
      </w:r>
      <w:r w:rsidR="00B73143" w:rsidRPr="009C3CF7">
        <w:rPr>
          <w:rFonts w:ascii="Times New Roman" w:hAnsi="Times New Roman" w:cs="Times New Roman"/>
          <w:sz w:val="24"/>
          <w:szCs w:val="24"/>
        </w:rPr>
        <w:t xml:space="preserve"> 2014. Its contents relate to work which the Ministerial Committee conducted. It investigated operations at Garikayi Phase 2. Its aim and object were to amend irregularities which related to the project, come up with a </w:t>
      </w:r>
      <w:r w:rsidR="00B73143" w:rsidRPr="00D6736D">
        <w:rPr>
          <w:rFonts w:ascii="Times New Roman" w:hAnsi="Times New Roman" w:cs="Times New Roman"/>
          <w:i/>
          <w:sz w:val="24"/>
          <w:szCs w:val="24"/>
        </w:rPr>
        <w:t>bona fide</w:t>
      </w:r>
      <w:r w:rsidR="00B73143" w:rsidRPr="009C3CF7">
        <w:rPr>
          <w:rFonts w:ascii="Times New Roman" w:hAnsi="Times New Roman" w:cs="Times New Roman"/>
          <w:sz w:val="24"/>
          <w:szCs w:val="24"/>
        </w:rPr>
        <w:t xml:space="preserve"> list of beneficiaries as well as make recommendations to the Minister. Its recommendation</w:t>
      </w:r>
      <w:r w:rsidR="00111AC8" w:rsidRPr="009C3CF7">
        <w:rPr>
          <w:rFonts w:ascii="Times New Roman" w:hAnsi="Times New Roman" w:cs="Times New Roman"/>
          <w:sz w:val="24"/>
          <w:szCs w:val="24"/>
        </w:rPr>
        <w:t>s which appear</w:t>
      </w:r>
      <w:r>
        <w:rPr>
          <w:rFonts w:ascii="Times New Roman" w:hAnsi="Times New Roman" w:cs="Times New Roman"/>
          <w:sz w:val="24"/>
          <w:szCs w:val="24"/>
        </w:rPr>
        <w:t xml:space="preserve"> in para(s) </w:t>
      </w:r>
      <w:r w:rsidR="00B73143" w:rsidRPr="009C3CF7">
        <w:rPr>
          <w:rFonts w:ascii="Times New Roman" w:hAnsi="Times New Roman" w:cs="Times New Roman"/>
          <w:sz w:val="24"/>
          <w:szCs w:val="24"/>
        </w:rPr>
        <w:t xml:space="preserve">3.1 and 3.2 are relevant. </w:t>
      </w:r>
      <w:r>
        <w:rPr>
          <w:rFonts w:ascii="Times New Roman" w:hAnsi="Times New Roman" w:cs="Times New Roman"/>
          <w:sz w:val="24"/>
          <w:szCs w:val="24"/>
        </w:rPr>
        <w:t xml:space="preserve"> These are at p</w:t>
      </w:r>
      <w:r w:rsidR="00B73143" w:rsidRPr="009C3CF7">
        <w:rPr>
          <w:rFonts w:ascii="Times New Roman" w:hAnsi="Times New Roman" w:cs="Times New Roman"/>
          <w:sz w:val="24"/>
          <w:szCs w:val="24"/>
        </w:rPr>
        <w:t xml:space="preserve"> 24 of the record. They read:</w:t>
      </w:r>
    </w:p>
    <w:p w:rsidR="00B73143" w:rsidRPr="00900916" w:rsidRDefault="00900916" w:rsidP="00900916">
      <w:pPr>
        <w:spacing w:after="0" w:line="240" w:lineRule="auto"/>
        <w:jc w:val="both"/>
        <w:rPr>
          <w:rFonts w:ascii="Times New Roman" w:hAnsi="Times New Roman" w:cs="Times New Roman"/>
        </w:rPr>
      </w:pPr>
      <w:r>
        <w:rPr>
          <w:rFonts w:ascii="Times New Roman" w:hAnsi="Times New Roman" w:cs="Times New Roman"/>
        </w:rPr>
        <w:tab/>
      </w:r>
      <w:r w:rsidR="00B73143" w:rsidRPr="00900916">
        <w:rPr>
          <w:rFonts w:ascii="Times New Roman" w:hAnsi="Times New Roman" w:cs="Times New Roman"/>
        </w:rPr>
        <w:t>“ 3.1</w:t>
      </w:r>
      <w:r>
        <w:rPr>
          <w:rFonts w:ascii="Times New Roman" w:hAnsi="Times New Roman" w:cs="Times New Roman"/>
        </w:rPr>
        <w:tab/>
      </w:r>
      <w:r w:rsidR="00B73143" w:rsidRPr="00900916">
        <w:rPr>
          <w:rFonts w:ascii="Times New Roman" w:hAnsi="Times New Roman" w:cs="Times New Roman"/>
        </w:rPr>
        <w:t>…………………….it is recommended that:</w:t>
      </w:r>
    </w:p>
    <w:p w:rsidR="00B73143" w:rsidRDefault="00900916" w:rsidP="00900916">
      <w:pPr>
        <w:spacing w:after="0" w:line="240" w:lineRule="auto"/>
        <w:jc w:val="both"/>
        <w:rPr>
          <w:rFonts w:ascii="Times New Roman" w:hAnsi="Times New Roman" w:cs="Times New Roman"/>
        </w:rPr>
      </w:pPr>
      <w:r>
        <w:rPr>
          <w:rFonts w:ascii="Times New Roman" w:hAnsi="Times New Roman" w:cs="Times New Roman"/>
        </w:rPr>
        <w:tab/>
      </w:r>
      <w:r w:rsidR="00B73143" w:rsidRPr="00900916">
        <w:rPr>
          <w:rFonts w:ascii="Times New Roman" w:hAnsi="Times New Roman" w:cs="Times New Roman"/>
        </w:rPr>
        <w:t xml:space="preserve">   3.2 </w:t>
      </w:r>
      <w:r>
        <w:rPr>
          <w:rFonts w:ascii="Times New Roman" w:hAnsi="Times New Roman" w:cs="Times New Roman"/>
        </w:rPr>
        <w:tab/>
      </w:r>
      <w:r w:rsidR="00B73143" w:rsidRPr="00900916">
        <w:rPr>
          <w:rFonts w:ascii="Times New Roman" w:hAnsi="Times New Roman" w:cs="Times New Roman"/>
        </w:rPr>
        <w:t xml:space="preserve">All original beneficiaries on the list from the FBC Bank and Folio 90 must be restored back </w:t>
      </w:r>
      <w:r>
        <w:rPr>
          <w:rFonts w:ascii="Times New Roman" w:hAnsi="Times New Roman" w:cs="Times New Roman"/>
        </w:rPr>
        <w:tab/>
      </w:r>
      <w:r>
        <w:rPr>
          <w:rFonts w:ascii="Times New Roman" w:hAnsi="Times New Roman" w:cs="Times New Roman"/>
        </w:rPr>
        <w:tab/>
      </w:r>
      <w:r w:rsidR="00B73143" w:rsidRPr="00900916">
        <w:rPr>
          <w:rFonts w:ascii="Times New Roman" w:hAnsi="Times New Roman" w:cs="Times New Roman"/>
        </w:rPr>
        <w:t>on</w:t>
      </w:r>
      <w:r w:rsidR="00CF13D4" w:rsidRPr="00900916">
        <w:rPr>
          <w:rFonts w:ascii="Times New Roman" w:hAnsi="Times New Roman" w:cs="Times New Roman"/>
        </w:rPr>
        <w:t xml:space="preserve"> their stands. Double allottees</w:t>
      </w:r>
      <w:r w:rsidR="00B73143" w:rsidRPr="00900916">
        <w:rPr>
          <w:rFonts w:ascii="Times New Roman" w:hAnsi="Times New Roman" w:cs="Times New Roman"/>
        </w:rPr>
        <w:t xml:space="preserve"> must be evicted and b</w:t>
      </w:r>
      <w:r>
        <w:rPr>
          <w:rFonts w:ascii="Times New Roman" w:hAnsi="Times New Roman" w:cs="Times New Roman"/>
        </w:rPr>
        <w:t>e refunded their contributions.”</w:t>
      </w:r>
    </w:p>
    <w:p w:rsidR="00900916" w:rsidRPr="00900916" w:rsidRDefault="00900916" w:rsidP="00900916">
      <w:pPr>
        <w:spacing w:after="0" w:line="240" w:lineRule="auto"/>
        <w:jc w:val="both"/>
        <w:rPr>
          <w:rFonts w:ascii="Times New Roman" w:hAnsi="Times New Roman" w:cs="Times New Roman"/>
        </w:rPr>
      </w:pPr>
    </w:p>
    <w:p w:rsidR="00AB19BC" w:rsidRPr="009C3CF7" w:rsidRDefault="00900916" w:rsidP="009C3C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B19BC" w:rsidRPr="009C3CF7">
        <w:rPr>
          <w:rFonts w:ascii="Times New Roman" w:hAnsi="Times New Roman" w:cs="Times New Roman"/>
          <w:sz w:val="24"/>
          <w:szCs w:val="24"/>
        </w:rPr>
        <w:t>The abovementioned view was echoed in the letter which the third respondent’s Ministry wrote to the Provincial</w:t>
      </w:r>
      <w:r>
        <w:rPr>
          <w:rFonts w:ascii="Times New Roman" w:hAnsi="Times New Roman" w:cs="Times New Roman"/>
          <w:sz w:val="24"/>
          <w:szCs w:val="24"/>
        </w:rPr>
        <w:t xml:space="preserve"> Administrator on 25 April</w:t>
      </w:r>
      <w:r w:rsidR="00AB19BC" w:rsidRPr="009C3CF7">
        <w:rPr>
          <w:rFonts w:ascii="Times New Roman" w:hAnsi="Times New Roman" w:cs="Times New Roman"/>
          <w:sz w:val="24"/>
          <w:szCs w:val="24"/>
        </w:rPr>
        <w:t xml:space="preserve"> 2014. Paragraphs 1, 2 and 3 of the recommendations a</w:t>
      </w:r>
      <w:r>
        <w:rPr>
          <w:rFonts w:ascii="Times New Roman" w:hAnsi="Times New Roman" w:cs="Times New Roman"/>
          <w:sz w:val="24"/>
          <w:szCs w:val="24"/>
        </w:rPr>
        <w:t>re relevant. They appear at p</w:t>
      </w:r>
      <w:r w:rsidR="00AB19BC" w:rsidRPr="009C3CF7">
        <w:rPr>
          <w:rFonts w:ascii="Times New Roman" w:hAnsi="Times New Roman" w:cs="Times New Roman"/>
          <w:sz w:val="24"/>
          <w:szCs w:val="24"/>
        </w:rPr>
        <w:t xml:space="preserve"> 30 of the record. They read:</w:t>
      </w:r>
    </w:p>
    <w:p w:rsidR="00AB19BC" w:rsidRPr="00900916" w:rsidRDefault="00900916" w:rsidP="00900916">
      <w:pPr>
        <w:spacing w:after="0" w:line="240" w:lineRule="auto"/>
        <w:jc w:val="both"/>
        <w:rPr>
          <w:rFonts w:ascii="Times New Roman" w:hAnsi="Times New Roman" w:cs="Times New Roman"/>
        </w:rPr>
      </w:pPr>
      <w:r>
        <w:rPr>
          <w:rFonts w:ascii="Times New Roman" w:hAnsi="Times New Roman" w:cs="Times New Roman"/>
        </w:rPr>
        <w:tab/>
      </w:r>
      <w:r w:rsidR="00AB19BC" w:rsidRPr="00900916">
        <w:rPr>
          <w:rFonts w:ascii="Times New Roman" w:hAnsi="Times New Roman" w:cs="Times New Roman"/>
        </w:rPr>
        <w:t>“RECOMMENDATIONS</w:t>
      </w:r>
    </w:p>
    <w:p w:rsidR="00FA059E" w:rsidRDefault="00900916" w:rsidP="00FA059E">
      <w:pPr>
        <w:spacing w:after="0" w:line="240" w:lineRule="auto"/>
        <w:ind w:left="150"/>
        <w:jc w:val="both"/>
        <w:rPr>
          <w:rFonts w:ascii="Times New Roman" w:hAnsi="Times New Roman" w:cs="Times New Roman"/>
        </w:rPr>
      </w:pPr>
      <w:r>
        <w:rPr>
          <w:rFonts w:ascii="Times New Roman" w:hAnsi="Times New Roman" w:cs="Times New Roman"/>
        </w:rPr>
        <w:tab/>
      </w:r>
      <w:r w:rsidRPr="00900916">
        <w:rPr>
          <w:rFonts w:ascii="Times New Roman" w:hAnsi="Times New Roman" w:cs="Times New Roman"/>
        </w:rPr>
        <w:t>I.</w:t>
      </w:r>
      <w:r w:rsidRPr="00900916">
        <w:rPr>
          <w:rFonts w:ascii="Times New Roman" w:hAnsi="Times New Roman" w:cs="Times New Roman"/>
        </w:rPr>
        <w:tab/>
      </w:r>
      <w:r w:rsidR="00AB19BC" w:rsidRPr="00900916">
        <w:rPr>
          <w:rFonts w:ascii="Times New Roman" w:hAnsi="Times New Roman" w:cs="Times New Roman"/>
        </w:rPr>
        <w:t xml:space="preserve">To adopt the list of beneficiaries from the bank and folio 90 as a </w:t>
      </w:r>
      <w:r w:rsidR="00AB19BC" w:rsidRPr="00D6736D">
        <w:rPr>
          <w:rFonts w:ascii="Times New Roman" w:hAnsi="Times New Roman" w:cs="Times New Roman"/>
          <w:i/>
        </w:rPr>
        <w:t>bona fide</w:t>
      </w:r>
      <w:r w:rsidR="00AB19BC" w:rsidRPr="00900916">
        <w:rPr>
          <w:rFonts w:ascii="Times New Roman" w:hAnsi="Times New Roman" w:cs="Times New Roman"/>
        </w:rPr>
        <w:t xml:space="preserve"> true copy of the </w:t>
      </w:r>
      <w:r>
        <w:rPr>
          <w:rFonts w:ascii="Times New Roman" w:hAnsi="Times New Roman" w:cs="Times New Roman"/>
        </w:rPr>
        <w:tab/>
      </w:r>
      <w:r>
        <w:rPr>
          <w:rFonts w:ascii="Times New Roman" w:hAnsi="Times New Roman" w:cs="Times New Roman"/>
        </w:rPr>
        <w:tab/>
      </w:r>
      <w:r w:rsidR="00AB19BC" w:rsidRPr="00900916">
        <w:rPr>
          <w:rFonts w:ascii="Times New Roman" w:hAnsi="Times New Roman" w:cs="Times New Roman"/>
        </w:rPr>
        <w:t>original as the basis of allocation of stands and for future reference (see attached folio 90)</w:t>
      </w:r>
      <w:r w:rsidR="00FA059E">
        <w:rPr>
          <w:rFonts w:ascii="Times New Roman" w:hAnsi="Times New Roman" w:cs="Times New Roman"/>
        </w:rPr>
        <w:t xml:space="preserve"> </w:t>
      </w:r>
      <w:r w:rsidR="00FA059E">
        <w:rPr>
          <w:rFonts w:ascii="Times New Roman" w:hAnsi="Times New Roman" w:cs="Times New Roman"/>
        </w:rPr>
        <w:tab/>
        <w:t>II.</w:t>
      </w:r>
      <w:r w:rsidR="00FA059E">
        <w:rPr>
          <w:rFonts w:ascii="Times New Roman" w:hAnsi="Times New Roman" w:cs="Times New Roman"/>
        </w:rPr>
        <w:tab/>
      </w:r>
      <w:r w:rsidR="00AB19BC" w:rsidRPr="00900916">
        <w:rPr>
          <w:rFonts w:ascii="Times New Roman" w:hAnsi="Times New Roman" w:cs="Times New Roman"/>
        </w:rPr>
        <w:t xml:space="preserve">All original beneficiaries on the list from the bank and folio 90 must be restored back on </w:t>
      </w:r>
      <w:r w:rsidR="00FA059E">
        <w:rPr>
          <w:rFonts w:ascii="Times New Roman" w:hAnsi="Times New Roman" w:cs="Times New Roman"/>
        </w:rPr>
        <w:tab/>
      </w:r>
      <w:r w:rsidR="00FA059E">
        <w:rPr>
          <w:rFonts w:ascii="Times New Roman" w:hAnsi="Times New Roman" w:cs="Times New Roman"/>
        </w:rPr>
        <w:tab/>
      </w:r>
      <w:r w:rsidR="00FA059E">
        <w:rPr>
          <w:rFonts w:ascii="Times New Roman" w:hAnsi="Times New Roman" w:cs="Times New Roman"/>
        </w:rPr>
        <w:tab/>
      </w:r>
      <w:r w:rsidR="00AB19BC" w:rsidRPr="00900916">
        <w:rPr>
          <w:rFonts w:ascii="Times New Roman" w:hAnsi="Times New Roman" w:cs="Times New Roman"/>
        </w:rPr>
        <w:t xml:space="preserve">their stands. Second beneficiaries must be evicted and be refunded their contributions from </w:t>
      </w:r>
      <w:r w:rsidR="00FA059E">
        <w:rPr>
          <w:rFonts w:ascii="Times New Roman" w:hAnsi="Times New Roman" w:cs="Times New Roman"/>
        </w:rPr>
        <w:tab/>
      </w:r>
      <w:r w:rsidR="00FA059E">
        <w:rPr>
          <w:rFonts w:ascii="Times New Roman" w:hAnsi="Times New Roman" w:cs="Times New Roman"/>
        </w:rPr>
        <w:tab/>
      </w:r>
      <w:r w:rsidR="00AB19BC" w:rsidRPr="00900916">
        <w:rPr>
          <w:rFonts w:ascii="Times New Roman" w:hAnsi="Times New Roman" w:cs="Times New Roman"/>
        </w:rPr>
        <w:t>the fund to be established by the Inter-Ministerial Committee.</w:t>
      </w:r>
    </w:p>
    <w:p w:rsidR="0083296D" w:rsidRDefault="00FA059E" w:rsidP="00FA059E">
      <w:pPr>
        <w:spacing w:after="0" w:line="240" w:lineRule="auto"/>
        <w:ind w:left="150"/>
        <w:jc w:val="both"/>
        <w:rPr>
          <w:rFonts w:ascii="Times New Roman" w:hAnsi="Times New Roman" w:cs="Times New Roman"/>
        </w:rPr>
      </w:pPr>
      <w:r>
        <w:rPr>
          <w:rFonts w:ascii="Times New Roman" w:hAnsi="Times New Roman" w:cs="Times New Roman"/>
        </w:rPr>
        <w:tab/>
        <w:t>III.</w:t>
      </w:r>
      <w:r>
        <w:rPr>
          <w:rFonts w:ascii="Times New Roman" w:hAnsi="Times New Roman" w:cs="Times New Roman"/>
        </w:rPr>
        <w:tab/>
      </w:r>
      <w:r w:rsidR="00AB19BC" w:rsidRPr="00900916">
        <w:rPr>
          <w:rFonts w:ascii="Times New Roman" w:hAnsi="Times New Roman" w:cs="Times New Roman"/>
        </w:rPr>
        <w:t xml:space="preserve">If the original beneficiaries decide to withdraw from the project, the resignation should be </w:t>
      </w:r>
      <w:r>
        <w:rPr>
          <w:rFonts w:ascii="Times New Roman" w:hAnsi="Times New Roman" w:cs="Times New Roman"/>
        </w:rPr>
        <w:tab/>
      </w:r>
      <w:r>
        <w:rPr>
          <w:rFonts w:ascii="Times New Roman" w:hAnsi="Times New Roman" w:cs="Times New Roman"/>
        </w:rPr>
        <w:tab/>
      </w:r>
      <w:r w:rsidR="00CF13D4" w:rsidRPr="00900916">
        <w:rPr>
          <w:rFonts w:ascii="Times New Roman" w:hAnsi="Times New Roman" w:cs="Times New Roman"/>
        </w:rPr>
        <w:t>in</w:t>
      </w:r>
      <w:r w:rsidR="00AB19BC" w:rsidRPr="00900916">
        <w:rPr>
          <w:rFonts w:ascii="Times New Roman" w:hAnsi="Times New Roman" w:cs="Times New Roman"/>
        </w:rPr>
        <w:t xml:space="preserve"> writing and due process of declaring and allocation to another person should be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AB19BC" w:rsidRPr="00900916">
        <w:rPr>
          <w:rFonts w:ascii="Times New Roman" w:hAnsi="Times New Roman" w:cs="Times New Roman"/>
        </w:rPr>
        <w:t>followed.”</w:t>
      </w:r>
      <w:r w:rsidR="00E67AA3" w:rsidRPr="00900916">
        <w:rPr>
          <w:rFonts w:ascii="Times New Roman" w:hAnsi="Times New Roman" w:cs="Times New Roman"/>
        </w:rPr>
        <w:t xml:space="preserve">  </w:t>
      </w:r>
    </w:p>
    <w:p w:rsidR="00FA059E" w:rsidRPr="00900916" w:rsidRDefault="00FA059E" w:rsidP="00FA059E">
      <w:pPr>
        <w:spacing w:after="0" w:line="240" w:lineRule="auto"/>
        <w:ind w:left="150"/>
        <w:jc w:val="both"/>
        <w:rPr>
          <w:rFonts w:ascii="Times New Roman" w:hAnsi="Times New Roman" w:cs="Times New Roman"/>
        </w:rPr>
      </w:pPr>
    </w:p>
    <w:p w:rsidR="000C590B" w:rsidRPr="009C3CF7" w:rsidRDefault="00FA059E" w:rsidP="009C3C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3296D" w:rsidRPr="009C3CF7">
        <w:rPr>
          <w:rFonts w:ascii="Times New Roman" w:hAnsi="Times New Roman" w:cs="Times New Roman"/>
          <w:sz w:val="24"/>
          <w:szCs w:val="24"/>
        </w:rPr>
        <w:t xml:space="preserve">The above-mentioned matters show, in a clear and cogent manner, that the applicant has a </w:t>
      </w:r>
      <w:r w:rsidR="0083296D" w:rsidRPr="00894C90">
        <w:rPr>
          <w:rFonts w:ascii="Times New Roman" w:hAnsi="Times New Roman" w:cs="Times New Roman"/>
          <w:i/>
          <w:sz w:val="24"/>
          <w:szCs w:val="24"/>
        </w:rPr>
        <w:t>prima facie</w:t>
      </w:r>
      <w:r w:rsidR="0083296D" w:rsidRPr="009C3CF7">
        <w:rPr>
          <w:rFonts w:ascii="Times New Roman" w:hAnsi="Times New Roman" w:cs="Times New Roman"/>
          <w:sz w:val="24"/>
          <w:szCs w:val="24"/>
        </w:rPr>
        <w:t xml:space="preserve"> right to the property which is the subject of these proceedings. The first and second</w:t>
      </w:r>
      <w:r>
        <w:rPr>
          <w:rFonts w:ascii="Times New Roman" w:hAnsi="Times New Roman" w:cs="Times New Roman"/>
          <w:sz w:val="24"/>
          <w:szCs w:val="24"/>
        </w:rPr>
        <w:t xml:space="preserve"> respondents state, in p</w:t>
      </w:r>
      <w:r w:rsidR="00894C90">
        <w:rPr>
          <w:rFonts w:ascii="Times New Roman" w:hAnsi="Times New Roman" w:cs="Times New Roman"/>
          <w:sz w:val="24"/>
          <w:szCs w:val="24"/>
        </w:rPr>
        <w:t>ara</w:t>
      </w:r>
      <w:r w:rsidR="0083296D" w:rsidRPr="009C3CF7">
        <w:rPr>
          <w:rFonts w:ascii="Times New Roman" w:hAnsi="Times New Roman" w:cs="Times New Roman"/>
          <w:sz w:val="24"/>
          <w:szCs w:val="24"/>
        </w:rPr>
        <w:t xml:space="preserve"> 3 of their opposing affidavit that the first respondent received her offer from the third respondent in 2017. She is, therefore, the second allottee who, according to Annexures </w:t>
      </w:r>
      <w:r>
        <w:rPr>
          <w:rFonts w:ascii="Times New Roman" w:hAnsi="Times New Roman" w:cs="Times New Roman"/>
          <w:sz w:val="24"/>
          <w:szCs w:val="24"/>
        </w:rPr>
        <w:t>‘</w:t>
      </w:r>
      <w:r w:rsidR="0083296D" w:rsidRPr="009C3CF7">
        <w:rPr>
          <w:rFonts w:ascii="Times New Roman" w:hAnsi="Times New Roman" w:cs="Times New Roman"/>
          <w:sz w:val="24"/>
          <w:szCs w:val="24"/>
        </w:rPr>
        <w:t>D</w:t>
      </w:r>
      <w:r>
        <w:rPr>
          <w:rFonts w:ascii="Times New Roman" w:hAnsi="Times New Roman" w:cs="Times New Roman"/>
          <w:sz w:val="24"/>
          <w:szCs w:val="24"/>
        </w:rPr>
        <w:t>’</w:t>
      </w:r>
      <w:r w:rsidR="0083296D" w:rsidRPr="009C3CF7">
        <w:rPr>
          <w:rFonts w:ascii="Times New Roman" w:hAnsi="Times New Roman" w:cs="Times New Roman"/>
          <w:sz w:val="24"/>
          <w:szCs w:val="24"/>
        </w:rPr>
        <w:t xml:space="preserve"> and </w:t>
      </w:r>
      <w:r>
        <w:rPr>
          <w:rFonts w:ascii="Times New Roman" w:hAnsi="Times New Roman" w:cs="Times New Roman"/>
          <w:sz w:val="24"/>
          <w:szCs w:val="24"/>
        </w:rPr>
        <w:t>‘</w:t>
      </w:r>
      <w:r w:rsidR="0083296D" w:rsidRPr="009C3CF7">
        <w:rPr>
          <w:rFonts w:ascii="Times New Roman" w:hAnsi="Times New Roman" w:cs="Times New Roman"/>
          <w:sz w:val="24"/>
          <w:szCs w:val="24"/>
        </w:rPr>
        <w:t>E</w:t>
      </w:r>
      <w:r>
        <w:rPr>
          <w:rFonts w:ascii="Times New Roman" w:hAnsi="Times New Roman" w:cs="Times New Roman"/>
          <w:sz w:val="24"/>
          <w:szCs w:val="24"/>
        </w:rPr>
        <w:t>’</w:t>
      </w:r>
      <w:r w:rsidR="0083296D" w:rsidRPr="009C3CF7">
        <w:rPr>
          <w:rFonts w:ascii="Times New Roman" w:hAnsi="Times New Roman" w:cs="Times New Roman"/>
          <w:sz w:val="24"/>
          <w:szCs w:val="24"/>
        </w:rPr>
        <w:t xml:space="preserve"> of the applicant’s founding papers, must be evicted from the property and be refunded her contributions. That she is the second allottee is evident from a reading of the applicant's statement which is contained in para 7 of her founding affidavit as read with Annexure </w:t>
      </w:r>
      <w:r>
        <w:rPr>
          <w:rFonts w:ascii="Times New Roman" w:hAnsi="Times New Roman" w:cs="Times New Roman"/>
          <w:sz w:val="24"/>
          <w:szCs w:val="24"/>
        </w:rPr>
        <w:t>‘</w:t>
      </w:r>
      <w:r w:rsidR="0083296D" w:rsidRPr="009C3CF7">
        <w:rPr>
          <w:rFonts w:ascii="Times New Roman" w:hAnsi="Times New Roman" w:cs="Times New Roman"/>
          <w:sz w:val="24"/>
          <w:szCs w:val="24"/>
        </w:rPr>
        <w:t>A</w:t>
      </w:r>
      <w:r>
        <w:rPr>
          <w:rFonts w:ascii="Times New Roman" w:hAnsi="Times New Roman" w:cs="Times New Roman"/>
          <w:sz w:val="24"/>
          <w:szCs w:val="24"/>
        </w:rPr>
        <w:t>’ which is at p</w:t>
      </w:r>
      <w:r w:rsidR="0083296D" w:rsidRPr="009C3CF7">
        <w:rPr>
          <w:rFonts w:ascii="Times New Roman" w:hAnsi="Times New Roman" w:cs="Times New Roman"/>
          <w:sz w:val="24"/>
          <w:szCs w:val="24"/>
        </w:rPr>
        <w:t xml:space="preserve"> 17 of the record.</w:t>
      </w:r>
    </w:p>
    <w:p w:rsidR="00AB19BC" w:rsidRPr="009C3CF7" w:rsidRDefault="00FA059E" w:rsidP="009C3C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C590B" w:rsidRPr="009C3CF7">
        <w:rPr>
          <w:rFonts w:ascii="Times New Roman" w:hAnsi="Times New Roman" w:cs="Times New Roman"/>
          <w:sz w:val="24"/>
          <w:szCs w:val="24"/>
        </w:rPr>
        <w:t>The third respondent’s notice of opposition appears to be speaking in tongues. The deponent to his affidavit states, as a preamble to his notice of opposition, that where he states facts which are not personally known to him, he would have satisfied himself through diligent search and inquiry as to the veracity of such facts. He does not appear to have made the diligent search and inquiry</w:t>
      </w:r>
      <w:r w:rsidR="00E67AA3" w:rsidRPr="009C3CF7">
        <w:rPr>
          <w:rFonts w:ascii="Times New Roman" w:hAnsi="Times New Roman" w:cs="Times New Roman"/>
          <w:sz w:val="24"/>
          <w:szCs w:val="24"/>
        </w:rPr>
        <w:t xml:space="preserve"> </w:t>
      </w:r>
      <w:r w:rsidR="000C590B" w:rsidRPr="009C3CF7">
        <w:rPr>
          <w:rFonts w:ascii="Times New Roman" w:hAnsi="Times New Roman" w:cs="Times New Roman"/>
          <w:sz w:val="24"/>
          <w:szCs w:val="24"/>
        </w:rPr>
        <w:t xml:space="preserve">which he alleges he made. If he had, the contents of Annexures </w:t>
      </w:r>
      <w:r>
        <w:rPr>
          <w:rFonts w:ascii="Times New Roman" w:hAnsi="Times New Roman" w:cs="Times New Roman"/>
          <w:sz w:val="24"/>
          <w:szCs w:val="24"/>
        </w:rPr>
        <w:t>‘</w:t>
      </w:r>
      <w:r w:rsidR="000C590B" w:rsidRPr="009C3CF7">
        <w:rPr>
          <w:rFonts w:ascii="Times New Roman" w:hAnsi="Times New Roman" w:cs="Times New Roman"/>
          <w:sz w:val="24"/>
          <w:szCs w:val="24"/>
        </w:rPr>
        <w:t>D</w:t>
      </w:r>
      <w:r>
        <w:rPr>
          <w:rFonts w:ascii="Times New Roman" w:hAnsi="Times New Roman" w:cs="Times New Roman"/>
          <w:sz w:val="24"/>
          <w:szCs w:val="24"/>
        </w:rPr>
        <w:t>’</w:t>
      </w:r>
      <w:r w:rsidR="000C590B" w:rsidRPr="009C3CF7">
        <w:rPr>
          <w:rFonts w:ascii="Times New Roman" w:hAnsi="Times New Roman" w:cs="Times New Roman"/>
          <w:sz w:val="24"/>
          <w:szCs w:val="24"/>
        </w:rPr>
        <w:t xml:space="preserve"> and </w:t>
      </w:r>
      <w:r>
        <w:rPr>
          <w:rFonts w:ascii="Times New Roman" w:hAnsi="Times New Roman" w:cs="Times New Roman"/>
          <w:sz w:val="24"/>
          <w:szCs w:val="24"/>
        </w:rPr>
        <w:t>‘</w:t>
      </w:r>
      <w:r w:rsidR="000C590B" w:rsidRPr="009C3CF7">
        <w:rPr>
          <w:rFonts w:ascii="Times New Roman" w:hAnsi="Times New Roman" w:cs="Times New Roman"/>
          <w:sz w:val="24"/>
          <w:szCs w:val="24"/>
        </w:rPr>
        <w:t>E</w:t>
      </w:r>
      <w:r>
        <w:rPr>
          <w:rFonts w:ascii="Times New Roman" w:hAnsi="Times New Roman" w:cs="Times New Roman"/>
          <w:sz w:val="24"/>
          <w:szCs w:val="24"/>
        </w:rPr>
        <w:t>’</w:t>
      </w:r>
      <w:r w:rsidR="000C590B" w:rsidRPr="009C3CF7">
        <w:rPr>
          <w:rFonts w:ascii="Times New Roman" w:hAnsi="Times New Roman" w:cs="Times New Roman"/>
          <w:sz w:val="24"/>
          <w:szCs w:val="24"/>
        </w:rPr>
        <w:t xml:space="preserve"> would not have escaped his attention. His contradiction of the contents of the annexures betrays his </w:t>
      </w:r>
      <w:r w:rsidR="000C590B" w:rsidRPr="009C3CF7">
        <w:rPr>
          <w:rFonts w:ascii="Times New Roman" w:hAnsi="Times New Roman" w:cs="Times New Roman"/>
          <w:sz w:val="24"/>
          <w:szCs w:val="24"/>
        </w:rPr>
        <w:lastRenderedPageBreak/>
        <w:t>disposition to the case. This fact becomes evident when he contradicts himself as he is doing in para 7 as read with para 11 of his opposing affidavit. He states, in para 7, that the applicant paid a meagre $34</w:t>
      </w:r>
      <w:r>
        <w:rPr>
          <w:rFonts w:ascii="Times New Roman" w:hAnsi="Times New Roman" w:cs="Times New Roman"/>
          <w:sz w:val="24"/>
          <w:szCs w:val="24"/>
        </w:rPr>
        <w:t xml:space="preserve"> </w:t>
      </w:r>
      <w:r w:rsidR="000C590B" w:rsidRPr="009C3CF7">
        <w:rPr>
          <w:rFonts w:ascii="Times New Roman" w:hAnsi="Times New Roman" w:cs="Times New Roman"/>
          <w:sz w:val="24"/>
          <w:szCs w:val="24"/>
        </w:rPr>
        <w:t xml:space="preserve">000 which was way less than 50% of the purchase price. </w:t>
      </w:r>
      <w:r>
        <w:rPr>
          <w:rFonts w:ascii="Times New Roman" w:hAnsi="Times New Roman" w:cs="Times New Roman"/>
          <w:sz w:val="24"/>
          <w:szCs w:val="24"/>
        </w:rPr>
        <w:t xml:space="preserve"> </w:t>
      </w:r>
      <w:r w:rsidR="000C590B" w:rsidRPr="009C3CF7">
        <w:rPr>
          <w:rFonts w:ascii="Times New Roman" w:hAnsi="Times New Roman" w:cs="Times New Roman"/>
          <w:sz w:val="24"/>
          <w:szCs w:val="24"/>
        </w:rPr>
        <w:t xml:space="preserve">He states, in para </w:t>
      </w:r>
      <w:r w:rsidR="00D6736D" w:rsidRPr="009C3CF7">
        <w:rPr>
          <w:rFonts w:ascii="Times New Roman" w:hAnsi="Times New Roman" w:cs="Times New Roman"/>
          <w:sz w:val="24"/>
          <w:szCs w:val="24"/>
        </w:rPr>
        <w:t>11 that</w:t>
      </w:r>
      <w:r w:rsidR="000C590B" w:rsidRPr="009C3CF7">
        <w:rPr>
          <w:rFonts w:ascii="Times New Roman" w:hAnsi="Times New Roman" w:cs="Times New Roman"/>
          <w:sz w:val="24"/>
          <w:szCs w:val="24"/>
        </w:rPr>
        <w:t xml:space="preserve"> the applicant never paid anything from the date of the allocation of the property to her.</w:t>
      </w:r>
    </w:p>
    <w:p w:rsidR="005245EE" w:rsidRPr="009C3CF7" w:rsidRDefault="00FA059E" w:rsidP="009C3C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245EE" w:rsidRPr="009C3CF7">
        <w:rPr>
          <w:rFonts w:ascii="Times New Roman" w:hAnsi="Times New Roman" w:cs="Times New Roman"/>
          <w:sz w:val="24"/>
          <w:szCs w:val="24"/>
        </w:rPr>
        <w:t>One is left to wonder as to what the deponent to the third respondent’s opposing affidavit means to convey to the reader of his statements which have been made mention of in the foregoing paragraph. What comes out of his affidavit is that either he was misinformed on the issue which relates to the payments which the applicant made for the property, or he did not make a diligent search and inquiry as he should have done or he made up his mind to sing in the corner of the first and second respondents and, in the process, tell a lie. No weight can be placed on the third respondent’s opposing affidavit which is approbating and reprobating at every turn of the case.</w:t>
      </w:r>
    </w:p>
    <w:p w:rsidR="005245EE" w:rsidRPr="009C3CF7" w:rsidRDefault="00FA059E" w:rsidP="009C3C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245EE" w:rsidRPr="009C3CF7">
        <w:rPr>
          <w:rFonts w:ascii="Times New Roman" w:hAnsi="Times New Roman" w:cs="Times New Roman"/>
          <w:sz w:val="24"/>
          <w:szCs w:val="24"/>
        </w:rPr>
        <w:t>In applying as she did, all the applicant intends is to put a stop to the construction work which the first and second respondents had embarked upon pending the hearing of her application for a declaratur. The hearing and determination of that application will clear the air as well as the dispute between the applicant, on the one hand, and the first and second respondents, on the other. It will decide on who, between them, is the lawful occupier of the property.</w:t>
      </w:r>
    </w:p>
    <w:p w:rsidR="00C325E7" w:rsidRPr="009C3CF7" w:rsidRDefault="00FA059E" w:rsidP="009C3C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325E7" w:rsidRPr="009C3CF7">
        <w:rPr>
          <w:rFonts w:ascii="Times New Roman" w:hAnsi="Times New Roman" w:cs="Times New Roman"/>
          <w:sz w:val="24"/>
          <w:szCs w:val="24"/>
        </w:rPr>
        <w:t>That the applicant would suffer irreparable harm if the respondents are allowed to continue with their construction work at the property requires little, if any, debate. She states, and I agree, that she would lose her right to control the property and would, in the final analysis, lose her ownership of the same.</w:t>
      </w:r>
      <w:r w:rsidR="00A828F3" w:rsidRPr="009C3CF7">
        <w:rPr>
          <w:rFonts w:ascii="Times New Roman" w:hAnsi="Times New Roman" w:cs="Times New Roman"/>
          <w:sz w:val="24"/>
          <w:szCs w:val="24"/>
        </w:rPr>
        <w:t xml:space="preserve"> She states further, and I also agree, that she may not be able to recover the property or the money which she paid as purchase price for the property.</w:t>
      </w:r>
    </w:p>
    <w:p w:rsidR="00FB01EA" w:rsidRPr="009C3CF7" w:rsidRDefault="00FA059E" w:rsidP="009C3C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B01EA" w:rsidRPr="009C3CF7">
        <w:rPr>
          <w:rFonts w:ascii="Times New Roman" w:hAnsi="Times New Roman" w:cs="Times New Roman"/>
          <w:sz w:val="24"/>
          <w:szCs w:val="24"/>
        </w:rPr>
        <w:t xml:space="preserve">The applicant’s assertion is that she has no other remedy which remain available to her other than to interdict the respondents from continuing to construct on the property. None of the respondents, it is observed, challenged her statement in the mentioned regard. It is trite that what is not denied in affidavits is taken as having been </w:t>
      </w:r>
      <w:r w:rsidRPr="009C3CF7">
        <w:rPr>
          <w:rFonts w:ascii="Times New Roman" w:hAnsi="Times New Roman" w:cs="Times New Roman"/>
          <w:sz w:val="24"/>
          <w:szCs w:val="24"/>
        </w:rPr>
        <w:t>admitted:</w:t>
      </w:r>
      <w:r w:rsidR="00FB01EA" w:rsidRPr="009C3CF7">
        <w:rPr>
          <w:rFonts w:ascii="Times New Roman" w:hAnsi="Times New Roman" w:cs="Times New Roman"/>
          <w:sz w:val="24"/>
          <w:szCs w:val="24"/>
        </w:rPr>
        <w:t xml:space="preserve"> </w:t>
      </w:r>
      <w:r w:rsidR="00FB01EA" w:rsidRPr="00FA059E">
        <w:rPr>
          <w:rFonts w:ascii="Times New Roman" w:hAnsi="Times New Roman" w:cs="Times New Roman"/>
          <w:i/>
          <w:sz w:val="24"/>
          <w:szCs w:val="24"/>
        </w:rPr>
        <w:t xml:space="preserve">Fawcett Security Operations </w:t>
      </w:r>
      <w:r w:rsidR="00FB01EA" w:rsidRPr="00FA059E">
        <w:rPr>
          <w:rFonts w:ascii="Times New Roman" w:hAnsi="Times New Roman" w:cs="Times New Roman"/>
          <w:sz w:val="24"/>
          <w:szCs w:val="24"/>
        </w:rPr>
        <w:t xml:space="preserve">v </w:t>
      </w:r>
      <w:r w:rsidR="00FB01EA" w:rsidRPr="00FA059E">
        <w:rPr>
          <w:rFonts w:ascii="Times New Roman" w:hAnsi="Times New Roman" w:cs="Times New Roman"/>
          <w:i/>
          <w:sz w:val="24"/>
          <w:szCs w:val="24"/>
        </w:rPr>
        <w:t>Director of Customs &amp; Excise</w:t>
      </w:r>
      <w:r w:rsidR="00FB01EA" w:rsidRPr="009C3CF7">
        <w:rPr>
          <w:rFonts w:ascii="Times New Roman" w:hAnsi="Times New Roman" w:cs="Times New Roman"/>
          <w:sz w:val="24"/>
          <w:szCs w:val="24"/>
        </w:rPr>
        <w:t xml:space="preserve">, 1993 (2) ZLR 121 (SC); D.D. </w:t>
      </w:r>
      <w:r w:rsidR="00FB01EA" w:rsidRPr="00FA059E">
        <w:rPr>
          <w:rFonts w:ascii="Times New Roman" w:hAnsi="Times New Roman" w:cs="Times New Roman"/>
          <w:i/>
          <w:sz w:val="24"/>
          <w:szCs w:val="24"/>
        </w:rPr>
        <w:t xml:space="preserve">Transport </w:t>
      </w:r>
      <w:r w:rsidR="00FB01EA" w:rsidRPr="00FA059E">
        <w:rPr>
          <w:rFonts w:ascii="Times New Roman" w:hAnsi="Times New Roman" w:cs="Times New Roman"/>
          <w:sz w:val="24"/>
          <w:szCs w:val="24"/>
        </w:rPr>
        <w:t>v</w:t>
      </w:r>
      <w:r w:rsidR="00FB01EA" w:rsidRPr="00FA059E">
        <w:rPr>
          <w:rFonts w:ascii="Times New Roman" w:hAnsi="Times New Roman" w:cs="Times New Roman"/>
          <w:i/>
          <w:sz w:val="24"/>
          <w:szCs w:val="24"/>
        </w:rPr>
        <w:t xml:space="preserve"> Abbot</w:t>
      </w:r>
      <w:r w:rsidR="00FB01EA" w:rsidRPr="009C3CF7">
        <w:rPr>
          <w:rFonts w:ascii="Times New Roman" w:hAnsi="Times New Roman" w:cs="Times New Roman"/>
          <w:sz w:val="24"/>
          <w:szCs w:val="24"/>
        </w:rPr>
        <w:t>, 1988 (2) ZLR 92.</w:t>
      </w:r>
    </w:p>
    <w:p w:rsidR="009D56F6" w:rsidRPr="009C3CF7" w:rsidRDefault="00FA059E" w:rsidP="009C3C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D56F6" w:rsidRPr="009C3CF7">
        <w:rPr>
          <w:rFonts w:ascii="Times New Roman" w:hAnsi="Times New Roman" w:cs="Times New Roman"/>
          <w:sz w:val="24"/>
          <w:szCs w:val="24"/>
        </w:rPr>
        <w:t xml:space="preserve">It follows, from a reading of the above-cited case authorities, that the applicant has no remedy which is available to her other than this application. </w:t>
      </w:r>
      <w:r>
        <w:rPr>
          <w:rFonts w:ascii="Times New Roman" w:hAnsi="Times New Roman" w:cs="Times New Roman"/>
          <w:sz w:val="24"/>
          <w:szCs w:val="24"/>
        </w:rPr>
        <w:t xml:space="preserve"> </w:t>
      </w:r>
      <w:r w:rsidR="009D56F6" w:rsidRPr="009C3CF7">
        <w:rPr>
          <w:rFonts w:ascii="Times New Roman" w:hAnsi="Times New Roman" w:cs="Times New Roman"/>
          <w:sz w:val="24"/>
          <w:szCs w:val="24"/>
        </w:rPr>
        <w:t>She state</w:t>
      </w:r>
      <w:r w:rsidR="00D6736D">
        <w:rPr>
          <w:rFonts w:ascii="Times New Roman" w:hAnsi="Times New Roman" w:cs="Times New Roman"/>
          <w:sz w:val="24"/>
          <w:szCs w:val="24"/>
        </w:rPr>
        <w:t>s</w:t>
      </w:r>
      <w:r w:rsidR="009D56F6" w:rsidRPr="009C3CF7">
        <w:rPr>
          <w:rFonts w:ascii="Times New Roman" w:hAnsi="Times New Roman" w:cs="Times New Roman"/>
          <w:sz w:val="24"/>
          <w:szCs w:val="24"/>
        </w:rPr>
        <w:t xml:space="preserve"> as much and her statement remains unchallenged.</w:t>
      </w:r>
    </w:p>
    <w:p w:rsidR="009D56F6" w:rsidRPr="009C3CF7" w:rsidRDefault="00FA059E" w:rsidP="009C3C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9D56F6" w:rsidRPr="009C3CF7">
        <w:rPr>
          <w:rFonts w:ascii="Times New Roman" w:hAnsi="Times New Roman" w:cs="Times New Roman"/>
          <w:sz w:val="24"/>
          <w:szCs w:val="24"/>
        </w:rPr>
        <w:t xml:space="preserve">The balance of convenience, no doubt, favours the position wherein the case of the applicant and the first respondent should be considered in terms of the rules of fairness and </w:t>
      </w:r>
      <w:r w:rsidR="00D6736D" w:rsidRPr="009C3CF7">
        <w:rPr>
          <w:rFonts w:ascii="Times New Roman" w:hAnsi="Times New Roman" w:cs="Times New Roman"/>
          <w:sz w:val="24"/>
          <w:szCs w:val="24"/>
        </w:rPr>
        <w:t>justice</w:t>
      </w:r>
      <w:r w:rsidR="00543EFB">
        <w:rPr>
          <w:rFonts w:ascii="Times New Roman" w:hAnsi="Times New Roman" w:cs="Times New Roman"/>
          <w:sz w:val="24"/>
          <w:szCs w:val="24"/>
        </w:rPr>
        <w:t>.</w:t>
      </w:r>
      <w:r w:rsidR="00D6736D">
        <w:rPr>
          <w:rFonts w:ascii="Times New Roman" w:hAnsi="Times New Roman" w:cs="Times New Roman"/>
          <w:sz w:val="24"/>
          <w:szCs w:val="24"/>
        </w:rPr>
        <w:t xml:space="preserve"> </w:t>
      </w:r>
      <w:r w:rsidR="00543EFB">
        <w:rPr>
          <w:rFonts w:ascii="Times New Roman" w:hAnsi="Times New Roman" w:cs="Times New Roman"/>
          <w:sz w:val="24"/>
          <w:szCs w:val="24"/>
        </w:rPr>
        <w:t>T</w:t>
      </w:r>
      <w:r w:rsidR="00D6736D">
        <w:rPr>
          <w:rFonts w:ascii="Times New Roman" w:hAnsi="Times New Roman" w:cs="Times New Roman"/>
          <w:sz w:val="24"/>
          <w:szCs w:val="24"/>
        </w:rPr>
        <w:t xml:space="preserve">hat will </w:t>
      </w:r>
      <w:r w:rsidR="00543EFB">
        <w:rPr>
          <w:rFonts w:ascii="Times New Roman" w:hAnsi="Times New Roman" w:cs="Times New Roman"/>
          <w:sz w:val="24"/>
          <w:szCs w:val="24"/>
        </w:rPr>
        <w:t>occur</w:t>
      </w:r>
      <w:r w:rsidR="00D6736D">
        <w:rPr>
          <w:rFonts w:ascii="Times New Roman" w:hAnsi="Times New Roman" w:cs="Times New Roman"/>
          <w:sz w:val="24"/>
          <w:szCs w:val="24"/>
        </w:rPr>
        <w:t xml:space="preserve"> at the determination of</w:t>
      </w:r>
      <w:r w:rsidR="009D56F6" w:rsidRPr="009C3CF7">
        <w:rPr>
          <w:rFonts w:ascii="Times New Roman" w:hAnsi="Times New Roman" w:cs="Times New Roman"/>
          <w:sz w:val="24"/>
          <w:szCs w:val="24"/>
        </w:rPr>
        <w:t xml:space="preserve"> the application for a declaratur. The court </w:t>
      </w:r>
      <w:r w:rsidR="00D6736D">
        <w:rPr>
          <w:rFonts w:ascii="Times New Roman" w:hAnsi="Times New Roman" w:cs="Times New Roman"/>
          <w:sz w:val="24"/>
          <w:szCs w:val="24"/>
        </w:rPr>
        <w:t>will</w:t>
      </w:r>
      <w:r w:rsidR="009D56F6" w:rsidRPr="009C3CF7">
        <w:rPr>
          <w:rFonts w:ascii="Times New Roman" w:hAnsi="Times New Roman" w:cs="Times New Roman"/>
          <w:sz w:val="24"/>
          <w:szCs w:val="24"/>
        </w:rPr>
        <w:t xml:space="preserve"> decide who between the two protagonists is the lawful occupant of the property. The decision of the court will therefore resolve their dispute and put finality to the same for the convenience of the court and the parties.</w:t>
      </w:r>
    </w:p>
    <w:p w:rsidR="00182F40" w:rsidRPr="009C3CF7" w:rsidRDefault="00FA059E" w:rsidP="009C3C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82F40" w:rsidRPr="009C3CF7">
        <w:rPr>
          <w:rFonts w:ascii="Times New Roman" w:hAnsi="Times New Roman" w:cs="Times New Roman"/>
          <w:sz w:val="24"/>
          <w:szCs w:val="24"/>
        </w:rPr>
        <w:t>The applicant found the first and second respondents at the property on 14 August 2021. She file</w:t>
      </w:r>
      <w:r>
        <w:rPr>
          <w:rFonts w:ascii="Times New Roman" w:hAnsi="Times New Roman" w:cs="Times New Roman"/>
          <w:sz w:val="24"/>
          <w:szCs w:val="24"/>
        </w:rPr>
        <w:t>d this application on 18 August</w:t>
      </w:r>
      <w:r w:rsidR="00182F40" w:rsidRPr="009C3CF7">
        <w:rPr>
          <w:rFonts w:ascii="Times New Roman" w:hAnsi="Times New Roman" w:cs="Times New Roman"/>
          <w:sz w:val="24"/>
          <w:szCs w:val="24"/>
        </w:rPr>
        <w:t xml:space="preserve"> 2021. She, accordingly, treated her case with the urgency which the same deserved.</w:t>
      </w:r>
      <w:r>
        <w:rPr>
          <w:rFonts w:ascii="Times New Roman" w:hAnsi="Times New Roman" w:cs="Times New Roman"/>
          <w:sz w:val="24"/>
          <w:szCs w:val="24"/>
        </w:rPr>
        <w:t xml:space="preserve"> </w:t>
      </w:r>
      <w:r w:rsidR="00182F40" w:rsidRPr="009C3CF7">
        <w:rPr>
          <w:rFonts w:ascii="Times New Roman" w:hAnsi="Times New Roman" w:cs="Times New Roman"/>
          <w:sz w:val="24"/>
          <w:szCs w:val="24"/>
        </w:rPr>
        <w:t xml:space="preserve"> She acted only four days after the cause of action arose. She moved with the requisite speed to protect her right.</w:t>
      </w:r>
    </w:p>
    <w:p w:rsidR="00182F40" w:rsidRDefault="00FA059E" w:rsidP="009C3C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82F40" w:rsidRPr="009C3CF7">
        <w:rPr>
          <w:rFonts w:ascii="Times New Roman" w:hAnsi="Times New Roman" w:cs="Times New Roman"/>
          <w:sz w:val="24"/>
          <w:szCs w:val="24"/>
        </w:rPr>
        <w:t>The applicant proved her case on a preponderance of probabilities. The application is, in the result, granted as prayed.</w:t>
      </w:r>
    </w:p>
    <w:p w:rsidR="00D6736D" w:rsidRDefault="00D6736D" w:rsidP="009C3CF7">
      <w:pPr>
        <w:spacing w:after="0" w:line="360" w:lineRule="auto"/>
        <w:jc w:val="both"/>
        <w:rPr>
          <w:rFonts w:ascii="Times New Roman" w:hAnsi="Times New Roman" w:cs="Times New Roman"/>
          <w:sz w:val="24"/>
          <w:szCs w:val="24"/>
        </w:rPr>
      </w:pPr>
    </w:p>
    <w:p w:rsidR="00D6736D" w:rsidRDefault="00D6736D" w:rsidP="009C3CF7">
      <w:pPr>
        <w:spacing w:after="0" w:line="360" w:lineRule="auto"/>
        <w:jc w:val="both"/>
        <w:rPr>
          <w:rFonts w:ascii="Times New Roman" w:hAnsi="Times New Roman" w:cs="Times New Roman"/>
          <w:sz w:val="24"/>
          <w:szCs w:val="24"/>
        </w:rPr>
      </w:pPr>
    </w:p>
    <w:p w:rsidR="00D6736D" w:rsidRDefault="00D6736D" w:rsidP="009C3CF7">
      <w:pPr>
        <w:spacing w:after="0" w:line="360" w:lineRule="auto"/>
        <w:jc w:val="both"/>
        <w:rPr>
          <w:rFonts w:ascii="Times New Roman" w:hAnsi="Times New Roman" w:cs="Times New Roman"/>
          <w:sz w:val="24"/>
          <w:szCs w:val="24"/>
        </w:rPr>
      </w:pPr>
    </w:p>
    <w:p w:rsidR="00D6736D" w:rsidRDefault="00D6736D" w:rsidP="009C3CF7">
      <w:pPr>
        <w:spacing w:after="0" w:line="360" w:lineRule="auto"/>
        <w:jc w:val="both"/>
        <w:rPr>
          <w:rFonts w:ascii="Times New Roman" w:hAnsi="Times New Roman" w:cs="Times New Roman"/>
          <w:sz w:val="24"/>
          <w:szCs w:val="24"/>
        </w:rPr>
      </w:pPr>
    </w:p>
    <w:p w:rsidR="00D6736D" w:rsidRDefault="00D6736D" w:rsidP="009C3CF7">
      <w:pPr>
        <w:spacing w:after="0" w:line="360" w:lineRule="auto"/>
        <w:jc w:val="both"/>
        <w:rPr>
          <w:rFonts w:ascii="Times New Roman" w:hAnsi="Times New Roman" w:cs="Times New Roman"/>
          <w:sz w:val="24"/>
          <w:szCs w:val="24"/>
        </w:rPr>
      </w:pPr>
    </w:p>
    <w:p w:rsidR="00D6736D" w:rsidRDefault="00D6736D" w:rsidP="009C3CF7">
      <w:pPr>
        <w:spacing w:after="0" w:line="360" w:lineRule="auto"/>
        <w:jc w:val="both"/>
        <w:rPr>
          <w:rFonts w:ascii="Times New Roman" w:hAnsi="Times New Roman" w:cs="Times New Roman"/>
          <w:sz w:val="24"/>
          <w:szCs w:val="24"/>
        </w:rPr>
      </w:pPr>
    </w:p>
    <w:p w:rsidR="00D6736D" w:rsidRDefault="00D6736D" w:rsidP="008C5295">
      <w:pPr>
        <w:spacing w:after="0" w:line="240" w:lineRule="auto"/>
        <w:jc w:val="both"/>
        <w:rPr>
          <w:rFonts w:ascii="Times New Roman" w:hAnsi="Times New Roman" w:cs="Times New Roman"/>
          <w:sz w:val="24"/>
          <w:szCs w:val="24"/>
        </w:rPr>
      </w:pPr>
      <w:r w:rsidRPr="008C5295">
        <w:rPr>
          <w:rFonts w:ascii="Times New Roman" w:hAnsi="Times New Roman" w:cs="Times New Roman"/>
          <w:i/>
          <w:sz w:val="24"/>
          <w:szCs w:val="24"/>
        </w:rPr>
        <w:t>Mundia &amp; Mudhara Legal Practitioners</w:t>
      </w:r>
      <w:r>
        <w:rPr>
          <w:rFonts w:ascii="Times New Roman" w:hAnsi="Times New Roman" w:cs="Times New Roman"/>
          <w:sz w:val="24"/>
          <w:szCs w:val="24"/>
        </w:rPr>
        <w:t>, applicant</w:t>
      </w:r>
      <w:r w:rsidR="008C5295">
        <w:rPr>
          <w:rFonts w:ascii="Times New Roman" w:hAnsi="Times New Roman" w:cs="Times New Roman"/>
          <w:sz w:val="24"/>
          <w:szCs w:val="24"/>
        </w:rPr>
        <w:t>’s legal practitioners</w:t>
      </w:r>
    </w:p>
    <w:p w:rsidR="00D6736D" w:rsidRPr="009C3CF7" w:rsidRDefault="00D6736D" w:rsidP="008C5295">
      <w:pPr>
        <w:spacing w:after="0" w:line="240" w:lineRule="auto"/>
        <w:jc w:val="both"/>
        <w:rPr>
          <w:rFonts w:ascii="Times New Roman" w:hAnsi="Times New Roman" w:cs="Times New Roman"/>
          <w:sz w:val="24"/>
          <w:szCs w:val="24"/>
        </w:rPr>
      </w:pPr>
      <w:r w:rsidRPr="008C5295">
        <w:rPr>
          <w:rFonts w:ascii="Times New Roman" w:hAnsi="Times New Roman" w:cs="Times New Roman"/>
          <w:i/>
          <w:sz w:val="24"/>
          <w:szCs w:val="24"/>
        </w:rPr>
        <w:t>Legal Aid Directorate</w:t>
      </w:r>
      <w:r w:rsidR="008C5295">
        <w:rPr>
          <w:rFonts w:ascii="Times New Roman" w:hAnsi="Times New Roman" w:cs="Times New Roman"/>
          <w:sz w:val="24"/>
          <w:szCs w:val="24"/>
        </w:rPr>
        <w:t>, for first and second respondent’s legal practitioners</w:t>
      </w:r>
    </w:p>
    <w:sectPr w:rsidR="00D6736D" w:rsidRPr="009C3CF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747E" w:rsidRDefault="0024747E" w:rsidP="009C3CF7">
      <w:pPr>
        <w:spacing w:after="0" w:line="240" w:lineRule="auto"/>
      </w:pPr>
      <w:r>
        <w:separator/>
      </w:r>
    </w:p>
  </w:endnote>
  <w:endnote w:type="continuationSeparator" w:id="0">
    <w:p w:rsidR="0024747E" w:rsidRDefault="0024747E" w:rsidP="009C3C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747E" w:rsidRDefault="0024747E" w:rsidP="009C3CF7">
      <w:pPr>
        <w:spacing w:after="0" w:line="240" w:lineRule="auto"/>
      </w:pPr>
      <w:r>
        <w:separator/>
      </w:r>
    </w:p>
  </w:footnote>
  <w:footnote w:type="continuationSeparator" w:id="0">
    <w:p w:rsidR="0024747E" w:rsidRDefault="0024747E" w:rsidP="009C3C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2693087"/>
      <w:docPartObj>
        <w:docPartGallery w:val="Page Numbers (Top of Page)"/>
        <w:docPartUnique/>
      </w:docPartObj>
    </w:sdtPr>
    <w:sdtEndPr>
      <w:rPr>
        <w:noProof/>
      </w:rPr>
    </w:sdtEndPr>
    <w:sdtContent>
      <w:p w:rsidR="009C3CF7" w:rsidRDefault="009C3CF7">
        <w:pPr>
          <w:pStyle w:val="Header"/>
          <w:jc w:val="right"/>
          <w:rPr>
            <w:noProof/>
          </w:rPr>
        </w:pPr>
        <w:r>
          <w:fldChar w:fldCharType="begin"/>
        </w:r>
        <w:r>
          <w:instrText xml:space="preserve"> PAGE   \* MERGEFORMAT </w:instrText>
        </w:r>
        <w:r>
          <w:fldChar w:fldCharType="separate"/>
        </w:r>
        <w:r w:rsidR="009B5A6E">
          <w:rPr>
            <w:noProof/>
          </w:rPr>
          <w:t>2</w:t>
        </w:r>
        <w:r>
          <w:rPr>
            <w:noProof/>
          </w:rPr>
          <w:fldChar w:fldCharType="end"/>
        </w:r>
      </w:p>
      <w:p w:rsidR="009C3CF7" w:rsidRDefault="009C3CF7">
        <w:pPr>
          <w:pStyle w:val="Header"/>
          <w:jc w:val="right"/>
          <w:rPr>
            <w:noProof/>
          </w:rPr>
        </w:pPr>
        <w:r>
          <w:rPr>
            <w:noProof/>
          </w:rPr>
          <w:t>HH</w:t>
        </w:r>
        <w:r w:rsidR="0058522B">
          <w:rPr>
            <w:noProof/>
          </w:rPr>
          <w:t xml:space="preserve"> 566-22</w:t>
        </w:r>
      </w:p>
      <w:p w:rsidR="009C3CF7" w:rsidRDefault="009C3CF7">
        <w:pPr>
          <w:pStyle w:val="Header"/>
          <w:jc w:val="right"/>
        </w:pPr>
        <w:r>
          <w:rPr>
            <w:noProof/>
          </w:rPr>
          <w:t>HC 4155-21</w:t>
        </w:r>
      </w:p>
    </w:sdtContent>
  </w:sdt>
  <w:p w:rsidR="009C3CF7" w:rsidRDefault="009C3CF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C6E7F"/>
    <w:multiLevelType w:val="hybridMultilevel"/>
    <w:tmpl w:val="C498898E"/>
    <w:lvl w:ilvl="0" w:tplc="581A644A">
      <w:start w:val="1"/>
      <w:numFmt w:val="upperRoman"/>
      <w:lvlText w:val="%1."/>
      <w:lvlJc w:val="left"/>
      <w:pPr>
        <w:ind w:left="870" w:hanging="72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 w15:restartNumberingAfterBreak="0">
    <w:nsid w:val="0C5A02EA"/>
    <w:multiLevelType w:val="hybridMultilevel"/>
    <w:tmpl w:val="6DE44B0A"/>
    <w:lvl w:ilvl="0" w:tplc="F4225EAC">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2" w15:restartNumberingAfterBreak="0">
    <w:nsid w:val="37904037"/>
    <w:multiLevelType w:val="hybridMultilevel"/>
    <w:tmpl w:val="2C3EBF68"/>
    <w:lvl w:ilvl="0" w:tplc="971A451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B40"/>
    <w:rsid w:val="0003677D"/>
    <w:rsid w:val="00090968"/>
    <w:rsid w:val="000C590B"/>
    <w:rsid w:val="00111AC8"/>
    <w:rsid w:val="00182F40"/>
    <w:rsid w:val="001C7F38"/>
    <w:rsid w:val="00212F69"/>
    <w:rsid w:val="0024073E"/>
    <w:rsid w:val="0024747E"/>
    <w:rsid w:val="003A5717"/>
    <w:rsid w:val="00441DDB"/>
    <w:rsid w:val="00460640"/>
    <w:rsid w:val="004C6C19"/>
    <w:rsid w:val="004E644C"/>
    <w:rsid w:val="00516D4C"/>
    <w:rsid w:val="005245EE"/>
    <w:rsid w:val="005321ED"/>
    <w:rsid w:val="00543EFB"/>
    <w:rsid w:val="0058522B"/>
    <w:rsid w:val="00596A21"/>
    <w:rsid w:val="005C7503"/>
    <w:rsid w:val="005E17AA"/>
    <w:rsid w:val="005F28A6"/>
    <w:rsid w:val="006A024A"/>
    <w:rsid w:val="00725B40"/>
    <w:rsid w:val="007B7FE4"/>
    <w:rsid w:val="0083296D"/>
    <w:rsid w:val="00894C90"/>
    <w:rsid w:val="008B1EDB"/>
    <w:rsid w:val="008C5295"/>
    <w:rsid w:val="008F208F"/>
    <w:rsid w:val="00900916"/>
    <w:rsid w:val="009B5A6E"/>
    <w:rsid w:val="009B5E23"/>
    <w:rsid w:val="009C3CF7"/>
    <w:rsid w:val="009D56F6"/>
    <w:rsid w:val="00A7042D"/>
    <w:rsid w:val="00A828F3"/>
    <w:rsid w:val="00AB19BC"/>
    <w:rsid w:val="00B73143"/>
    <w:rsid w:val="00C325E7"/>
    <w:rsid w:val="00CB72BF"/>
    <w:rsid w:val="00CD6316"/>
    <w:rsid w:val="00CF13D4"/>
    <w:rsid w:val="00D6736D"/>
    <w:rsid w:val="00D807EB"/>
    <w:rsid w:val="00E40F93"/>
    <w:rsid w:val="00E67AA3"/>
    <w:rsid w:val="00F42310"/>
    <w:rsid w:val="00FA059E"/>
    <w:rsid w:val="00FB01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C42DB5-4737-4B10-BDB3-8E9F37C4F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6D4C"/>
    <w:pPr>
      <w:ind w:left="720"/>
      <w:contextualSpacing/>
    </w:pPr>
  </w:style>
  <w:style w:type="paragraph" w:styleId="Header">
    <w:name w:val="header"/>
    <w:basedOn w:val="Normal"/>
    <w:link w:val="HeaderChar"/>
    <w:uiPriority w:val="99"/>
    <w:unhideWhenUsed/>
    <w:rsid w:val="009C3C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3CF7"/>
  </w:style>
  <w:style w:type="paragraph" w:styleId="Footer">
    <w:name w:val="footer"/>
    <w:basedOn w:val="Normal"/>
    <w:link w:val="FooterChar"/>
    <w:uiPriority w:val="99"/>
    <w:unhideWhenUsed/>
    <w:rsid w:val="009C3C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3C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2058</Words>
  <Characters>11735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JSC</cp:lastModifiedBy>
  <cp:revision>2</cp:revision>
  <dcterms:created xsi:type="dcterms:W3CDTF">2022-08-26T09:11:00Z</dcterms:created>
  <dcterms:modified xsi:type="dcterms:W3CDTF">2022-08-26T09:11:00Z</dcterms:modified>
</cp:coreProperties>
</file>