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9C" w:rsidRDefault="00BE229C" w:rsidP="00CA25C5">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MARCUS W. RANCE</w:t>
      </w:r>
    </w:p>
    <w:p w:rsidR="00BE229C" w:rsidRDefault="00BE229C" w:rsidP="00CA25C5">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BE229C" w:rsidRDefault="00BE229C" w:rsidP="00CA25C5">
      <w:pPr>
        <w:pStyle w:val="NoSpacing"/>
        <w:jc w:val="both"/>
        <w:rPr>
          <w:rFonts w:ascii="Times New Roman" w:hAnsi="Times New Roman" w:cs="Times New Roman"/>
        </w:rPr>
      </w:pPr>
      <w:r>
        <w:rPr>
          <w:rFonts w:ascii="Times New Roman" w:hAnsi="Times New Roman" w:cs="Times New Roman"/>
          <w:b/>
          <w:sz w:val="24"/>
          <w:szCs w:val="24"/>
        </w:rPr>
        <w:t>OBERT VUNDHLA</w:t>
      </w:r>
    </w:p>
    <w:p w:rsidR="00BE229C" w:rsidRDefault="00BE229C" w:rsidP="00CA25C5">
      <w:pPr>
        <w:pStyle w:val="NoSpacing"/>
        <w:jc w:val="both"/>
        <w:rPr>
          <w:rFonts w:ascii="Times New Roman" w:hAnsi="Times New Roman" w:cs="Times New Roman"/>
          <w:sz w:val="24"/>
          <w:szCs w:val="24"/>
        </w:rPr>
      </w:pPr>
    </w:p>
    <w:p w:rsidR="00BE229C" w:rsidRDefault="00BE229C" w:rsidP="00CA25C5">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BE229C" w:rsidRDefault="00BE229C" w:rsidP="00CA25C5">
      <w:pPr>
        <w:pStyle w:val="NoSpacing"/>
        <w:jc w:val="both"/>
        <w:rPr>
          <w:rFonts w:ascii="Times New Roman" w:hAnsi="Times New Roman" w:cs="Times New Roman"/>
          <w:sz w:val="24"/>
          <w:szCs w:val="24"/>
        </w:rPr>
      </w:pPr>
      <w:r>
        <w:rPr>
          <w:rFonts w:ascii="Times New Roman" w:hAnsi="Times New Roman" w:cs="Times New Roman"/>
          <w:sz w:val="24"/>
          <w:szCs w:val="24"/>
        </w:rPr>
        <w:t>KABASA J</w:t>
      </w:r>
    </w:p>
    <w:p w:rsidR="00BE229C" w:rsidRDefault="00CA25C5" w:rsidP="00CA25C5">
      <w:pPr>
        <w:pStyle w:val="NoSpacing"/>
        <w:jc w:val="both"/>
        <w:rPr>
          <w:rFonts w:ascii="Times New Roman" w:hAnsi="Times New Roman" w:cs="Times New Roman"/>
          <w:sz w:val="24"/>
          <w:szCs w:val="24"/>
        </w:rPr>
      </w:pPr>
      <w:r>
        <w:rPr>
          <w:rFonts w:ascii="Times New Roman" w:hAnsi="Times New Roman" w:cs="Times New Roman"/>
          <w:sz w:val="24"/>
          <w:szCs w:val="24"/>
        </w:rPr>
        <w:t>BULAWAYO 24 JULY AND 27</w:t>
      </w:r>
      <w:r w:rsidR="00BE229C">
        <w:rPr>
          <w:rFonts w:ascii="Times New Roman" w:hAnsi="Times New Roman" w:cs="Times New Roman"/>
          <w:sz w:val="24"/>
          <w:szCs w:val="24"/>
        </w:rPr>
        <w:t xml:space="preserve"> AUGUST 2020</w:t>
      </w:r>
    </w:p>
    <w:p w:rsidR="00BE229C" w:rsidRDefault="00BE229C" w:rsidP="00CA25C5">
      <w:pPr>
        <w:autoSpaceDE w:val="0"/>
        <w:autoSpaceDN w:val="0"/>
        <w:adjustRightInd w:val="0"/>
        <w:spacing w:line="276" w:lineRule="auto"/>
        <w:jc w:val="both"/>
        <w:rPr>
          <w:b/>
          <w:bCs/>
        </w:rPr>
      </w:pPr>
    </w:p>
    <w:p w:rsidR="00BE229C" w:rsidRDefault="00BE229C" w:rsidP="00CA25C5">
      <w:pPr>
        <w:autoSpaceDE w:val="0"/>
        <w:autoSpaceDN w:val="0"/>
        <w:adjustRightInd w:val="0"/>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Opposed Application</w:t>
      </w:r>
    </w:p>
    <w:p w:rsidR="00BE229C" w:rsidRDefault="00BE229C" w:rsidP="00CA25C5">
      <w:pPr>
        <w:pStyle w:val="NoSpacing"/>
        <w:jc w:val="both"/>
        <w:rPr>
          <w:rFonts w:ascii="Times New Roman" w:hAnsi="Times New Roman" w:cs="Times New Roman"/>
          <w:i/>
        </w:rPr>
      </w:pPr>
    </w:p>
    <w:p w:rsidR="00BE229C" w:rsidRDefault="00BE229C" w:rsidP="00CA25C5">
      <w:pPr>
        <w:pStyle w:val="NoSpacing"/>
        <w:jc w:val="both"/>
        <w:rPr>
          <w:rFonts w:ascii="Times New Roman" w:hAnsi="Times New Roman" w:cs="Times New Roman"/>
          <w:i/>
        </w:rPr>
      </w:pPr>
      <w:r>
        <w:rPr>
          <w:rFonts w:ascii="Times New Roman" w:hAnsi="Times New Roman" w:cs="Times New Roman"/>
          <w:i/>
        </w:rPr>
        <w:t xml:space="preserve">L Mpofu, </w:t>
      </w:r>
      <w:r>
        <w:rPr>
          <w:rFonts w:ascii="Times New Roman" w:hAnsi="Times New Roman" w:cs="Times New Roman"/>
        </w:rPr>
        <w:t xml:space="preserve">for the applicant </w:t>
      </w:r>
    </w:p>
    <w:p w:rsidR="00BE229C" w:rsidRDefault="00BE229C" w:rsidP="00CA25C5">
      <w:pPr>
        <w:pStyle w:val="NoSpacing"/>
        <w:jc w:val="both"/>
        <w:rPr>
          <w:rFonts w:ascii="Times New Roman" w:hAnsi="Times New Roman" w:cs="Times New Roman"/>
        </w:rPr>
      </w:pPr>
      <w:r>
        <w:rPr>
          <w:rFonts w:ascii="Times New Roman" w:hAnsi="Times New Roman" w:cs="Times New Roman"/>
          <w:i/>
        </w:rPr>
        <w:t xml:space="preserve">Advocate Siziba, </w:t>
      </w:r>
      <w:r>
        <w:rPr>
          <w:rFonts w:ascii="Times New Roman" w:hAnsi="Times New Roman" w:cs="Times New Roman"/>
        </w:rPr>
        <w:t>for the respondent</w:t>
      </w:r>
    </w:p>
    <w:p w:rsidR="00BE229C" w:rsidRDefault="00BE229C" w:rsidP="00CA25C5">
      <w:pPr>
        <w:autoSpaceDE w:val="0"/>
        <w:autoSpaceDN w:val="0"/>
        <w:adjustRightInd w:val="0"/>
        <w:jc w:val="both"/>
        <w:rPr>
          <w:color w:val="000000"/>
        </w:rPr>
      </w:pPr>
    </w:p>
    <w:p w:rsidR="001D08C3" w:rsidRDefault="00BE229C" w:rsidP="00CA25C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This is an application for rescission of judgment granted in case number HC 2150/07 and subsequently corrected in HC 1148/08.  The rescission is sought in terms of Rule 449 of the High Court Rules, 1971.</w:t>
      </w:r>
    </w:p>
    <w:p w:rsidR="00BE229C" w:rsidRDefault="00AC6585"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449</w:t>
      </w:r>
      <w:r w:rsidR="00BE229C">
        <w:rPr>
          <w:rFonts w:ascii="Times New Roman" w:hAnsi="Times New Roman" w:cs="Times New Roman"/>
          <w:sz w:val="24"/>
          <w:szCs w:val="24"/>
        </w:rPr>
        <w:t xml:space="preserve"> (1) (a) provides that:-</w:t>
      </w:r>
    </w:p>
    <w:p w:rsidR="00BE229C" w:rsidRDefault="00CA25C5" w:rsidP="00CA25C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or</w:t>
      </w:r>
      <w:r w:rsidR="00EB766E">
        <w:rPr>
          <w:rFonts w:ascii="Times New Roman" w:hAnsi="Times New Roman" w:cs="Times New Roman"/>
          <w:sz w:val="24"/>
          <w:szCs w:val="24"/>
        </w:rPr>
        <w:t xml:space="preserve"> a</w:t>
      </w:r>
      <w:r>
        <w:rPr>
          <w:rFonts w:ascii="Times New Roman" w:hAnsi="Times New Roman" w:cs="Times New Roman"/>
          <w:sz w:val="24"/>
          <w:szCs w:val="24"/>
        </w:rPr>
        <w:t xml:space="preserve"> </w:t>
      </w:r>
      <w:r w:rsidR="00EB766E">
        <w:rPr>
          <w:rFonts w:ascii="Times New Roman" w:hAnsi="Times New Roman" w:cs="Times New Roman"/>
          <w:sz w:val="24"/>
          <w:szCs w:val="24"/>
        </w:rPr>
        <w:t>j</w:t>
      </w:r>
      <w:r w:rsidR="00BE229C">
        <w:rPr>
          <w:rFonts w:ascii="Times New Roman" w:hAnsi="Times New Roman" w:cs="Times New Roman"/>
          <w:sz w:val="24"/>
          <w:szCs w:val="24"/>
        </w:rPr>
        <w:t xml:space="preserve">udge may in addition to any other power it or he may have, </w:t>
      </w:r>
      <w:r w:rsidR="00BE229C" w:rsidRPr="00CA25C5">
        <w:rPr>
          <w:rFonts w:ascii="Times New Roman" w:hAnsi="Times New Roman" w:cs="Times New Roman"/>
          <w:i/>
          <w:sz w:val="24"/>
          <w:szCs w:val="24"/>
        </w:rPr>
        <w:t>mero motu</w:t>
      </w:r>
      <w:r w:rsidR="00BE229C">
        <w:rPr>
          <w:rFonts w:ascii="Times New Roman" w:hAnsi="Times New Roman" w:cs="Times New Roman"/>
          <w:sz w:val="24"/>
          <w:szCs w:val="24"/>
        </w:rPr>
        <w:t xml:space="preserve"> or upon the application of any party affected, correct, rescind, or vary any judgment or order-</w:t>
      </w:r>
    </w:p>
    <w:p w:rsidR="00BE229C" w:rsidRDefault="00BE229C" w:rsidP="00CA25C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was erroneously sought or erroneously granted in the absence of any party affected thereby....”</w:t>
      </w:r>
    </w:p>
    <w:p w:rsidR="00BE229C" w:rsidRDefault="00BE229C"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as articulated in his founding affidavit, avers that the order granted in HC 2150/07 was erroneously gr</w:t>
      </w:r>
      <w:r w:rsidR="00DA5251">
        <w:rPr>
          <w:rFonts w:ascii="Times New Roman" w:hAnsi="Times New Roman" w:cs="Times New Roman"/>
          <w:sz w:val="24"/>
          <w:szCs w:val="24"/>
        </w:rPr>
        <w:t>anted as it was premised on an illegal</w:t>
      </w:r>
      <w:r>
        <w:rPr>
          <w:rFonts w:ascii="Times New Roman" w:hAnsi="Times New Roman" w:cs="Times New Roman"/>
          <w:sz w:val="24"/>
          <w:szCs w:val="24"/>
        </w:rPr>
        <w:t xml:space="preserve"> transaction.</w:t>
      </w:r>
    </w:p>
    <w:p w:rsidR="00BE229C" w:rsidRDefault="00BE229C"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the matter is t</w:t>
      </w:r>
      <w:r w:rsidR="00D90BBF">
        <w:rPr>
          <w:rFonts w:ascii="Times New Roman" w:hAnsi="Times New Roman" w:cs="Times New Roman"/>
          <w:sz w:val="24"/>
          <w:szCs w:val="24"/>
        </w:rPr>
        <w:t>h</w:t>
      </w:r>
      <w:r>
        <w:rPr>
          <w:rFonts w:ascii="Times New Roman" w:hAnsi="Times New Roman" w:cs="Times New Roman"/>
          <w:sz w:val="24"/>
          <w:szCs w:val="24"/>
        </w:rPr>
        <w:t>is:  The applicant and Chasiso Valentine Mpofu are brothers whose mother Siphosakhe Sibanda died intestate on the 16</w:t>
      </w:r>
      <w:r w:rsidRPr="00BE229C">
        <w:rPr>
          <w:rFonts w:ascii="Times New Roman" w:hAnsi="Times New Roman" w:cs="Times New Roman"/>
          <w:sz w:val="24"/>
          <w:szCs w:val="24"/>
          <w:vertAlign w:val="superscript"/>
        </w:rPr>
        <w:t>th</w:t>
      </w:r>
      <w:r>
        <w:rPr>
          <w:rFonts w:ascii="Times New Roman" w:hAnsi="Times New Roman" w:cs="Times New Roman"/>
          <w:sz w:val="24"/>
          <w:szCs w:val="24"/>
        </w:rPr>
        <w:t xml:space="preserve"> May 2004.  Siphosak</w:t>
      </w:r>
      <w:r w:rsidR="003272F7">
        <w:rPr>
          <w:rFonts w:ascii="Times New Roman" w:hAnsi="Times New Roman" w:cs="Times New Roman"/>
          <w:sz w:val="24"/>
          <w:szCs w:val="24"/>
        </w:rPr>
        <w:t>he was the owner of stand</w:t>
      </w:r>
      <w:r>
        <w:rPr>
          <w:rFonts w:ascii="Times New Roman" w:hAnsi="Times New Roman" w:cs="Times New Roman"/>
          <w:sz w:val="24"/>
          <w:szCs w:val="24"/>
        </w:rPr>
        <w:t xml:space="preserve"> 8438 Nkulumane situated in Bulawayo.  One Admire Nyathi who is the applicant’s cousin is currently residing at this house.</w:t>
      </w:r>
    </w:p>
    <w:p w:rsidR="00BE229C" w:rsidRDefault="00BE229C"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allegedly bought this house from a Kumbirai Nemera, who is</w:t>
      </w:r>
      <w:r w:rsidR="008563A8">
        <w:rPr>
          <w:rFonts w:ascii="Times New Roman" w:hAnsi="Times New Roman" w:cs="Times New Roman"/>
          <w:sz w:val="24"/>
          <w:szCs w:val="24"/>
        </w:rPr>
        <w:t xml:space="preserve"> said to be the late Siphosakhe’s niece.  The sale was allegedly concluded through an oral agreement.  The respondent then instituted proceedings under case number HC 2150/07 against Kumbirai Nemera to compel her to effect transfer of the house to him.  The process therein was served through substituted service and the respondent subse</w:t>
      </w:r>
      <w:r w:rsidR="00920921">
        <w:rPr>
          <w:rFonts w:ascii="Times New Roman" w:hAnsi="Times New Roman" w:cs="Times New Roman"/>
          <w:sz w:val="24"/>
          <w:szCs w:val="24"/>
        </w:rPr>
        <w:t>quently obtained a default judg</w:t>
      </w:r>
      <w:r w:rsidR="008563A8">
        <w:rPr>
          <w:rFonts w:ascii="Times New Roman" w:hAnsi="Times New Roman" w:cs="Times New Roman"/>
          <w:sz w:val="24"/>
          <w:szCs w:val="24"/>
        </w:rPr>
        <w:t xml:space="preserve">ment.  </w:t>
      </w:r>
      <w:r w:rsidR="008563A8">
        <w:rPr>
          <w:rFonts w:ascii="Times New Roman" w:hAnsi="Times New Roman" w:cs="Times New Roman"/>
          <w:sz w:val="24"/>
          <w:szCs w:val="24"/>
        </w:rPr>
        <w:lastRenderedPageBreak/>
        <w:t>The court order directed Kumbirai to transfer</w:t>
      </w:r>
      <w:r w:rsidR="003A4541">
        <w:rPr>
          <w:rFonts w:ascii="Times New Roman" w:hAnsi="Times New Roman" w:cs="Times New Roman"/>
          <w:sz w:val="24"/>
          <w:szCs w:val="24"/>
        </w:rPr>
        <w:t xml:space="preserve"> stand</w:t>
      </w:r>
      <w:r w:rsidR="008563A8">
        <w:rPr>
          <w:rFonts w:ascii="Times New Roman" w:hAnsi="Times New Roman" w:cs="Times New Roman"/>
          <w:sz w:val="24"/>
          <w:szCs w:val="24"/>
        </w:rPr>
        <w:t xml:space="preserve"> 8438</w:t>
      </w:r>
      <w:r w:rsidR="00BA1AC3">
        <w:rPr>
          <w:rFonts w:ascii="Times New Roman" w:hAnsi="Times New Roman" w:cs="Times New Roman"/>
          <w:sz w:val="24"/>
          <w:szCs w:val="24"/>
        </w:rPr>
        <w:t xml:space="preserve"> Nkulumane</w:t>
      </w:r>
      <w:r w:rsidR="008563A8">
        <w:rPr>
          <w:rFonts w:ascii="Times New Roman" w:hAnsi="Times New Roman" w:cs="Times New Roman"/>
          <w:sz w:val="24"/>
          <w:szCs w:val="24"/>
        </w:rPr>
        <w:t xml:space="preserve"> into her name and thereafter into respondent’s name, failing which the Deputy Sheriff was to sign the</w:t>
      </w:r>
      <w:r w:rsidR="009344DE">
        <w:rPr>
          <w:rFonts w:ascii="Times New Roman" w:hAnsi="Times New Roman" w:cs="Times New Roman"/>
          <w:sz w:val="24"/>
          <w:szCs w:val="24"/>
        </w:rPr>
        <w:t xml:space="preserve"> necessary papers to effect such</w:t>
      </w:r>
      <w:r w:rsidR="008563A8">
        <w:rPr>
          <w:rFonts w:ascii="Times New Roman" w:hAnsi="Times New Roman" w:cs="Times New Roman"/>
          <w:sz w:val="24"/>
          <w:szCs w:val="24"/>
        </w:rPr>
        <w:t xml:space="preserve"> </w:t>
      </w:r>
      <w:r w:rsidR="00215D2E">
        <w:rPr>
          <w:rFonts w:ascii="Times New Roman" w:hAnsi="Times New Roman" w:cs="Times New Roman"/>
          <w:sz w:val="24"/>
          <w:szCs w:val="24"/>
        </w:rPr>
        <w:t>transfer.  The respondent thereafter issued summons under case number HC 1857/09 seeking to evict Admire Nyathi from the house.</w:t>
      </w:r>
    </w:p>
    <w:p w:rsidR="00215D2E" w:rsidRDefault="00215D2E"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20</w:t>
      </w:r>
      <w:r w:rsidRPr="00215D2E">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2018 the respondent again issued summons out</w:t>
      </w:r>
      <w:r w:rsidR="007426E0">
        <w:rPr>
          <w:rFonts w:ascii="Times New Roman" w:hAnsi="Times New Roman" w:cs="Times New Roman"/>
          <w:sz w:val="24"/>
          <w:szCs w:val="24"/>
        </w:rPr>
        <w:t xml:space="preserve"> of</w:t>
      </w:r>
      <w:r>
        <w:rPr>
          <w:rFonts w:ascii="Times New Roman" w:hAnsi="Times New Roman" w:cs="Times New Roman"/>
          <w:sz w:val="24"/>
          <w:szCs w:val="24"/>
        </w:rPr>
        <w:t xml:space="preserve"> the Magistrates Court, under case nu</w:t>
      </w:r>
      <w:r w:rsidR="00B250A4">
        <w:rPr>
          <w:rFonts w:ascii="Times New Roman" w:hAnsi="Times New Roman" w:cs="Times New Roman"/>
          <w:sz w:val="24"/>
          <w:szCs w:val="24"/>
        </w:rPr>
        <w:t>m</w:t>
      </w:r>
      <w:r>
        <w:rPr>
          <w:rFonts w:ascii="Times New Roman" w:hAnsi="Times New Roman" w:cs="Times New Roman"/>
          <w:sz w:val="24"/>
          <w:szCs w:val="24"/>
        </w:rPr>
        <w:t>ber 7710/18 seeking the eviction of Admire Nyathi.  The particulars of claim made reference to the order granted under HC 2150/0</w:t>
      </w:r>
      <w:r w:rsidR="00B250A4">
        <w:rPr>
          <w:rFonts w:ascii="Times New Roman" w:hAnsi="Times New Roman" w:cs="Times New Roman"/>
          <w:sz w:val="24"/>
          <w:szCs w:val="24"/>
        </w:rPr>
        <w:t>7 and HC 1148/08 as the basis for the respondent’s claim to stand 8438 Nkulumane.</w:t>
      </w:r>
    </w:p>
    <w:p w:rsidR="00B250A4" w:rsidRDefault="00B250A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who is based in South Africa avers that it was upon his visit to Zimbabwe in December 2018 that he was shown a copy of the summons by Admire.  The applicant then ins</w:t>
      </w:r>
      <w:r w:rsidR="00C37148">
        <w:rPr>
          <w:rFonts w:ascii="Times New Roman" w:hAnsi="Times New Roman" w:cs="Times New Roman"/>
          <w:sz w:val="24"/>
          <w:szCs w:val="24"/>
        </w:rPr>
        <w:t>tructed</w:t>
      </w:r>
      <w:r>
        <w:rPr>
          <w:rFonts w:ascii="Times New Roman" w:hAnsi="Times New Roman" w:cs="Times New Roman"/>
          <w:sz w:val="24"/>
          <w:szCs w:val="24"/>
        </w:rPr>
        <w:t xml:space="preserve"> counsel who perused the contents of HC 2150/07 and HC 1148/08.  This revealed that there was an extant court order which authorised the transfer of Siphosakhe’s immovable property into the respondent’s name.</w:t>
      </w:r>
    </w:p>
    <w:p w:rsidR="00B250A4" w:rsidRDefault="00B250A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application seeking to vacate the orders in HC 2150/07 and HC 1148/08 was then filed on 22</w:t>
      </w:r>
      <w:r w:rsidRPr="00B250A4">
        <w:rPr>
          <w:rFonts w:ascii="Times New Roman" w:hAnsi="Times New Roman" w:cs="Times New Roman"/>
          <w:sz w:val="24"/>
          <w:szCs w:val="24"/>
          <w:vertAlign w:val="superscript"/>
        </w:rPr>
        <w:t>nd</w:t>
      </w:r>
      <w:r>
        <w:rPr>
          <w:rFonts w:ascii="Times New Roman" w:hAnsi="Times New Roman" w:cs="Times New Roman"/>
          <w:sz w:val="24"/>
          <w:szCs w:val="24"/>
        </w:rPr>
        <w:t xml:space="preserve"> January 2019. </w:t>
      </w:r>
    </w:p>
    <w:p w:rsidR="00B250A4" w:rsidRDefault="00B250A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by the respondent on the merits and</w:t>
      </w:r>
      <w:r w:rsidR="00FD52FB">
        <w:rPr>
          <w:rFonts w:ascii="Times New Roman" w:hAnsi="Times New Roman" w:cs="Times New Roman"/>
          <w:sz w:val="24"/>
          <w:szCs w:val="24"/>
        </w:rPr>
        <w:t xml:space="preserve"> he</w:t>
      </w:r>
      <w:r>
        <w:rPr>
          <w:rFonts w:ascii="Times New Roman" w:hAnsi="Times New Roman" w:cs="Times New Roman"/>
          <w:sz w:val="24"/>
          <w:szCs w:val="24"/>
        </w:rPr>
        <w:t xml:space="preserve"> also took points </w:t>
      </w:r>
      <w:r w:rsidRPr="00FD52FB">
        <w:rPr>
          <w:rFonts w:ascii="Times New Roman" w:hAnsi="Times New Roman" w:cs="Times New Roman"/>
          <w:i/>
          <w:sz w:val="24"/>
          <w:szCs w:val="24"/>
        </w:rPr>
        <w:t>in limine.</w:t>
      </w:r>
    </w:p>
    <w:p w:rsidR="00B250A4" w:rsidRDefault="00B250A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opposing affidavit was deposed to by a Zazinhle Tshuma on behalf of the respondent who granted the deponent Power of Attorney to so act on his behalf.  The applicant also took a point </w:t>
      </w:r>
      <w:r w:rsidRPr="00CE5246">
        <w:rPr>
          <w:rFonts w:ascii="Times New Roman" w:hAnsi="Times New Roman" w:cs="Times New Roman"/>
          <w:i/>
          <w:sz w:val="24"/>
          <w:szCs w:val="24"/>
        </w:rPr>
        <w:t>in limine</w:t>
      </w:r>
      <w:r>
        <w:rPr>
          <w:rFonts w:ascii="Times New Roman" w:hAnsi="Times New Roman" w:cs="Times New Roman"/>
          <w:sz w:val="24"/>
          <w:szCs w:val="24"/>
        </w:rPr>
        <w:t xml:space="preserve"> to the effect that there was no opposition to the application as the deponent to the opposing affidavit did not meet the standard in Rule 227 (4) (a) of the High Court Rules, 1971.  That being so because he has no personal knowledge of what he was deposing to and so could not swear to </w:t>
      </w:r>
      <w:r w:rsidR="00EC4E65">
        <w:rPr>
          <w:rFonts w:ascii="Times New Roman" w:hAnsi="Times New Roman" w:cs="Times New Roman"/>
          <w:sz w:val="24"/>
          <w:szCs w:val="24"/>
        </w:rPr>
        <w:t>the truthfulness of the averments</w:t>
      </w:r>
      <w:r>
        <w:rPr>
          <w:rFonts w:ascii="Times New Roman" w:hAnsi="Times New Roman" w:cs="Times New Roman"/>
          <w:sz w:val="24"/>
          <w:szCs w:val="24"/>
        </w:rPr>
        <w:t xml:space="preserve"> therein.</w:t>
      </w:r>
    </w:p>
    <w:p w:rsidR="00B250A4" w:rsidRDefault="00B250A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w:t>
      </w:r>
      <w:r w:rsidRPr="00CE5246">
        <w:rPr>
          <w:rFonts w:ascii="Times New Roman" w:hAnsi="Times New Roman" w:cs="Times New Roman"/>
          <w:i/>
          <w:sz w:val="24"/>
          <w:szCs w:val="24"/>
        </w:rPr>
        <w:t>Advocate Siziba</w:t>
      </w:r>
      <w:r w:rsidR="00687C21">
        <w:rPr>
          <w:rFonts w:ascii="Times New Roman" w:hAnsi="Times New Roman" w:cs="Times New Roman"/>
          <w:sz w:val="24"/>
          <w:szCs w:val="24"/>
        </w:rPr>
        <w:t xml:space="preserve"> who</w:t>
      </w:r>
      <w:r>
        <w:rPr>
          <w:rFonts w:ascii="Times New Roman" w:hAnsi="Times New Roman" w:cs="Times New Roman"/>
          <w:sz w:val="24"/>
          <w:szCs w:val="24"/>
        </w:rPr>
        <w:t xml:space="preserve"> argue</w:t>
      </w:r>
      <w:r w:rsidR="00687C21">
        <w:rPr>
          <w:rFonts w:ascii="Times New Roman" w:hAnsi="Times New Roman" w:cs="Times New Roman"/>
          <w:sz w:val="24"/>
          <w:szCs w:val="24"/>
        </w:rPr>
        <w:t>d</w:t>
      </w:r>
      <w:r>
        <w:rPr>
          <w:rFonts w:ascii="Times New Roman" w:hAnsi="Times New Roman" w:cs="Times New Roman"/>
          <w:sz w:val="24"/>
          <w:szCs w:val="24"/>
        </w:rPr>
        <w:t xml:space="preserve"> the matter raised a number of points </w:t>
      </w:r>
      <w:r w:rsidRPr="00CE5246">
        <w:rPr>
          <w:rFonts w:ascii="Times New Roman" w:hAnsi="Times New Roman" w:cs="Times New Roman"/>
          <w:i/>
          <w:sz w:val="24"/>
          <w:szCs w:val="24"/>
        </w:rPr>
        <w:t>in limine</w:t>
      </w:r>
      <w:r>
        <w:rPr>
          <w:rFonts w:ascii="Times New Roman" w:hAnsi="Times New Roman" w:cs="Times New Roman"/>
          <w:sz w:val="24"/>
          <w:szCs w:val="24"/>
        </w:rPr>
        <w:t xml:space="preserve"> which had not been specifically raised in the papers.</w:t>
      </w:r>
    </w:p>
    <w:p w:rsidR="00F5575E" w:rsidRDefault="00F5575E"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opposing affidavit the deponent had raised two preliminary points, the first being that the failure by the applicant to specify which </w:t>
      </w:r>
      <w:r w:rsidR="00BD0C9D">
        <w:rPr>
          <w:rFonts w:ascii="Times New Roman" w:hAnsi="Times New Roman" w:cs="Times New Roman"/>
          <w:sz w:val="24"/>
          <w:szCs w:val="24"/>
        </w:rPr>
        <w:t>sub rule</w:t>
      </w:r>
      <w:r>
        <w:rPr>
          <w:rFonts w:ascii="Times New Roman" w:hAnsi="Times New Roman" w:cs="Times New Roman"/>
          <w:sz w:val="24"/>
          <w:szCs w:val="24"/>
        </w:rPr>
        <w:t xml:space="preserve"> of Rule 449 he was relying on was fatal to his application and the second flowing from the first point, being that there was </w:t>
      </w:r>
      <w:r>
        <w:rPr>
          <w:rFonts w:ascii="Times New Roman" w:hAnsi="Times New Roman" w:cs="Times New Roman"/>
          <w:sz w:val="24"/>
          <w:szCs w:val="24"/>
        </w:rPr>
        <w:lastRenderedPageBreak/>
        <w:t xml:space="preserve">an inordinate delay in bringing the application.  </w:t>
      </w:r>
      <w:r w:rsidR="00432208">
        <w:rPr>
          <w:rFonts w:ascii="Times New Roman" w:hAnsi="Times New Roman" w:cs="Times New Roman"/>
          <w:sz w:val="24"/>
          <w:szCs w:val="24"/>
        </w:rPr>
        <w:t>Reliance</w:t>
      </w:r>
      <w:r w:rsidR="00A56D6B">
        <w:rPr>
          <w:rFonts w:ascii="Times New Roman" w:hAnsi="Times New Roman" w:cs="Times New Roman"/>
          <w:sz w:val="24"/>
          <w:szCs w:val="24"/>
        </w:rPr>
        <w:t xml:space="preserve"> on Rule 449 was</w:t>
      </w:r>
      <w:r>
        <w:rPr>
          <w:rFonts w:ascii="Times New Roman" w:hAnsi="Times New Roman" w:cs="Times New Roman"/>
          <w:sz w:val="24"/>
          <w:szCs w:val="24"/>
        </w:rPr>
        <w:t xml:space="preserve"> meant to avoid se</w:t>
      </w:r>
      <w:r w:rsidR="00432208">
        <w:rPr>
          <w:rFonts w:ascii="Times New Roman" w:hAnsi="Times New Roman" w:cs="Times New Roman"/>
          <w:sz w:val="24"/>
          <w:szCs w:val="24"/>
        </w:rPr>
        <w:t>eking condonation.  The application therefore</w:t>
      </w:r>
      <w:r>
        <w:rPr>
          <w:rFonts w:ascii="Times New Roman" w:hAnsi="Times New Roman" w:cs="Times New Roman"/>
          <w:sz w:val="24"/>
          <w:szCs w:val="24"/>
        </w:rPr>
        <w:t xml:space="preserve"> ought to fail due to the inordinate delay.</w:t>
      </w:r>
    </w:p>
    <w:p w:rsidR="00B250A4" w:rsidRDefault="00F5575E"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w:t>
      </w:r>
      <w:r w:rsidRPr="00CE5246">
        <w:rPr>
          <w:rFonts w:ascii="Times New Roman" w:hAnsi="Times New Roman" w:cs="Times New Roman"/>
          <w:i/>
          <w:sz w:val="24"/>
          <w:szCs w:val="24"/>
        </w:rPr>
        <w:t>Advocate Siziba</w:t>
      </w:r>
      <w:r>
        <w:rPr>
          <w:rFonts w:ascii="Times New Roman" w:hAnsi="Times New Roman" w:cs="Times New Roman"/>
          <w:sz w:val="24"/>
          <w:szCs w:val="24"/>
        </w:rPr>
        <w:t xml:space="preserve"> raised two more preliminary points.  These being that the applicant’s claim is predicated on his being a beneficiary to his late mother’s estate.  As such only an executor can repre</w:t>
      </w:r>
      <w:r w:rsidR="00D760D8">
        <w:rPr>
          <w:rFonts w:ascii="Times New Roman" w:hAnsi="Times New Roman" w:cs="Times New Roman"/>
          <w:sz w:val="24"/>
          <w:szCs w:val="24"/>
        </w:rPr>
        <w:t>sent a deceased estate.  Further,</w:t>
      </w:r>
      <w:r>
        <w:rPr>
          <w:rFonts w:ascii="Times New Roman" w:hAnsi="Times New Roman" w:cs="Times New Roman"/>
          <w:sz w:val="24"/>
          <w:szCs w:val="24"/>
        </w:rPr>
        <w:t xml:space="preserve"> since the application relates to a deceased estate the provisions of Rule 248 have to be complied with.  Rule 248 requires that a Master’s report be prepared after such application is served on the Master.  This was not done and so the application ought to fail. </w:t>
      </w:r>
      <w:r w:rsidR="00B250A4">
        <w:rPr>
          <w:rFonts w:ascii="Times New Roman" w:hAnsi="Times New Roman" w:cs="Times New Roman"/>
          <w:sz w:val="24"/>
          <w:szCs w:val="24"/>
        </w:rPr>
        <w:t xml:space="preserve"> </w:t>
      </w:r>
    </w:p>
    <w:p w:rsidR="00F5575E" w:rsidRDefault="00F5575E"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propose to consider all the points </w:t>
      </w:r>
      <w:r w:rsidRPr="00CE5246">
        <w:rPr>
          <w:rFonts w:ascii="Times New Roman" w:hAnsi="Times New Roman" w:cs="Times New Roman"/>
          <w:i/>
          <w:sz w:val="24"/>
          <w:szCs w:val="24"/>
        </w:rPr>
        <w:t>in limine</w:t>
      </w:r>
      <w:r>
        <w:rPr>
          <w:rFonts w:ascii="Times New Roman" w:hAnsi="Times New Roman" w:cs="Times New Roman"/>
          <w:sz w:val="24"/>
          <w:szCs w:val="24"/>
        </w:rPr>
        <w:t xml:space="preserve"> notwithstanding the fact that counsel for the applicant appeared to have abandoned the preliminary point relating to the deponent of the opposing affidavit.</w:t>
      </w:r>
      <w:r w:rsidR="004B1045">
        <w:rPr>
          <w:rFonts w:ascii="Times New Roman" w:hAnsi="Times New Roman" w:cs="Times New Roman"/>
          <w:sz w:val="24"/>
          <w:szCs w:val="24"/>
        </w:rPr>
        <w:t xml:space="preserve"> This is a matter relating to the admissibility of evidence. As such “...admissibility of evidence is a question of law and not of judicial discretion. Evidence is admissible either under the rules of common law or under statute. Hearsay evidence is no exception. Once an item of evidence constitutes hearsay, it must be sanctioned by statute or the common law to be admissible. If it does not, it remains inadmissible as a matter of law and stands to be rejected by the court even if not specifically objected to by the opposing party”( Mokhosi and 15 Others v</w:t>
      </w:r>
      <w:r w:rsidR="00A46EE7">
        <w:rPr>
          <w:rFonts w:ascii="Times New Roman" w:hAnsi="Times New Roman" w:cs="Times New Roman"/>
          <w:sz w:val="24"/>
          <w:szCs w:val="24"/>
        </w:rPr>
        <w:t xml:space="preserve"> Justice Charles Hungwe and 5 Others [2019]LSHC 9)</w:t>
      </w:r>
    </w:p>
    <w:p w:rsidR="00F5575E" w:rsidRDefault="00A3729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B18B5">
        <w:rPr>
          <w:rFonts w:ascii="Times New Roman" w:hAnsi="Times New Roman" w:cs="Times New Roman"/>
          <w:i/>
          <w:sz w:val="24"/>
          <w:szCs w:val="24"/>
        </w:rPr>
        <w:t>casu</w:t>
      </w:r>
      <w:r>
        <w:rPr>
          <w:rFonts w:ascii="Times New Roman" w:hAnsi="Times New Roman" w:cs="Times New Roman"/>
          <w:sz w:val="24"/>
          <w:szCs w:val="24"/>
        </w:rPr>
        <w:t>, Zazinhle</w:t>
      </w:r>
      <w:r w:rsidR="00F5575E">
        <w:rPr>
          <w:rFonts w:ascii="Times New Roman" w:hAnsi="Times New Roman" w:cs="Times New Roman"/>
          <w:sz w:val="24"/>
          <w:szCs w:val="24"/>
        </w:rPr>
        <w:t xml:space="preserve"> Tshuma deposed to an affidavit wherein he said:-</w:t>
      </w:r>
    </w:p>
    <w:p w:rsidR="00F5575E" w:rsidRDefault="00F5575E" w:rsidP="00CE524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in this matter is my principal and have read and understood the applicant’s founding affidavit and have been advised, and accept that I have to respond as follows:-</w:t>
      </w:r>
      <w:r w:rsidR="00E001AF">
        <w:rPr>
          <w:rFonts w:ascii="Times New Roman" w:hAnsi="Times New Roman" w:cs="Times New Roman"/>
          <w:sz w:val="24"/>
          <w:szCs w:val="24"/>
        </w:rPr>
        <w:t>----------”</w:t>
      </w:r>
    </w:p>
    <w:p w:rsidR="00CC4044" w:rsidRDefault="00CC4044" w:rsidP="00CA25C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Rule 227 (4) (a) provides that:-</w:t>
      </w:r>
    </w:p>
    <w:p w:rsidR="00CC4044" w:rsidRDefault="00CC4044" w:rsidP="00CE524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“An affidavit filed with a written application –</w:t>
      </w:r>
    </w:p>
    <w:p w:rsidR="00CC4044" w:rsidRDefault="00CC4044" w:rsidP="00CE524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shall be made by the applicant or respondent, as the case may be, or by a person who can swear to the facts or averments set out therein.”</w:t>
      </w:r>
    </w:p>
    <w:p w:rsidR="00CC4044" w:rsidRDefault="00CC404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Zazinhle Tshuma cannot swear to the facts as he clearly exhibited that he has no personal knowledge of the facts he was deposing to.  He all but accepts that he is acting as the respondent’s mouthpiece and all he deposed to is as per the respondent’s ‘instruction’.</w:t>
      </w:r>
      <w:r w:rsidR="00CE5246">
        <w:rPr>
          <w:rFonts w:ascii="Times New Roman" w:hAnsi="Times New Roman" w:cs="Times New Roman"/>
          <w:sz w:val="24"/>
          <w:szCs w:val="24"/>
        </w:rPr>
        <w:t xml:space="preserve">  Zazinhle derived the authority to do so by virtue of a Special Power of A</w:t>
      </w:r>
      <w:r>
        <w:rPr>
          <w:rFonts w:ascii="Times New Roman" w:hAnsi="Times New Roman" w:cs="Times New Roman"/>
          <w:sz w:val="24"/>
          <w:szCs w:val="24"/>
        </w:rPr>
        <w:t>ttorney granted to him by the respondent.</w:t>
      </w:r>
    </w:p>
    <w:p w:rsidR="00CC4044" w:rsidRDefault="00CC404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CE5246">
        <w:rPr>
          <w:rFonts w:ascii="Times New Roman" w:hAnsi="Times New Roman" w:cs="Times New Roman"/>
          <w:i/>
          <w:sz w:val="24"/>
          <w:szCs w:val="24"/>
        </w:rPr>
        <w:t>Jean Hiltunen v Osmo Juhani Hiltumen</w:t>
      </w:r>
      <w:r>
        <w:rPr>
          <w:rFonts w:ascii="Times New Roman" w:hAnsi="Times New Roman" w:cs="Times New Roman"/>
          <w:sz w:val="24"/>
          <w:szCs w:val="24"/>
        </w:rPr>
        <w:t xml:space="preserve"> HH 99</w:t>
      </w:r>
      <w:r w:rsidR="00A65A46">
        <w:rPr>
          <w:rFonts w:ascii="Times New Roman" w:hAnsi="Times New Roman" w:cs="Times New Roman"/>
          <w:sz w:val="24"/>
          <w:szCs w:val="24"/>
        </w:rPr>
        <w:t>/08 M</w:t>
      </w:r>
      <w:r w:rsidR="00A65A46" w:rsidRPr="00CE5246">
        <w:rPr>
          <w:rFonts w:ascii="Times New Roman" w:hAnsi="Times New Roman" w:cs="Times New Roman"/>
          <w:sz w:val="20"/>
          <w:szCs w:val="20"/>
        </w:rPr>
        <w:t>AKARAU JP</w:t>
      </w:r>
      <w:r w:rsidR="00A65A46">
        <w:rPr>
          <w:rFonts w:ascii="Times New Roman" w:hAnsi="Times New Roman" w:cs="Times New Roman"/>
          <w:sz w:val="24"/>
          <w:szCs w:val="24"/>
        </w:rPr>
        <w:t xml:space="preserve"> (as she then was) held that the deponent to the founding affidavi</w:t>
      </w:r>
      <w:r w:rsidR="00CE5246">
        <w:rPr>
          <w:rFonts w:ascii="Times New Roman" w:hAnsi="Times New Roman" w:cs="Times New Roman"/>
          <w:sz w:val="24"/>
          <w:szCs w:val="24"/>
        </w:rPr>
        <w:t>t who had acted by virtue of a Power of A</w:t>
      </w:r>
      <w:r w:rsidR="00A65A46">
        <w:rPr>
          <w:rFonts w:ascii="Times New Roman" w:hAnsi="Times New Roman" w:cs="Times New Roman"/>
          <w:sz w:val="24"/>
          <w:szCs w:val="24"/>
        </w:rPr>
        <w:t>ttorney had no personal knowledge of what she averred in the entire founding affidavit.</w:t>
      </w:r>
    </w:p>
    <w:p w:rsidR="00A65A46" w:rsidRDefault="00A65A46" w:rsidP="00CA25C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‘She either believes what she is saying to be correct or she has been informed and verily believe it to be correct.”</w:t>
      </w:r>
    </w:p>
    <w:p w:rsidR="00A65A46" w:rsidRDefault="00A65A46"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citing</w:t>
      </w:r>
      <w:r w:rsidR="00AF5246">
        <w:rPr>
          <w:rFonts w:ascii="Times New Roman" w:hAnsi="Times New Roman" w:cs="Times New Roman"/>
          <w:sz w:val="24"/>
          <w:szCs w:val="24"/>
        </w:rPr>
        <w:t xml:space="preserve"> several South African cases</w:t>
      </w:r>
      <w:r>
        <w:rPr>
          <w:rFonts w:ascii="Times New Roman" w:hAnsi="Times New Roman" w:cs="Times New Roman"/>
          <w:sz w:val="24"/>
          <w:szCs w:val="24"/>
        </w:rPr>
        <w:t xml:space="preserve"> (</w:t>
      </w:r>
      <w:r w:rsidRPr="00CE5246">
        <w:rPr>
          <w:rFonts w:ascii="Times New Roman" w:hAnsi="Times New Roman" w:cs="Times New Roman"/>
          <w:i/>
          <w:sz w:val="24"/>
          <w:szCs w:val="24"/>
        </w:rPr>
        <w:t>Pounta’s Trustee v Lahanas</w:t>
      </w:r>
      <w:r>
        <w:rPr>
          <w:rFonts w:ascii="Times New Roman" w:hAnsi="Times New Roman" w:cs="Times New Roman"/>
          <w:sz w:val="24"/>
          <w:szCs w:val="24"/>
        </w:rPr>
        <w:t xml:space="preserve"> 1924 WLD 67, </w:t>
      </w:r>
      <w:r w:rsidRPr="002C1855">
        <w:rPr>
          <w:rFonts w:ascii="Times New Roman" w:hAnsi="Times New Roman" w:cs="Times New Roman"/>
          <w:i/>
          <w:sz w:val="24"/>
          <w:szCs w:val="24"/>
        </w:rPr>
        <w:t xml:space="preserve">Grant – Dalton v Win and Others </w:t>
      </w:r>
      <w:r>
        <w:rPr>
          <w:rFonts w:ascii="Times New Roman" w:hAnsi="Times New Roman" w:cs="Times New Roman"/>
          <w:sz w:val="24"/>
          <w:szCs w:val="24"/>
        </w:rPr>
        <w:t xml:space="preserve">1923 WLD 150 and </w:t>
      </w:r>
      <w:r w:rsidRPr="002C1855">
        <w:rPr>
          <w:rFonts w:ascii="Times New Roman" w:hAnsi="Times New Roman" w:cs="Times New Roman"/>
          <w:i/>
          <w:sz w:val="24"/>
          <w:szCs w:val="24"/>
        </w:rPr>
        <w:t>Levin v Saidman</w:t>
      </w:r>
      <w:r w:rsidR="00FA7086">
        <w:rPr>
          <w:rFonts w:ascii="Times New Roman" w:hAnsi="Times New Roman" w:cs="Times New Roman"/>
          <w:sz w:val="24"/>
          <w:szCs w:val="24"/>
        </w:rPr>
        <w:t xml:space="preserve"> 1930 WLD 256) the learned j</w:t>
      </w:r>
      <w:r>
        <w:rPr>
          <w:rFonts w:ascii="Times New Roman" w:hAnsi="Times New Roman" w:cs="Times New Roman"/>
          <w:sz w:val="24"/>
          <w:szCs w:val="24"/>
        </w:rPr>
        <w:t>udge agreed with the South African au</w:t>
      </w:r>
      <w:r w:rsidR="00247CBF">
        <w:rPr>
          <w:rFonts w:ascii="Times New Roman" w:hAnsi="Times New Roman" w:cs="Times New Roman"/>
          <w:sz w:val="24"/>
          <w:szCs w:val="24"/>
        </w:rPr>
        <w:t>thorities that “.... unless it is in urgent interlocutory applications, hearsay evidence remains inadmissible in affidavits.  While I have not been able to find an</w:t>
      </w:r>
      <w:r w:rsidR="002C1855">
        <w:rPr>
          <w:rFonts w:ascii="Times New Roman" w:hAnsi="Times New Roman" w:cs="Times New Roman"/>
          <w:sz w:val="24"/>
          <w:szCs w:val="24"/>
        </w:rPr>
        <w:t>y local cases where the Pounta’s</w:t>
      </w:r>
      <w:r w:rsidR="00247CBF">
        <w:rPr>
          <w:rFonts w:ascii="Times New Roman" w:hAnsi="Times New Roman" w:cs="Times New Roman"/>
          <w:sz w:val="24"/>
          <w:szCs w:val="24"/>
        </w:rPr>
        <w:t xml:space="preserve"> and Levin’s cases have been cited and directly applied in Zimbabwe, it seems to </w:t>
      </w:r>
      <w:r w:rsidR="002C1855">
        <w:rPr>
          <w:rFonts w:ascii="Times New Roman" w:hAnsi="Times New Roman" w:cs="Times New Roman"/>
          <w:sz w:val="24"/>
          <w:szCs w:val="24"/>
        </w:rPr>
        <w:t xml:space="preserve">me </w:t>
      </w:r>
      <w:r w:rsidR="00247CBF">
        <w:rPr>
          <w:rFonts w:ascii="Times New Roman" w:hAnsi="Times New Roman" w:cs="Times New Roman"/>
          <w:sz w:val="24"/>
          <w:szCs w:val="24"/>
        </w:rPr>
        <w:t>that the two decisions correctly state the practice of this court, albeit one that has to some extent been amended by the relaxation to the rule against hearsay evidence provided in section 27 of the Civil Evidence Act (Chapter 8:01), making first hand hearsay evidence admissible on conditions</w:t>
      </w:r>
      <w:r w:rsidR="00066902">
        <w:rPr>
          <w:rFonts w:ascii="Times New Roman" w:hAnsi="Times New Roman" w:cs="Times New Roman"/>
          <w:sz w:val="24"/>
          <w:szCs w:val="24"/>
        </w:rPr>
        <w:t>. S</w:t>
      </w:r>
      <w:r w:rsidR="00247CBF">
        <w:rPr>
          <w:rFonts w:ascii="Times New Roman" w:hAnsi="Times New Roman" w:cs="Times New Roman"/>
          <w:sz w:val="24"/>
          <w:szCs w:val="24"/>
        </w:rPr>
        <w:t>ection 27 (1) of the Civil Evidence Act provides:</w:t>
      </w:r>
    </w:p>
    <w:p w:rsidR="00247CBF" w:rsidRDefault="00247CBF" w:rsidP="002C185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“Subject to this section evidence of a statement made by any person, whether orally or in writing or otherwise, shall be admissible in civil proceedings as evidence of any fact mentioned or disclosed in the statements, if direct oral evidence by that person of that fact would be admissible in those proceedings.”</w:t>
      </w:r>
    </w:p>
    <w:p w:rsidR="00247CBF" w:rsidRDefault="0053434A"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w:t>
      </w:r>
      <w:r w:rsidR="00247CBF">
        <w:rPr>
          <w:rFonts w:ascii="Times New Roman" w:hAnsi="Times New Roman" w:cs="Times New Roman"/>
          <w:sz w:val="24"/>
          <w:szCs w:val="24"/>
        </w:rPr>
        <w:t>udge proceeded to articulate the circumstances under which first hand hearsay would be admissible.  She had this to say:-</w:t>
      </w:r>
    </w:p>
    <w:p w:rsidR="00247CBF" w:rsidRDefault="00247CBF" w:rsidP="002C185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“For first hand hearsay to be admissible under the Act, the evidence must be about a statement made orally or in writing by another person.  The person who made the statement must in my view be identified and it must appear from the nature of the evidence that the contents of the statement would </w:t>
      </w:r>
      <w:r w:rsidR="007A3B18">
        <w:rPr>
          <w:rFonts w:ascii="Times New Roman" w:hAnsi="Times New Roman" w:cs="Times New Roman"/>
          <w:sz w:val="24"/>
          <w:szCs w:val="24"/>
        </w:rPr>
        <w:t>have been admissible from the mouth of that person were he or she present and testifying.”</w:t>
      </w:r>
    </w:p>
    <w:p w:rsidR="007A3B18" w:rsidRDefault="007A3B18" w:rsidP="00CA25C5">
      <w:pPr>
        <w:spacing w:line="360" w:lineRule="auto"/>
        <w:ind w:firstLine="720"/>
        <w:jc w:val="both"/>
        <w:rPr>
          <w:rFonts w:ascii="Times New Roman" w:hAnsi="Times New Roman" w:cs="Times New Roman"/>
          <w:sz w:val="24"/>
          <w:szCs w:val="24"/>
        </w:rPr>
      </w:pPr>
      <w:r w:rsidRPr="002C1855">
        <w:rPr>
          <w:rFonts w:ascii="Times New Roman" w:hAnsi="Times New Roman" w:cs="Times New Roman"/>
          <w:i/>
          <w:sz w:val="24"/>
          <w:szCs w:val="24"/>
        </w:rPr>
        <w:t>In casu</w:t>
      </w:r>
      <w:r>
        <w:rPr>
          <w:rFonts w:ascii="Times New Roman" w:hAnsi="Times New Roman" w:cs="Times New Roman"/>
          <w:sz w:val="24"/>
          <w:szCs w:val="24"/>
        </w:rPr>
        <w:t xml:space="preserve"> the deponent’s averments are attributed to the respondent, the source of the statement was therefore identified and had the respondent testified in person such evidence would have been admissible.  That being so because it is not opinion evidence which would be inadmissible except if coming from an expert.  It is also not based on hearsay for it to be deemed second or third hand hearsay.</w:t>
      </w:r>
    </w:p>
    <w:p w:rsidR="007A3B18" w:rsidRDefault="007A3B18"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author</w:t>
      </w:r>
      <w:r w:rsidR="002C1855">
        <w:rPr>
          <w:rFonts w:ascii="Times New Roman" w:hAnsi="Times New Roman" w:cs="Times New Roman"/>
          <w:sz w:val="24"/>
          <w:szCs w:val="24"/>
        </w:rPr>
        <w:t>ity the deponent has is from a Special Power of A</w:t>
      </w:r>
      <w:r>
        <w:rPr>
          <w:rFonts w:ascii="Times New Roman" w:hAnsi="Times New Roman" w:cs="Times New Roman"/>
          <w:sz w:val="24"/>
          <w:szCs w:val="24"/>
        </w:rPr>
        <w:t xml:space="preserve">ttorney and specifically with regards to the litigation in respect of stand number 8438 Nkulumane which the respondent has personal knowledge of.  Whilst </w:t>
      </w:r>
      <w:r w:rsidR="002C1855">
        <w:rPr>
          <w:rFonts w:ascii="Times New Roman" w:hAnsi="Times New Roman" w:cs="Times New Roman"/>
          <w:sz w:val="24"/>
          <w:szCs w:val="24"/>
        </w:rPr>
        <w:t>i</w:t>
      </w:r>
      <w:r>
        <w:rPr>
          <w:rFonts w:ascii="Times New Roman" w:hAnsi="Times New Roman" w:cs="Times New Roman"/>
          <w:sz w:val="24"/>
          <w:szCs w:val="24"/>
        </w:rPr>
        <w:t xml:space="preserve">t is not stated why the respondent did not himself depose to the opposing affidavit, it is my considered view that the provisions of section 27 (1) of the Civil Evidence Act apply </w:t>
      </w:r>
      <w:r w:rsidRPr="002C1855">
        <w:rPr>
          <w:rFonts w:ascii="Times New Roman" w:hAnsi="Times New Roman" w:cs="Times New Roman"/>
          <w:i/>
          <w:sz w:val="24"/>
          <w:szCs w:val="24"/>
        </w:rPr>
        <w:t>in casu</w:t>
      </w:r>
      <w:r>
        <w:rPr>
          <w:rFonts w:ascii="Times New Roman" w:hAnsi="Times New Roman" w:cs="Times New Roman"/>
          <w:sz w:val="24"/>
          <w:szCs w:val="24"/>
        </w:rPr>
        <w:t>.</w:t>
      </w:r>
    </w:p>
    <w:p w:rsidR="007A3B18" w:rsidRDefault="007A3B18"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being first hand hearsay it follows that the opposing affidavit is properly before the court.  There is therefore opposition to the application.</w:t>
      </w:r>
    </w:p>
    <w:p w:rsidR="007A3B18" w:rsidRDefault="007A3B18"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point in limine is therefore dismissed.</w:t>
      </w:r>
    </w:p>
    <w:p w:rsidR="007A3B18" w:rsidRDefault="007A3B18"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now to the rest of the points in limine</w:t>
      </w:r>
    </w:p>
    <w:p w:rsidR="007A3B18" w:rsidRDefault="007A3B18"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application, as articulated in his founding affidavit makes it clear that it is in terms </w:t>
      </w:r>
      <w:r w:rsidR="002C1855">
        <w:rPr>
          <w:rFonts w:ascii="Times New Roman" w:hAnsi="Times New Roman" w:cs="Times New Roman"/>
          <w:sz w:val="24"/>
          <w:szCs w:val="24"/>
        </w:rPr>
        <w:t>of Rule 449 (1)</w:t>
      </w:r>
      <w:r>
        <w:rPr>
          <w:rFonts w:ascii="Times New Roman" w:hAnsi="Times New Roman" w:cs="Times New Roman"/>
          <w:sz w:val="24"/>
          <w:szCs w:val="24"/>
        </w:rPr>
        <w:t xml:space="preserve"> (</w:t>
      </w:r>
      <w:r w:rsidR="00B01E14">
        <w:rPr>
          <w:rFonts w:ascii="Times New Roman" w:hAnsi="Times New Roman" w:cs="Times New Roman"/>
          <w:sz w:val="24"/>
          <w:szCs w:val="24"/>
        </w:rPr>
        <w:t>a).  There is specific mention of a desire to vacate a judgment that was erroneously granted.</w:t>
      </w:r>
    </w:p>
    <w:p w:rsidR="00B01E14" w:rsidRDefault="00B01E1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taking of this point </w:t>
      </w:r>
      <w:r w:rsidRPr="002C1855">
        <w:rPr>
          <w:rFonts w:ascii="Times New Roman" w:hAnsi="Times New Roman" w:cs="Times New Roman"/>
          <w:i/>
          <w:sz w:val="24"/>
          <w:szCs w:val="24"/>
        </w:rPr>
        <w:t>in limine</w:t>
      </w:r>
      <w:r>
        <w:rPr>
          <w:rFonts w:ascii="Times New Roman" w:hAnsi="Times New Roman" w:cs="Times New Roman"/>
          <w:sz w:val="24"/>
          <w:szCs w:val="24"/>
        </w:rPr>
        <w:t xml:space="preserve"> is </w:t>
      </w:r>
      <w:r w:rsidR="00932E91">
        <w:rPr>
          <w:rFonts w:ascii="Times New Roman" w:hAnsi="Times New Roman" w:cs="Times New Roman"/>
          <w:sz w:val="24"/>
          <w:szCs w:val="24"/>
        </w:rPr>
        <w:t xml:space="preserve">merely an </w:t>
      </w:r>
      <w:r>
        <w:rPr>
          <w:rFonts w:ascii="Times New Roman" w:hAnsi="Times New Roman" w:cs="Times New Roman"/>
          <w:sz w:val="24"/>
          <w:szCs w:val="24"/>
        </w:rPr>
        <w:t>emphas</w:t>
      </w:r>
      <w:r w:rsidR="00932E91">
        <w:rPr>
          <w:rFonts w:ascii="Times New Roman" w:hAnsi="Times New Roman" w:cs="Times New Roman"/>
          <w:sz w:val="24"/>
          <w:szCs w:val="24"/>
        </w:rPr>
        <w:t>is of</w:t>
      </w:r>
      <w:r>
        <w:rPr>
          <w:rFonts w:ascii="Times New Roman" w:hAnsi="Times New Roman" w:cs="Times New Roman"/>
          <w:sz w:val="24"/>
          <w:szCs w:val="24"/>
        </w:rPr>
        <w:t xml:space="preserve"> form over substance.  This probably explains why </w:t>
      </w:r>
      <w:r w:rsidRPr="002C1855">
        <w:rPr>
          <w:rFonts w:ascii="Times New Roman" w:hAnsi="Times New Roman" w:cs="Times New Roman"/>
          <w:i/>
          <w:sz w:val="24"/>
          <w:szCs w:val="24"/>
        </w:rPr>
        <w:t>Advocate Siziba</w:t>
      </w:r>
      <w:r>
        <w:rPr>
          <w:rFonts w:ascii="Times New Roman" w:hAnsi="Times New Roman" w:cs="Times New Roman"/>
          <w:sz w:val="24"/>
          <w:szCs w:val="24"/>
        </w:rPr>
        <w:t xml:space="preserve"> appeared to have abandoned it.  It has no merit and I do not intend to unduly exercise my mind on it.  It is accordingly dismissed.</w:t>
      </w:r>
    </w:p>
    <w:p w:rsidR="00B01E14" w:rsidRDefault="00B01E1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point relates to the bringing of the application in terms of Rule 449.  Rule 449 does not stipulate time lines within which such applications should be brought unlike Rule 63.</w:t>
      </w:r>
    </w:p>
    <w:p w:rsidR="00B01E14" w:rsidRDefault="00B01E1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rescission is being sought in terms of Rule 63, the applicant must bring the application within a month after he has had knowledge of the judgment and he is deemed to have had such knowledge within 2 days after the date thereof.</w:t>
      </w:r>
    </w:p>
    <w:p w:rsidR="00B01E14" w:rsidRDefault="00B01E1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does not mean that a Rule 449 application can be brought years later without so much as an explanation as to why it was not brought within a reasonable time.</w:t>
      </w:r>
    </w:p>
    <w:p w:rsidR="00B01E14" w:rsidRDefault="00E954DE" w:rsidP="00CA25C5">
      <w:pPr>
        <w:spacing w:line="360" w:lineRule="auto"/>
        <w:ind w:firstLine="720"/>
        <w:jc w:val="both"/>
        <w:rPr>
          <w:rFonts w:ascii="Times New Roman" w:hAnsi="Times New Roman" w:cs="Times New Roman"/>
          <w:sz w:val="24"/>
          <w:szCs w:val="24"/>
        </w:rPr>
      </w:pPr>
      <w:r>
        <w:rPr>
          <w:rFonts w:ascii="Times New Roman" w:hAnsi="Times New Roman" w:cs="Times New Roman"/>
          <w:i/>
          <w:sz w:val="24"/>
          <w:szCs w:val="24"/>
        </w:rPr>
        <w:t>Advocate S</w:t>
      </w:r>
      <w:r w:rsidR="00B01E14" w:rsidRPr="002C1855">
        <w:rPr>
          <w:rFonts w:ascii="Times New Roman" w:hAnsi="Times New Roman" w:cs="Times New Roman"/>
          <w:i/>
          <w:sz w:val="24"/>
          <w:szCs w:val="24"/>
        </w:rPr>
        <w:t>iziba</w:t>
      </w:r>
      <w:r w:rsidR="00B01E14">
        <w:rPr>
          <w:rFonts w:ascii="Times New Roman" w:hAnsi="Times New Roman" w:cs="Times New Roman"/>
          <w:sz w:val="24"/>
          <w:szCs w:val="24"/>
        </w:rPr>
        <w:t xml:space="preserve"> relied on M</w:t>
      </w:r>
      <w:r w:rsidR="00B01E14" w:rsidRPr="002C1855">
        <w:rPr>
          <w:rFonts w:ascii="Times New Roman" w:hAnsi="Times New Roman" w:cs="Times New Roman"/>
          <w:sz w:val="20"/>
          <w:szCs w:val="20"/>
        </w:rPr>
        <w:t>ATHONSI</w:t>
      </w:r>
      <w:r>
        <w:rPr>
          <w:rFonts w:ascii="Times New Roman" w:hAnsi="Times New Roman" w:cs="Times New Roman"/>
          <w:sz w:val="20"/>
          <w:szCs w:val="20"/>
        </w:rPr>
        <w:t xml:space="preserve"> J</w:t>
      </w:r>
      <w:r w:rsidR="002C1855">
        <w:rPr>
          <w:rFonts w:ascii="Times New Roman" w:hAnsi="Times New Roman" w:cs="Times New Roman"/>
          <w:sz w:val="24"/>
          <w:szCs w:val="24"/>
        </w:rPr>
        <w:t>‘s (</w:t>
      </w:r>
      <w:r w:rsidR="00B01E14">
        <w:rPr>
          <w:rFonts w:ascii="Times New Roman" w:hAnsi="Times New Roman" w:cs="Times New Roman"/>
          <w:sz w:val="24"/>
          <w:szCs w:val="24"/>
        </w:rPr>
        <w:t xml:space="preserve">as he then was) judgment in </w:t>
      </w:r>
      <w:r w:rsidR="00B01E14" w:rsidRPr="002C1855">
        <w:rPr>
          <w:rFonts w:ascii="Times New Roman" w:hAnsi="Times New Roman" w:cs="Times New Roman"/>
          <w:i/>
          <w:sz w:val="24"/>
          <w:szCs w:val="24"/>
        </w:rPr>
        <w:t>Harold Manyame and Another v Emily Karimazondo and 10 Others</w:t>
      </w:r>
      <w:r w:rsidR="00B01E14">
        <w:rPr>
          <w:rFonts w:ascii="Times New Roman" w:hAnsi="Times New Roman" w:cs="Times New Roman"/>
          <w:sz w:val="24"/>
          <w:szCs w:val="24"/>
        </w:rPr>
        <w:t xml:space="preserve"> HH 750-15 for the proposition that an application under Rule 449 must be brought within a reasonable time.</w:t>
      </w:r>
    </w:p>
    <w:p w:rsidR="00B01E14" w:rsidRDefault="00B01E14"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2C1855">
        <w:rPr>
          <w:rFonts w:ascii="Times New Roman" w:hAnsi="Times New Roman" w:cs="Times New Roman"/>
          <w:sz w:val="24"/>
          <w:szCs w:val="24"/>
        </w:rPr>
        <w:t xml:space="preserve"> is important to note however t</w:t>
      </w:r>
      <w:r>
        <w:rPr>
          <w:rFonts w:ascii="Times New Roman" w:hAnsi="Times New Roman" w:cs="Times New Roman"/>
          <w:sz w:val="24"/>
          <w:szCs w:val="24"/>
        </w:rPr>
        <w:t>h</w:t>
      </w:r>
      <w:r w:rsidR="002C1855">
        <w:rPr>
          <w:rFonts w:ascii="Times New Roman" w:hAnsi="Times New Roman" w:cs="Times New Roman"/>
          <w:sz w:val="24"/>
          <w:szCs w:val="24"/>
        </w:rPr>
        <w:t>a</w:t>
      </w:r>
      <w:r>
        <w:rPr>
          <w:rFonts w:ascii="Times New Roman" w:hAnsi="Times New Roman" w:cs="Times New Roman"/>
          <w:sz w:val="24"/>
          <w:szCs w:val="24"/>
        </w:rPr>
        <w:t xml:space="preserve">t the facts in the </w:t>
      </w:r>
      <w:r w:rsidRPr="002C1855">
        <w:rPr>
          <w:rFonts w:ascii="Times New Roman" w:hAnsi="Times New Roman" w:cs="Times New Roman"/>
          <w:i/>
          <w:sz w:val="24"/>
          <w:szCs w:val="24"/>
        </w:rPr>
        <w:t>Manyame</w:t>
      </w:r>
      <w:r>
        <w:rPr>
          <w:rFonts w:ascii="Times New Roman" w:hAnsi="Times New Roman" w:cs="Times New Roman"/>
          <w:sz w:val="24"/>
          <w:szCs w:val="24"/>
        </w:rPr>
        <w:t xml:space="preserve"> case (supra) markedly differ with t</w:t>
      </w:r>
      <w:r w:rsidR="002C1855">
        <w:rPr>
          <w:rFonts w:ascii="Times New Roman" w:hAnsi="Times New Roman" w:cs="Times New Roman"/>
          <w:sz w:val="24"/>
          <w:szCs w:val="24"/>
        </w:rPr>
        <w:t xml:space="preserve">hose in </w:t>
      </w:r>
      <w:r w:rsidR="002C1855" w:rsidRPr="00546079">
        <w:rPr>
          <w:rFonts w:ascii="Times New Roman" w:hAnsi="Times New Roman" w:cs="Times New Roman"/>
          <w:i/>
          <w:sz w:val="24"/>
          <w:szCs w:val="24"/>
        </w:rPr>
        <w:t>casu</w:t>
      </w:r>
      <w:r>
        <w:rPr>
          <w:rFonts w:ascii="Times New Roman" w:hAnsi="Times New Roman" w:cs="Times New Roman"/>
          <w:sz w:val="24"/>
          <w:szCs w:val="24"/>
        </w:rPr>
        <w:t xml:space="preserve">.  The applicants in the </w:t>
      </w:r>
      <w:r w:rsidRPr="002C1855">
        <w:rPr>
          <w:rFonts w:ascii="Times New Roman" w:hAnsi="Times New Roman" w:cs="Times New Roman"/>
          <w:i/>
          <w:sz w:val="24"/>
          <w:szCs w:val="24"/>
        </w:rPr>
        <w:t>Manyame</w:t>
      </w:r>
      <w:r>
        <w:rPr>
          <w:rFonts w:ascii="Times New Roman" w:hAnsi="Times New Roman" w:cs="Times New Roman"/>
          <w:sz w:val="24"/>
          <w:szCs w:val="24"/>
        </w:rPr>
        <w:t xml:space="preserve"> case were seeking the rescission of </w:t>
      </w:r>
      <w:r>
        <w:rPr>
          <w:rFonts w:ascii="Times New Roman" w:hAnsi="Times New Roman" w:cs="Times New Roman"/>
          <w:sz w:val="24"/>
          <w:szCs w:val="24"/>
        </w:rPr>
        <w:lastRenderedPageBreak/>
        <w:t xml:space="preserve">a judgment </w:t>
      </w:r>
      <w:r w:rsidR="002C1855">
        <w:rPr>
          <w:rFonts w:ascii="Times New Roman" w:hAnsi="Times New Roman" w:cs="Times New Roman"/>
          <w:sz w:val="24"/>
          <w:szCs w:val="24"/>
        </w:rPr>
        <w:t xml:space="preserve">13 years </w:t>
      </w:r>
      <w:r w:rsidR="00976694">
        <w:rPr>
          <w:rFonts w:ascii="Times New Roman" w:hAnsi="Times New Roman" w:cs="Times New Roman"/>
          <w:sz w:val="24"/>
          <w:szCs w:val="24"/>
        </w:rPr>
        <w:t>later when</w:t>
      </w:r>
      <w:r w:rsidR="002B4272">
        <w:rPr>
          <w:rFonts w:ascii="Times New Roman" w:hAnsi="Times New Roman" w:cs="Times New Roman"/>
          <w:sz w:val="24"/>
          <w:szCs w:val="24"/>
        </w:rPr>
        <w:t xml:space="preserve"> the first applicant had become aware of the court order immediately after it was granted and had filed an application for rescission which was not prosecuted.  They then sought to seek the same relief 4 years later without explaining what became of the first application and what was happening in the 4 years they took to bring a similar application.</w:t>
      </w:r>
    </w:p>
    <w:p w:rsidR="002B4272" w:rsidRDefault="00D31255"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w:t>
      </w:r>
      <w:r w:rsidR="002B4272">
        <w:rPr>
          <w:rFonts w:ascii="Times New Roman" w:hAnsi="Times New Roman" w:cs="Times New Roman"/>
          <w:sz w:val="24"/>
          <w:szCs w:val="24"/>
        </w:rPr>
        <w:t>udge concluded by saying:-</w:t>
      </w:r>
    </w:p>
    <w:p w:rsidR="002B4272" w:rsidRDefault="002B4272" w:rsidP="002C185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“Rule 449 is silent on the time frame within which an application made under it should be brought but that does not mean that a party relying on that rule is at liberty, </w:t>
      </w:r>
      <w:r w:rsidRPr="004252FE">
        <w:rPr>
          <w:rFonts w:ascii="Times New Roman" w:hAnsi="Times New Roman" w:cs="Times New Roman"/>
          <w:sz w:val="24"/>
          <w:szCs w:val="24"/>
          <w:u w:val="single"/>
        </w:rPr>
        <w:t>without more</w:t>
      </w:r>
      <w:r>
        <w:rPr>
          <w:rFonts w:ascii="Times New Roman" w:hAnsi="Times New Roman" w:cs="Times New Roman"/>
          <w:sz w:val="24"/>
          <w:szCs w:val="24"/>
        </w:rPr>
        <w:t>, to come to court anytime seeking a rescission of judgment.  The application should be made within a reasonable time after knowledge of the offending judgment.  In my view 4 years is not a reasonable time.”</w:t>
      </w:r>
    </w:p>
    <w:p w:rsidR="002B4272" w:rsidRDefault="002B4272"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Pr="002C1855">
        <w:rPr>
          <w:rFonts w:ascii="Times New Roman" w:hAnsi="Times New Roman" w:cs="Times New Roman"/>
          <w:i/>
          <w:sz w:val="24"/>
          <w:szCs w:val="24"/>
        </w:rPr>
        <w:t>in casu</w:t>
      </w:r>
      <w:r>
        <w:rPr>
          <w:rFonts w:ascii="Times New Roman" w:hAnsi="Times New Roman" w:cs="Times New Roman"/>
          <w:sz w:val="24"/>
          <w:szCs w:val="24"/>
        </w:rPr>
        <w:t xml:space="preserve"> explained that he is based in South Africa and although in 2009 his cousin, Admire, had advised him of visits by members of the CID over the fraudulent sale of the house to several buyers there was no mention of the existence of the court order he now seeks to vacate by way of rescission.</w:t>
      </w:r>
    </w:p>
    <w:p w:rsidR="002B4272" w:rsidRDefault="002B4272"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only in December 2018, 29</w:t>
      </w:r>
      <w:r w:rsidRPr="002B4272">
        <w:rPr>
          <w:rFonts w:ascii="Times New Roman" w:hAnsi="Times New Roman" w:cs="Times New Roman"/>
          <w:sz w:val="24"/>
          <w:szCs w:val="24"/>
          <w:vertAlign w:val="superscript"/>
        </w:rPr>
        <w:t>th</w:t>
      </w:r>
      <w:r>
        <w:rPr>
          <w:rFonts w:ascii="Times New Roman" w:hAnsi="Times New Roman" w:cs="Times New Roman"/>
          <w:sz w:val="24"/>
          <w:szCs w:val="24"/>
        </w:rPr>
        <w:t xml:space="preserve"> to be exact, when the applicant came to Zimbabwe, that he became aware of the summons for eviction which made reference to the orders in HC 2150/07 and HC 1148/08</w:t>
      </w:r>
    </w:p>
    <w:p w:rsidR="002B4272" w:rsidRDefault="002B4272"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nothing to controvert this assertion and whilst it may be said the applicant should have </w:t>
      </w:r>
      <w:r w:rsidR="00862169">
        <w:rPr>
          <w:rFonts w:ascii="Times New Roman" w:hAnsi="Times New Roman" w:cs="Times New Roman"/>
          <w:sz w:val="24"/>
          <w:szCs w:val="24"/>
        </w:rPr>
        <w:t>taken</w:t>
      </w:r>
      <w:r w:rsidR="00BC2E5B">
        <w:rPr>
          <w:rFonts w:ascii="Times New Roman" w:hAnsi="Times New Roman" w:cs="Times New Roman"/>
          <w:sz w:val="24"/>
          <w:szCs w:val="24"/>
        </w:rPr>
        <w:t xml:space="preserve"> more interest in 2009, the fact stands that he was not aware of the court orders.  This application was filed on 22</w:t>
      </w:r>
      <w:r w:rsidR="00BC2E5B" w:rsidRPr="00BC2E5B">
        <w:rPr>
          <w:rFonts w:ascii="Times New Roman" w:hAnsi="Times New Roman" w:cs="Times New Roman"/>
          <w:sz w:val="24"/>
          <w:szCs w:val="24"/>
          <w:vertAlign w:val="superscript"/>
        </w:rPr>
        <w:t>nd</w:t>
      </w:r>
      <w:r w:rsidR="00BC2E5B">
        <w:rPr>
          <w:rFonts w:ascii="Times New Roman" w:hAnsi="Times New Roman" w:cs="Times New Roman"/>
          <w:sz w:val="24"/>
          <w:szCs w:val="24"/>
        </w:rPr>
        <w:t xml:space="preserve"> January 2019 and it cannot be said the applicant did not act with haste to seek the vacation of the</w:t>
      </w:r>
      <w:r w:rsidR="00A53CAE">
        <w:rPr>
          <w:rFonts w:ascii="Times New Roman" w:hAnsi="Times New Roman" w:cs="Times New Roman"/>
          <w:sz w:val="24"/>
          <w:szCs w:val="24"/>
        </w:rPr>
        <w:t xml:space="preserve"> offending</w:t>
      </w:r>
      <w:r w:rsidR="00BC2E5B">
        <w:rPr>
          <w:rFonts w:ascii="Times New Roman" w:hAnsi="Times New Roman" w:cs="Times New Roman"/>
          <w:sz w:val="24"/>
          <w:szCs w:val="24"/>
        </w:rPr>
        <w:t xml:space="preserve"> court order.</w:t>
      </w:r>
    </w:p>
    <w:p w:rsidR="006B1B9E" w:rsidRDefault="006B1B9E" w:rsidP="006B1B9E">
      <w:pPr>
        <w:spacing w:line="360" w:lineRule="auto"/>
        <w:jc w:val="both"/>
        <w:rPr>
          <w:rFonts w:ascii="Times New Roman" w:hAnsi="Times New Roman" w:cs="Times New Roman"/>
          <w:sz w:val="24"/>
          <w:szCs w:val="24"/>
        </w:rPr>
      </w:pPr>
      <w:r>
        <w:rPr>
          <w:rFonts w:ascii="Times New Roman" w:hAnsi="Times New Roman" w:cs="Times New Roman"/>
          <w:sz w:val="24"/>
          <w:szCs w:val="24"/>
        </w:rPr>
        <w:t>The suggestion that the applicant must have known of the litigation that resulted in the order he seeks to vacate because the plea filed in case number 1770/18 makes averments similar to those in applicant’s founding affidavit fails to appreciate that the applicant and Admire are not strangers. They are cousins and Admire has been staying at the contentious immovable property as far back as 2009, if not earlier. It therefore cannot be said Admire could only have known the details contained in his plea from the applicant, which</w:t>
      </w:r>
      <w:r w:rsidR="000B70FE">
        <w:rPr>
          <w:rFonts w:ascii="Times New Roman" w:hAnsi="Times New Roman" w:cs="Times New Roman"/>
          <w:sz w:val="24"/>
          <w:szCs w:val="24"/>
        </w:rPr>
        <w:t xml:space="preserve"> equally means the applicant has</w:t>
      </w:r>
      <w:r>
        <w:rPr>
          <w:rFonts w:ascii="Times New Roman" w:hAnsi="Times New Roman" w:cs="Times New Roman"/>
          <w:sz w:val="24"/>
          <w:szCs w:val="24"/>
        </w:rPr>
        <w:t xml:space="preserve"> known for a long time about the litigation. Such an inference cannot be correct in the circumstances, especially in light of the applicant’s explanation of how h</w:t>
      </w:r>
      <w:r w:rsidR="000B70FE">
        <w:rPr>
          <w:rFonts w:ascii="Times New Roman" w:hAnsi="Times New Roman" w:cs="Times New Roman"/>
          <w:sz w:val="24"/>
          <w:szCs w:val="24"/>
        </w:rPr>
        <w:t>e</w:t>
      </w:r>
      <w:r>
        <w:rPr>
          <w:rFonts w:ascii="Times New Roman" w:hAnsi="Times New Roman" w:cs="Times New Roman"/>
          <w:sz w:val="24"/>
          <w:szCs w:val="24"/>
        </w:rPr>
        <w:t xml:space="preserve"> came to </w:t>
      </w:r>
      <w:r>
        <w:rPr>
          <w:rFonts w:ascii="Times New Roman" w:hAnsi="Times New Roman" w:cs="Times New Roman"/>
          <w:sz w:val="24"/>
          <w:szCs w:val="24"/>
        </w:rPr>
        <w:lastRenderedPageBreak/>
        <w:t>know of the order in HC2170/07. HC1148/08 only sought to correct an error in the stand n</w:t>
      </w:r>
      <w:r w:rsidR="00777EA8">
        <w:rPr>
          <w:rFonts w:ascii="Times New Roman" w:hAnsi="Times New Roman" w:cs="Times New Roman"/>
          <w:sz w:val="24"/>
          <w:szCs w:val="24"/>
        </w:rPr>
        <w:t>umber which had been cited as 84</w:t>
      </w:r>
      <w:r>
        <w:rPr>
          <w:rFonts w:ascii="Times New Roman" w:hAnsi="Times New Roman" w:cs="Times New Roman"/>
          <w:sz w:val="24"/>
          <w:szCs w:val="24"/>
        </w:rPr>
        <w:t>8</w:t>
      </w:r>
      <w:r w:rsidR="001051FA">
        <w:rPr>
          <w:rFonts w:ascii="Times New Roman" w:hAnsi="Times New Roman" w:cs="Times New Roman"/>
          <w:sz w:val="24"/>
          <w:szCs w:val="24"/>
        </w:rPr>
        <w:t>3</w:t>
      </w:r>
      <w:r>
        <w:rPr>
          <w:rFonts w:ascii="Times New Roman" w:hAnsi="Times New Roman" w:cs="Times New Roman"/>
          <w:sz w:val="24"/>
          <w:szCs w:val="24"/>
        </w:rPr>
        <w:t xml:space="preserve"> instead of 8438</w:t>
      </w:r>
      <w:r w:rsidR="00B866BD">
        <w:rPr>
          <w:rFonts w:ascii="Times New Roman" w:hAnsi="Times New Roman" w:cs="Times New Roman"/>
          <w:sz w:val="24"/>
          <w:szCs w:val="24"/>
        </w:rPr>
        <w:t>.</w:t>
      </w:r>
      <w:r>
        <w:rPr>
          <w:rFonts w:ascii="Times New Roman" w:hAnsi="Times New Roman" w:cs="Times New Roman"/>
          <w:sz w:val="24"/>
          <w:szCs w:val="24"/>
        </w:rPr>
        <w:t xml:space="preserve"> </w:t>
      </w:r>
    </w:p>
    <w:p w:rsidR="00BC2E5B" w:rsidRDefault="00BC2E5B"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therefore explained that which without an explanation would be deemed an inordinate and unreasonable delay.  It therefore cannot be said, as was the case in the </w:t>
      </w:r>
      <w:r w:rsidRPr="002C1855">
        <w:rPr>
          <w:rFonts w:ascii="Times New Roman" w:hAnsi="Times New Roman" w:cs="Times New Roman"/>
          <w:i/>
          <w:sz w:val="24"/>
          <w:szCs w:val="24"/>
        </w:rPr>
        <w:t>Manyame</w:t>
      </w:r>
      <w:r>
        <w:rPr>
          <w:rFonts w:ascii="Times New Roman" w:hAnsi="Times New Roman" w:cs="Times New Roman"/>
          <w:sz w:val="24"/>
          <w:szCs w:val="24"/>
        </w:rPr>
        <w:t xml:space="preserve"> case (</w:t>
      </w:r>
      <w:r w:rsidRPr="002C1855">
        <w:rPr>
          <w:rFonts w:ascii="Times New Roman" w:hAnsi="Times New Roman" w:cs="Times New Roman"/>
          <w:i/>
          <w:sz w:val="24"/>
          <w:szCs w:val="24"/>
        </w:rPr>
        <w:t>supra)</w:t>
      </w:r>
      <w:r>
        <w:rPr>
          <w:rFonts w:ascii="Times New Roman" w:hAnsi="Times New Roman" w:cs="Times New Roman"/>
          <w:sz w:val="24"/>
          <w:szCs w:val="24"/>
        </w:rPr>
        <w:t xml:space="preserve"> that the applicant, “without more”, seeks to approach the court to rescind a court order granted almost 10 year</w:t>
      </w:r>
      <w:r w:rsidR="00426CAF">
        <w:rPr>
          <w:rFonts w:ascii="Times New Roman" w:hAnsi="Times New Roman" w:cs="Times New Roman"/>
          <w:sz w:val="24"/>
          <w:szCs w:val="24"/>
        </w:rPr>
        <w:t>s</w:t>
      </w:r>
      <w:r>
        <w:rPr>
          <w:rFonts w:ascii="Times New Roman" w:hAnsi="Times New Roman" w:cs="Times New Roman"/>
          <w:sz w:val="24"/>
          <w:szCs w:val="24"/>
        </w:rPr>
        <w:t xml:space="preserve"> ago.</w:t>
      </w:r>
    </w:p>
    <w:p w:rsidR="00BC2E5B" w:rsidRDefault="00BC2E5B"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w:t>
      </w:r>
      <w:r w:rsidRPr="00C83061">
        <w:rPr>
          <w:rFonts w:ascii="Times New Roman" w:hAnsi="Times New Roman" w:cs="Times New Roman"/>
          <w:i/>
          <w:sz w:val="24"/>
          <w:szCs w:val="24"/>
        </w:rPr>
        <w:t>in limine</w:t>
      </w:r>
      <w:r>
        <w:rPr>
          <w:rFonts w:ascii="Times New Roman" w:hAnsi="Times New Roman" w:cs="Times New Roman"/>
          <w:sz w:val="24"/>
          <w:szCs w:val="24"/>
        </w:rPr>
        <w:t xml:space="preserve"> is therefore without merit and must equally fail.</w:t>
      </w:r>
    </w:p>
    <w:p w:rsidR="00BC2E5B" w:rsidRDefault="00BC2E5B"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point is on </w:t>
      </w:r>
      <w:r w:rsidRPr="00C83061">
        <w:rPr>
          <w:rFonts w:ascii="Times New Roman" w:hAnsi="Times New Roman" w:cs="Times New Roman"/>
          <w:i/>
          <w:sz w:val="24"/>
          <w:szCs w:val="24"/>
        </w:rPr>
        <w:t>locus standi</w:t>
      </w:r>
      <w:r>
        <w:rPr>
          <w:rFonts w:ascii="Times New Roman" w:hAnsi="Times New Roman" w:cs="Times New Roman"/>
          <w:sz w:val="24"/>
          <w:szCs w:val="24"/>
        </w:rPr>
        <w:t>.  The applicant is the biological son of the late Siphosakhe Sibanda.  The law regards him and his brother as the beneficiaries to their mother’s estate.</w:t>
      </w:r>
    </w:p>
    <w:p w:rsidR="006D38B0" w:rsidRDefault="006D38B0"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68 of the Administration of Estates Act, Chapter 6:01 defines a beneficiary as:-</w:t>
      </w:r>
    </w:p>
    <w:p w:rsidR="006D38B0" w:rsidRDefault="006D38B0"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“a surviving spouse or child of the deceased person.”</w:t>
      </w:r>
    </w:p>
    <w:p w:rsidR="006D38B0" w:rsidRDefault="006D38B0"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was a widow as per the death certificate filed of record.  It follows therefore that her two sons are the beneficiaries to her estate.</w:t>
      </w:r>
    </w:p>
    <w:p w:rsidR="006D38B0" w:rsidRDefault="006D38B0" w:rsidP="00CA25C5">
      <w:pPr>
        <w:spacing w:line="360" w:lineRule="auto"/>
        <w:ind w:firstLine="720"/>
        <w:jc w:val="both"/>
        <w:rPr>
          <w:rFonts w:ascii="Times New Roman" w:hAnsi="Times New Roman" w:cs="Times New Roman"/>
          <w:sz w:val="24"/>
          <w:szCs w:val="24"/>
        </w:rPr>
      </w:pPr>
      <w:r w:rsidRPr="00C83061">
        <w:rPr>
          <w:rFonts w:ascii="Times New Roman" w:hAnsi="Times New Roman" w:cs="Times New Roman"/>
          <w:i/>
          <w:sz w:val="24"/>
          <w:szCs w:val="24"/>
        </w:rPr>
        <w:t>Advocate Siziba</w:t>
      </w:r>
      <w:r>
        <w:rPr>
          <w:rFonts w:ascii="Times New Roman" w:hAnsi="Times New Roman" w:cs="Times New Roman"/>
          <w:sz w:val="24"/>
          <w:szCs w:val="24"/>
        </w:rPr>
        <w:t xml:space="preserve"> cited K</w:t>
      </w:r>
      <w:r w:rsidRPr="00C83061">
        <w:rPr>
          <w:rFonts w:ascii="Times New Roman" w:hAnsi="Times New Roman" w:cs="Times New Roman"/>
        </w:rPr>
        <w:t>UDYA J</w:t>
      </w:r>
      <w:r>
        <w:rPr>
          <w:rFonts w:ascii="Times New Roman" w:hAnsi="Times New Roman" w:cs="Times New Roman"/>
          <w:sz w:val="24"/>
          <w:szCs w:val="24"/>
        </w:rPr>
        <w:t xml:space="preserve">’s judgment in </w:t>
      </w:r>
      <w:r w:rsidRPr="00C83061">
        <w:rPr>
          <w:rFonts w:ascii="Times New Roman" w:hAnsi="Times New Roman" w:cs="Times New Roman"/>
          <w:i/>
          <w:sz w:val="24"/>
          <w:szCs w:val="24"/>
        </w:rPr>
        <w:t>Nyandoro and Another v Nyandoro</w:t>
      </w:r>
      <w:r>
        <w:rPr>
          <w:rFonts w:ascii="Times New Roman" w:hAnsi="Times New Roman" w:cs="Times New Roman"/>
          <w:sz w:val="24"/>
          <w:szCs w:val="24"/>
        </w:rPr>
        <w:t xml:space="preserve"> </w:t>
      </w:r>
      <w:r w:rsidRPr="00C83061">
        <w:rPr>
          <w:rFonts w:ascii="Times New Roman" w:hAnsi="Times New Roman" w:cs="Times New Roman"/>
          <w:i/>
          <w:sz w:val="24"/>
          <w:szCs w:val="24"/>
        </w:rPr>
        <w:t>and 3 Others</w:t>
      </w:r>
      <w:r w:rsidR="00812B6D">
        <w:rPr>
          <w:rFonts w:ascii="Times New Roman" w:hAnsi="Times New Roman" w:cs="Times New Roman"/>
          <w:sz w:val="24"/>
          <w:szCs w:val="24"/>
        </w:rPr>
        <w:t xml:space="preserve"> HH 89-2008 as authority </w:t>
      </w:r>
      <w:r>
        <w:rPr>
          <w:rFonts w:ascii="Times New Roman" w:hAnsi="Times New Roman" w:cs="Times New Roman"/>
          <w:sz w:val="24"/>
          <w:szCs w:val="24"/>
        </w:rPr>
        <w:t>f</w:t>
      </w:r>
      <w:r w:rsidR="00812B6D">
        <w:rPr>
          <w:rFonts w:ascii="Times New Roman" w:hAnsi="Times New Roman" w:cs="Times New Roman"/>
          <w:sz w:val="24"/>
          <w:szCs w:val="24"/>
        </w:rPr>
        <w:t>or</w:t>
      </w:r>
      <w:r>
        <w:rPr>
          <w:rFonts w:ascii="Times New Roman" w:hAnsi="Times New Roman" w:cs="Times New Roman"/>
          <w:sz w:val="24"/>
          <w:szCs w:val="24"/>
        </w:rPr>
        <w:t xml:space="preserve"> the position that the only person who can represent a deceased estate is an executor.</w:t>
      </w:r>
    </w:p>
    <w:p w:rsidR="006D38B0" w:rsidRDefault="006D38B0"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stated that the estate was never registered until recently.  As at the time of the sale of the immovable property the estate was not registered.  </w:t>
      </w:r>
      <w:r w:rsidRPr="00C83061">
        <w:rPr>
          <w:rFonts w:ascii="Times New Roman" w:hAnsi="Times New Roman" w:cs="Times New Roman"/>
          <w:i/>
          <w:sz w:val="24"/>
          <w:szCs w:val="24"/>
        </w:rPr>
        <w:t xml:space="preserve">Advocate </w:t>
      </w:r>
      <w:r>
        <w:rPr>
          <w:rFonts w:ascii="Times New Roman" w:hAnsi="Times New Roman" w:cs="Times New Roman"/>
          <w:sz w:val="24"/>
          <w:szCs w:val="24"/>
        </w:rPr>
        <w:t>Siziba was not able to state with certainty that the estate was registered an</w:t>
      </w:r>
      <w:r w:rsidR="008F5D6B">
        <w:rPr>
          <w:rFonts w:ascii="Times New Roman" w:hAnsi="Times New Roman" w:cs="Times New Roman"/>
          <w:sz w:val="24"/>
          <w:szCs w:val="24"/>
        </w:rPr>
        <w:t>d an</w:t>
      </w:r>
      <w:r>
        <w:rPr>
          <w:rFonts w:ascii="Times New Roman" w:hAnsi="Times New Roman" w:cs="Times New Roman"/>
          <w:sz w:val="24"/>
          <w:szCs w:val="24"/>
        </w:rPr>
        <w:t xml:space="preserve"> executor duly appointed.  HC 2150/07 does not have any document as proof that the estate was registered</w:t>
      </w:r>
      <w:r w:rsidR="00D36ED5">
        <w:rPr>
          <w:rFonts w:ascii="Times New Roman" w:hAnsi="Times New Roman" w:cs="Times New Roman"/>
          <w:sz w:val="24"/>
          <w:szCs w:val="24"/>
        </w:rPr>
        <w:t>.</w:t>
      </w:r>
      <w:r w:rsidR="008F5D6B">
        <w:rPr>
          <w:rFonts w:ascii="Times New Roman" w:hAnsi="Times New Roman" w:cs="Times New Roman"/>
          <w:sz w:val="24"/>
          <w:szCs w:val="24"/>
        </w:rPr>
        <w:t xml:space="preserve"> I requested for the record from Archives and the contents show that the respondent was not sure of the registration of the estate or the nature of the relationship between Kumbirai and the deceased.</w:t>
      </w:r>
      <w:r w:rsidR="00AF1504">
        <w:rPr>
          <w:rFonts w:ascii="Times New Roman" w:hAnsi="Times New Roman" w:cs="Times New Roman"/>
          <w:sz w:val="24"/>
          <w:szCs w:val="24"/>
        </w:rPr>
        <w:t xml:space="preserve"> Kumbirai was also cited in her personal capacity and not as an executrix of the estate.</w:t>
      </w:r>
      <w:r w:rsidR="008F5D6B">
        <w:rPr>
          <w:rFonts w:ascii="Times New Roman" w:hAnsi="Times New Roman" w:cs="Times New Roman"/>
          <w:sz w:val="24"/>
          <w:szCs w:val="24"/>
        </w:rPr>
        <w:t xml:space="preserve"> There is reference to a possible fraud by Kumbirai and the respondent was seeking an alternative of damages in the event that it was shown that Kumbirai had fraudulently sold the house.</w:t>
      </w:r>
      <w:r w:rsidR="00D36ED5">
        <w:rPr>
          <w:rFonts w:ascii="Times New Roman" w:hAnsi="Times New Roman" w:cs="Times New Roman"/>
          <w:sz w:val="24"/>
          <w:szCs w:val="24"/>
        </w:rPr>
        <w:t xml:space="preserve">  The</w:t>
      </w:r>
      <w:r w:rsidR="008F5D6B">
        <w:rPr>
          <w:rFonts w:ascii="Times New Roman" w:hAnsi="Times New Roman" w:cs="Times New Roman"/>
          <w:sz w:val="24"/>
          <w:szCs w:val="24"/>
        </w:rPr>
        <w:t xml:space="preserve"> mere reference to ‘</w:t>
      </w:r>
      <w:r>
        <w:rPr>
          <w:rFonts w:ascii="Times New Roman" w:hAnsi="Times New Roman" w:cs="Times New Roman"/>
          <w:sz w:val="24"/>
          <w:szCs w:val="24"/>
        </w:rPr>
        <w:t>estate late</w:t>
      </w:r>
      <w:r w:rsidR="008F5D6B">
        <w:rPr>
          <w:rFonts w:ascii="Times New Roman" w:hAnsi="Times New Roman" w:cs="Times New Roman"/>
          <w:sz w:val="24"/>
          <w:szCs w:val="24"/>
        </w:rPr>
        <w:t xml:space="preserve"> </w:t>
      </w:r>
      <w:r w:rsidR="00CA7A0A">
        <w:rPr>
          <w:rFonts w:ascii="Times New Roman" w:hAnsi="Times New Roman" w:cs="Times New Roman"/>
          <w:sz w:val="24"/>
          <w:szCs w:val="24"/>
        </w:rPr>
        <w:t>Siphosakhe Sibanda’ in HC 2150/0</w:t>
      </w:r>
      <w:r w:rsidR="008F5D6B">
        <w:rPr>
          <w:rFonts w:ascii="Times New Roman" w:hAnsi="Times New Roman" w:cs="Times New Roman"/>
          <w:sz w:val="24"/>
          <w:szCs w:val="24"/>
        </w:rPr>
        <w:t>7</w:t>
      </w:r>
      <w:r>
        <w:rPr>
          <w:rFonts w:ascii="Times New Roman" w:hAnsi="Times New Roman" w:cs="Times New Roman"/>
          <w:sz w:val="24"/>
          <w:szCs w:val="24"/>
        </w:rPr>
        <w:t xml:space="preserve"> does not mean the estate was </w:t>
      </w:r>
      <w:r w:rsidR="00C83779">
        <w:rPr>
          <w:rFonts w:ascii="Times New Roman" w:hAnsi="Times New Roman" w:cs="Times New Roman"/>
          <w:sz w:val="24"/>
          <w:szCs w:val="24"/>
        </w:rPr>
        <w:t xml:space="preserve">registered. All indications point to the fact that this estate was not registered and accords </w:t>
      </w:r>
      <w:r w:rsidR="00C83779">
        <w:rPr>
          <w:rFonts w:ascii="Times New Roman" w:hAnsi="Times New Roman" w:cs="Times New Roman"/>
          <w:sz w:val="24"/>
          <w:szCs w:val="24"/>
        </w:rPr>
        <w:lastRenderedPageBreak/>
        <w:t xml:space="preserve">with Mr.Mpofu’s submission that “on our part it was common cause that the </w:t>
      </w:r>
      <w:r w:rsidR="00E24A4D">
        <w:rPr>
          <w:rFonts w:ascii="Times New Roman" w:hAnsi="Times New Roman" w:cs="Times New Roman"/>
          <w:sz w:val="24"/>
          <w:szCs w:val="24"/>
        </w:rPr>
        <w:t>estate</w:t>
      </w:r>
      <w:r w:rsidR="00C83779">
        <w:rPr>
          <w:rFonts w:ascii="Times New Roman" w:hAnsi="Times New Roman" w:cs="Times New Roman"/>
          <w:sz w:val="24"/>
          <w:szCs w:val="24"/>
        </w:rPr>
        <w:t xml:space="preserve"> was not registered”</w:t>
      </w:r>
    </w:p>
    <w:p w:rsidR="00D36ED5" w:rsidRDefault="006D38B0"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therefore derives the authority to bring this application by virtue of him being the son to the late Siphosakhe and therefore a beneficiary of his mother’s estate.  This endows him with </w:t>
      </w:r>
      <w:r w:rsidRPr="00C83061">
        <w:rPr>
          <w:rFonts w:ascii="Times New Roman" w:hAnsi="Times New Roman" w:cs="Times New Roman"/>
          <w:i/>
          <w:sz w:val="24"/>
          <w:szCs w:val="24"/>
        </w:rPr>
        <w:t>locus standi</w:t>
      </w:r>
      <w:r w:rsidR="006C61ED">
        <w:rPr>
          <w:rFonts w:ascii="Times New Roman" w:hAnsi="Times New Roman" w:cs="Times New Roman"/>
          <w:sz w:val="24"/>
          <w:szCs w:val="24"/>
        </w:rPr>
        <w:t xml:space="preserve"> to asser</w:t>
      </w:r>
      <w:r>
        <w:rPr>
          <w:rFonts w:ascii="Times New Roman" w:hAnsi="Times New Roman" w:cs="Times New Roman"/>
          <w:sz w:val="24"/>
          <w:szCs w:val="24"/>
        </w:rPr>
        <w:t>t a right</w:t>
      </w:r>
      <w:r w:rsidR="00D36ED5">
        <w:rPr>
          <w:rFonts w:ascii="Times New Roman" w:hAnsi="Times New Roman" w:cs="Times New Roman"/>
          <w:sz w:val="24"/>
          <w:szCs w:val="24"/>
        </w:rPr>
        <w:t xml:space="preserve"> and pro</w:t>
      </w:r>
      <w:r w:rsidR="00C83061">
        <w:rPr>
          <w:rFonts w:ascii="Times New Roman" w:hAnsi="Times New Roman" w:cs="Times New Roman"/>
          <w:sz w:val="24"/>
          <w:szCs w:val="24"/>
        </w:rPr>
        <w:t>t</w:t>
      </w:r>
      <w:r w:rsidR="00D36ED5">
        <w:rPr>
          <w:rFonts w:ascii="Times New Roman" w:hAnsi="Times New Roman" w:cs="Times New Roman"/>
          <w:sz w:val="24"/>
          <w:szCs w:val="24"/>
        </w:rPr>
        <w:t>ect his and by extension his brother’s interests.</w:t>
      </w:r>
    </w:p>
    <w:p w:rsidR="00BE5D0B" w:rsidRDefault="00D36ED5"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matters not, in my view, that Valentine was not joined to the application.  The applicant’s desire is to have the property in question accounted for in his late mother’s estate and once that is</w:t>
      </w:r>
      <w:r w:rsidR="00A94ACB">
        <w:rPr>
          <w:rFonts w:ascii="Times New Roman" w:hAnsi="Times New Roman" w:cs="Times New Roman"/>
          <w:sz w:val="24"/>
          <w:szCs w:val="24"/>
        </w:rPr>
        <w:t xml:space="preserve"> do</w:t>
      </w:r>
      <w:r w:rsidR="00BE5D0B">
        <w:rPr>
          <w:rFonts w:ascii="Times New Roman" w:hAnsi="Times New Roman" w:cs="Times New Roman"/>
          <w:sz w:val="24"/>
          <w:szCs w:val="24"/>
        </w:rPr>
        <w:t>ne</w:t>
      </w:r>
      <w:r w:rsidR="00A94ACB">
        <w:rPr>
          <w:rFonts w:ascii="Times New Roman" w:hAnsi="Times New Roman" w:cs="Times New Roman"/>
          <w:sz w:val="24"/>
          <w:szCs w:val="24"/>
        </w:rPr>
        <w:t>,</w:t>
      </w:r>
      <w:r w:rsidR="00BE5D0B">
        <w:rPr>
          <w:rFonts w:ascii="Times New Roman" w:hAnsi="Times New Roman" w:cs="Times New Roman"/>
          <w:sz w:val="24"/>
          <w:szCs w:val="24"/>
        </w:rPr>
        <w:t xml:space="preserve"> all beneficiaries, if there be more, will then be accounted for.</w:t>
      </w:r>
    </w:p>
    <w:p w:rsidR="00BE5D0B" w:rsidRDefault="00BE5D0B"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w:t>
      </w:r>
      <w:r w:rsidRPr="004C177B">
        <w:rPr>
          <w:rFonts w:ascii="Times New Roman" w:hAnsi="Times New Roman" w:cs="Times New Roman"/>
          <w:i/>
          <w:sz w:val="24"/>
          <w:szCs w:val="24"/>
        </w:rPr>
        <w:t>in limine</w:t>
      </w:r>
      <w:r>
        <w:rPr>
          <w:rFonts w:ascii="Times New Roman" w:hAnsi="Times New Roman" w:cs="Times New Roman"/>
          <w:sz w:val="24"/>
          <w:szCs w:val="24"/>
        </w:rPr>
        <w:t xml:space="preserve"> equally lacks merit and must equally fail.</w:t>
      </w:r>
    </w:p>
    <w:p w:rsidR="00BE5D0B" w:rsidRDefault="00BE5D0B"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too is the point on the purpose of Rule 449.  Contrary to </w:t>
      </w:r>
      <w:r w:rsidRPr="004C177B">
        <w:rPr>
          <w:rFonts w:ascii="Times New Roman" w:hAnsi="Times New Roman" w:cs="Times New Roman"/>
          <w:i/>
          <w:sz w:val="24"/>
          <w:szCs w:val="24"/>
        </w:rPr>
        <w:t>Advocate Siziba</w:t>
      </w:r>
      <w:r>
        <w:rPr>
          <w:rFonts w:ascii="Times New Roman" w:hAnsi="Times New Roman" w:cs="Times New Roman"/>
          <w:sz w:val="24"/>
          <w:szCs w:val="24"/>
        </w:rPr>
        <w:t>’s argument that Rule 449 is meant to correct proc</w:t>
      </w:r>
      <w:r w:rsidR="00B7242D">
        <w:rPr>
          <w:rFonts w:ascii="Times New Roman" w:hAnsi="Times New Roman" w:cs="Times New Roman"/>
          <w:sz w:val="24"/>
          <w:szCs w:val="24"/>
        </w:rPr>
        <w:t>edural errors made by the court, the purpose extends to correction of more than just procedural or technical errors.</w:t>
      </w:r>
    </w:p>
    <w:p w:rsidR="00BE5D0B" w:rsidRDefault="00BE5D0B"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C177B">
        <w:rPr>
          <w:rFonts w:ascii="Times New Roman" w:hAnsi="Times New Roman" w:cs="Times New Roman"/>
          <w:i/>
          <w:sz w:val="24"/>
          <w:szCs w:val="24"/>
        </w:rPr>
        <w:t>Chitiyo NO v Chiguba and 2 Others</w:t>
      </w:r>
      <w:r w:rsidR="004C177B">
        <w:rPr>
          <w:rFonts w:ascii="Times New Roman" w:hAnsi="Times New Roman" w:cs="Times New Roman"/>
          <w:sz w:val="24"/>
          <w:szCs w:val="24"/>
        </w:rPr>
        <w:t xml:space="preserve"> </w:t>
      </w:r>
      <w:r>
        <w:rPr>
          <w:rFonts w:ascii="Times New Roman" w:hAnsi="Times New Roman" w:cs="Times New Roman"/>
          <w:sz w:val="24"/>
          <w:szCs w:val="24"/>
        </w:rPr>
        <w:t>HH 92-18 C</w:t>
      </w:r>
      <w:r w:rsidRPr="004C177B">
        <w:rPr>
          <w:rFonts w:ascii="Times New Roman" w:hAnsi="Times New Roman" w:cs="Times New Roman"/>
          <w:sz w:val="20"/>
          <w:szCs w:val="20"/>
        </w:rPr>
        <w:t>HIWESHE JP</w:t>
      </w:r>
      <w:r>
        <w:rPr>
          <w:rFonts w:ascii="Times New Roman" w:hAnsi="Times New Roman" w:cs="Times New Roman"/>
          <w:sz w:val="24"/>
          <w:szCs w:val="24"/>
        </w:rPr>
        <w:t xml:space="preserve"> had this to say with regards to Rule 449 applications:-</w:t>
      </w:r>
    </w:p>
    <w:p w:rsidR="00BE5D0B" w:rsidRDefault="00BE5D0B" w:rsidP="00C955E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applications of this nature, in order to succeed, the applicant need</w:t>
      </w:r>
      <w:r w:rsidR="00C47D0D">
        <w:rPr>
          <w:rFonts w:ascii="Times New Roman" w:hAnsi="Times New Roman" w:cs="Times New Roman"/>
          <w:sz w:val="24"/>
          <w:szCs w:val="24"/>
        </w:rPr>
        <w:t xml:space="preserve"> not</w:t>
      </w:r>
      <w:r>
        <w:rPr>
          <w:rFonts w:ascii="Times New Roman" w:hAnsi="Times New Roman" w:cs="Times New Roman"/>
          <w:sz w:val="24"/>
          <w:szCs w:val="24"/>
        </w:rPr>
        <w:t xml:space="preserve"> show that he has a </w:t>
      </w:r>
      <w:r w:rsidRPr="00C955E7">
        <w:rPr>
          <w:rFonts w:ascii="Times New Roman" w:hAnsi="Times New Roman" w:cs="Times New Roman"/>
          <w:i/>
          <w:sz w:val="24"/>
          <w:szCs w:val="24"/>
        </w:rPr>
        <w:t>bona fide</w:t>
      </w:r>
      <w:r>
        <w:rPr>
          <w:rFonts w:ascii="Times New Roman" w:hAnsi="Times New Roman" w:cs="Times New Roman"/>
          <w:sz w:val="24"/>
          <w:szCs w:val="24"/>
        </w:rPr>
        <w:t xml:space="preserve"> defence.</w:t>
      </w:r>
      <w:r w:rsidR="006D38B0">
        <w:rPr>
          <w:rFonts w:ascii="Times New Roman" w:hAnsi="Times New Roman" w:cs="Times New Roman"/>
          <w:sz w:val="24"/>
          <w:szCs w:val="24"/>
        </w:rPr>
        <w:t xml:space="preserve"> </w:t>
      </w:r>
      <w:r>
        <w:rPr>
          <w:rFonts w:ascii="Times New Roman" w:hAnsi="Times New Roman" w:cs="Times New Roman"/>
          <w:sz w:val="24"/>
          <w:szCs w:val="24"/>
        </w:rPr>
        <w:t xml:space="preserve">  – it is sufficient if he established that the order sought to be rescinded was erroneously sought and granted in the absence of a party who had a substantial interest in the matter.”</w:t>
      </w:r>
    </w:p>
    <w:p w:rsidR="006D38B0" w:rsidRDefault="00BE5D0B"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955E7">
        <w:rPr>
          <w:rFonts w:ascii="Times New Roman" w:hAnsi="Times New Roman" w:cs="Times New Roman"/>
          <w:i/>
          <w:sz w:val="24"/>
          <w:szCs w:val="24"/>
        </w:rPr>
        <w:t>Tiriboyi v Jani and Another</w:t>
      </w:r>
      <w:r>
        <w:rPr>
          <w:rFonts w:ascii="Times New Roman" w:hAnsi="Times New Roman" w:cs="Times New Roman"/>
          <w:sz w:val="24"/>
          <w:szCs w:val="24"/>
        </w:rPr>
        <w:t xml:space="preserve"> HH 117-2004 M</w:t>
      </w:r>
      <w:r w:rsidRPr="00C955E7">
        <w:rPr>
          <w:rFonts w:ascii="Times New Roman" w:hAnsi="Times New Roman" w:cs="Times New Roman"/>
          <w:sz w:val="20"/>
          <w:szCs w:val="20"/>
        </w:rPr>
        <w:t>AKARAU J</w:t>
      </w:r>
      <w:r>
        <w:rPr>
          <w:rFonts w:ascii="Times New Roman" w:hAnsi="Times New Roman" w:cs="Times New Roman"/>
          <w:sz w:val="24"/>
          <w:szCs w:val="24"/>
        </w:rPr>
        <w:t xml:space="preserve"> (as she then was) articulated the purpose of Rule 449 thus:- </w:t>
      </w:r>
    </w:p>
    <w:p w:rsidR="00BE5D0B" w:rsidRDefault="00BE5D0B" w:rsidP="00CA25C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purpose of Rule 449 appears to me to </w:t>
      </w:r>
      <w:r w:rsidR="0082561E">
        <w:rPr>
          <w:rFonts w:ascii="Times New Roman" w:hAnsi="Times New Roman" w:cs="Times New Roman"/>
          <w:sz w:val="24"/>
          <w:szCs w:val="24"/>
        </w:rPr>
        <w:t>enable the court to revisi</w:t>
      </w:r>
      <w:r>
        <w:rPr>
          <w:rFonts w:ascii="Times New Roman" w:hAnsi="Times New Roman" w:cs="Times New Roman"/>
          <w:sz w:val="24"/>
          <w:szCs w:val="24"/>
        </w:rPr>
        <w:t xml:space="preserve">t its orders and judgments to correct or set aside its orders and judgments given in error and where to allow such to stand on the excuse that the court is </w:t>
      </w:r>
      <w:r w:rsidRPr="00C955E7">
        <w:rPr>
          <w:rFonts w:ascii="Times New Roman" w:hAnsi="Times New Roman" w:cs="Times New Roman"/>
          <w:i/>
          <w:sz w:val="24"/>
          <w:szCs w:val="24"/>
        </w:rPr>
        <w:t>functus officio</w:t>
      </w:r>
      <w:r>
        <w:rPr>
          <w:rFonts w:ascii="Times New Roman" w:hAnsi="Times New Roman" w:cs="Times New Roman"/>
          <w:sz w:val="24"/>
          <w:szCs w:val="24"/>
        </w:rPr>
        <w:t xml:space="preserve"> would result in an injustice and will destroy the very basis upon which the justice system rests.  It is an exception to the general rule, and must be resorted to only for the purposes of correcting an injustice that cannot be corrected in any other way.”</w:t>
      </w:r>
    </w:p>
    <w:p w:rsidR="00A7325A" w:rsidRDefault="00A7325A"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import of the applicant’s application is that had the court which granted the order he seeks to vacate been aware that the estate of his late mother had not been registered and that Kumbirai Nemera was not a beneficiary or an executrix of that estate, it would not have </w:t>
      </w:r>
      <w:r>
        <w:rPr>
          <w:rFonts w:ascii="Times New Roman" w:hAnsi="Times New Roman" w:cs="Times New Roman"/>
          <w:sz w:val="24"/>
          <w:szCs w:val="24"/>
        </w:rPr>
        <w:lastRenderedPageBreak/>
        <w:t>granted the order which effect</w:t>
      </w:r>
      <w:r w:rsidR="00C955E7">
        <w:rPr>
          <w:rFonts w:ascii="Times New Roman" w:hAnsi="Times New Roman" w:cs="Times New Roman"/>
          <w:sz w:val="24"/>
          <w:szCs w:val="24"/>
        </w:rPr>
        <w:t xml:space="preserve">ively robbed the beneficiaries </w:t>
      </w:r>
      <w:r>
        <w:rPr>
          <w:rFonts w:ascii="Times New Roman" w:hAnsi="Times New Roman" w:cs="Times New Roman"/>
          <w:sz w:val="24"/>
          <w:szCs w:val="24"/>
        </w:rPr>
        <w:t>of the late Si</w:t>
      </w:r>
      <w:r w:rsidR="00DB25F7">
        <w:rPr>
          <w:rFonts w:ascii="Times New Roman" w:hAnsi="Times New Roman" w:cs="Times New Roman"/>
          <w:sz w:val="24"/>
          <w:szCs w:val="24"/>
        </w:rPr>
        <w:t>phosakhe of their inheritance</w:t>
      </w:r>
      <w:r>
        <w:rPr>
          <w:rFonts w:ascii="Times New Roman" w:hAnsi="Times New Roman" w:cs="Times New Roman"/>
          <w:sz w:val="24"/>
          <w:szCs w:val="24"/>
        </w:rPr>
        <w:t>.  It is therefore not based on the argument that he was not joined to the proceedings in HC 2150/07 and so seeks rescission so he can be so joined.  If that was so then it could be argued that the non-joinder was not an error of the court as “it is not the duty of the court to go looking</w:t>
      </w:r>
      <w:r w:rsidR="00C955E7">
        <w:rPr>
          <w:rFonts w:ascii="Times New Roman" w:hAnsi="Times New Roman" w:cs="Times New Roman"/>
          <w:sz w:val="24"/>
          <w:szCs w:val="24"/>
        </w:rPr>
        <w:t xml:space="preserve"> for all potential respondents </w:t>
      </w:r>
      <w:r>
        <w:rPr>
          <w:rFonts w:ascii="Times New Roman" w:hAnsi="Times New Roman" w:cs="Times New Roman"/>
          <w:sz w:val="24"/>
          <w:szCs w:val="24"/>
        </w:rPr>
        <w:t>in suits brought before it,” per M</w:t>
      </w:r>
      <w:r w:rsidRPr="00C955E7">
        <w:rPr>
          <w:rFonts w:ascii="Times New Roman" w:hAnsi="Times New Roman" w:cs="Times New Roman"/>
          <w:sz w:val="20"/>
          <w:szCs w:val="20"/>
        </w:rPr>
        <w:t>AKARAU J</w:t>
      </w:r>
      <w:r>
        <w:rPr>
          <w:rFonts w:ascii="Times New Roman" w:hAnsi="Times New Roman" w:cs="Times New Roman"/>
          <w:sz w:val="24"/>
          <w:szCs w:val="24"/>
        </w:rPr>
        <w:t xml:space="preserve"> in the </w:t>
      </w:r>
      <w:r w:rsidRPr="00C955E7">
        <w:rPr>
          <w:rFonts w:ascii="Times New Roman" w:hAnsi="Times New Roman" w:cs="Times New Roman"/>
          <w:i/>
          <w:sz w:val="24"/>
          <w:szCs w:val="24"/>
        </w:rPr>
        <w:t>Chitiyo</w:t>
      </w:r>
      <w:r>
        <w:rPr>
          <w:rFonts w:ascii="Times New Roman" w:hAnsi="Times New Roman" w:cs="Times New Roman"/>
          <w:sz w:val="24"/>
          <w:szCs w:val="24"/>
        </w:rPr>
        <w:t xml:space="preserve"> case (</w:t>
      </w:r>
      <w:r w:rsidRPr="00C955E7">
        <w:rPr>
          <w:rFonts w:ascii="Times New Roman" w:hAnsi="Times New Roman" w:cs="Times New Roman"/>
          <w:i/>
          <w:sz w:val="24"/>
          <w:szCs w:val="24"/>
        </w:rPr>
        <w:t>supra</w:t>
      </w:r>
      <w:r>
        <w:rPr>
          <w:rFonts w:ascii="Times New Roman" w:hAnsi="Times New Roman" w:cs="Times New Roman"/>
          <w:sz w:val="24"/>
          <w:szCs w:val="24"/>
        </w:rPr>
        <w:t>)</w:t>
      </w:r>
    </w:p>
    <w:p w:rsidR="00A7325A" w:rsidRDefault="00A7325A"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therefore persuaded by </w:t>
      </w:r>
      <w:r w:rsidRPr="003C4B41">
        <w:rPr>
          <w:rFonts w:ascii="Times New Roman" w:hAnsi="Times New Roman" w:cs="Times New Roman"/>
          <w:i/>
          <w:sz w:val="24"/>
          <w:szCs w:val="24"/>
        </w:rPr>
        <w:t>Mr Mpofu</w:t>
      </w:r>
      <w:r>
        <w:rPr>
          <w:rFonts w:ascii="Times New Roman" w:hAnsi="Times New Roman" w:cs="Times New Roman"/>
          <w:sz w:val="24"/>
          <w:szCs w:val="24"/>
        </w:rPr>
        <w:t xml:space="preserve">’s argument that a Rule 449 rescission allows the court to go to the substance of the matter in considering whether the order was granted in error or not.  It is not merely meant to correct </w:t>
      </w:r>
      <w:r w:rsidR="002B3773">
        <w:rPr>
          <w:rFonts w:ascii="Times New Roman" w:hAnsi="Times New Roman" w:cs="Times New Roman"/>
          <w:sz w:val="24"/>
          <w:szCs w:val="24"/>
        </w:rPr>
        <w:t>technicalities</w:t>
      </w:r>
      <w:r>
        <w:rPr>
          <w:rFonts w:ascii="Times New Roman" w:hAnsi="Times New Roman" w:cs="Times New Roman"/>
          <w:sz w:val="24"/>
          <w:szCs w:val="24"/>
        </w:rPr>
        <w:t>.</w:t>
      </w:r>
    </w:p>
    <w:p w:rsidR="00A7325A" w:rsidRDefault="00A7325A"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like the other points </w:t>
      </w:r>
      <w:r w:rsidRPr="003C4B41">
        <w:rPr>
          <w:rFonts w:ascii="Times New Roman" w:hAnsi="Times New Roman" w:cs="Times New Roman"/>
          <w:i/>
          <w:sz w:val="24"/>
          <w:szCs w:val="24"/>
        </w:rPr>
        <w:t>in limine</w:t>
      </w:r>
      <w:r>
        <w:rPr>
          <w:rFonts w:ascii="Times New Roman" w:hAnsi="Times New Roman" w:cs="Times New Roman"/>
          <w:sz w:val="24"/>
          <w:szCs w:val="24"/>
        </w:rPr>
        <w:t xml:space="preserve"> before it, this point </w:t>
      </w:r>
      <w:r w:rsidRPr="003C4B41">
        <w:rPr>
          <w:rFonts w:ascii="Times New Roman" w:hAnsi="Times New Roman" w:cs="Times New Roman"/>
          <w:i/>
          <w:sz w:val="24"/>
          <w:szCs w:val="24"/>
        </w:rPr>
        <w:t>in limine</w:t>
      </w:r>
      <w:r>
        <w:rPr>
          <w:rFonts w:ascii="Times New Roman" w:hAnsi="Times New Roman" w:cs="Times New Roman"/>
          <w:sz w:val="24"/>
          <w:szCs w:val="24"/>
        </w:rPr>
        <w:t xml:space="preserve"> also lacks merit and must equally fail.</w:t>
      </w:r>
    </w:p>
    <w:p w:rsidR="00A7325A" w:rsidRDefault="00A7325A"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point is on the Master’s report provided for in Rule 248 of the High Court Rules, 1977.</w:t>
      </w:r>
    </w:p>
    <w:p w:rsidR="00A7325A" w:rsidRDefault="00A7325A"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248 provides that:-</w:t>
      </w:r>
    </w:p>
    <w:p w:rsidR="00A7325A" w:rsidRDefault="00A7325A" w:rsidP="003C4B4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“In the case of any application in connection with-</w:t>
      </w:r>
    </w:p>
    <w:p w:rsidR="00A7325A" w:rsidRDefault="00A7325A" w:rsidP="003C4B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estate of a deceased person ... a copy </w:t>
      </w:r>
      <w:r w:rsidR="003C4B41">
        <w:rPr>
          <w:rFonts w:ascii="Times New Roman" w:hAnsi="Times New Roman" w:cs="Times New Roman"/>
          <w:sz w:val="24"/>
          <w:szCs w:val="24"/>
        </w:rPr>
        <w:t xml:space="preserve">of the application shall be served </w:t>
      </w:r>
      <w:r>
        <w:rPr>
          <w:rFonts w:ascii="Times New Roman" w:hAnsi="Times New Roman" w:cs="Times New Roman"/>
          <w:sz w:val="24"/>
          <w:szCs w:val="24"/>
        </w:rPr>
        <w:t>on the Master not less than ten days before the date of set down for his consideration, and for report by him if he considers it necessary or the court requires such a report.”</w:t>
      </w:r>
    </w:p>
    <w:p w:rsidR="00903F33" w:rsidRDefault="00903F3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this rule envisages a situation where the estate has been registered.  If there is no such registration what is it that the Master will base his report on?  The Master becomes seized with an estate of a deceased person upon the registration of such estate.  Without such registration the Master will be none the wiser as to the existence of such an estate.</w:t>
      </w:r>
    </w:p>
    <w:p w:rsidR="00903F33" w:rsidRDefault="00903F3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disputed the process in HC 2150/07 and HC 1148/08 was served through substituted service.  A litigant can only resort to such upon the grant of an application authorising such a method of service.  Such application can only be granted upon the applicant satisfying the court that service of the process cannot be effected in any of the ways provided for in the rules because the respondent or defendant’s whereabouts are unknown.  This does not speak to an estate which was registered resulting in the appointment of an </w:t>
      </w:r>
      <w:r>
        <w:rPr>
          <w:rFonts w:ascii="Times New Roman" w:hAnsi="Times New Roman" w:cs="Times New Roman"/>
          <w:sz w:val="24"/>
          <w:szCs w:val="24"/>
        </w:rPr>
        <w:lastRenderedPageBreak/>
        <w:t xml:space="preserve">executor who then acquired </w:t>
      </w:r>
      <w:r w:rsidR="00F61B92">
        <w:rPr>
          <w:rFonts w:ascii="Times New Roman" w:hAnsi="Times New Roman" w:cs="Times New Roman"/>
          <w:sz w:val="24"/>
          <w:szCs w:val="24"/>
        </w:rPr>
        <w:t>Section 120</w:t>
      </w:r>
      <w:r w:rsidR="00EB59B3">
        <w:rPr>
          <w:rFonts w:ascii="Times New Roman" w:hAnsi="Times New Roman" w:cs="Times New Roman"/>
          <w:sz w:val="24"/>
          <w:szCs w:val="24"/>
        </w:rPr>
        <w:t xml:space="preserve"> authority from the Master to dispose of the immovable property.</w:t>
      </w:r>
    </w:p>
    <w:p w:rsidR="00EB59B3" w:rsidRDefault="00EB59B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foregoing goes to buttress the applicant’s averment that the estate of his late mother was not registered.  The issue of the Master’s report does not therefore arise.</w:t>
      </w:r>
    </w:p>
    <w:p w:rsidR="00EB59B3" w:rsidRDefault="00EB59B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w:t>
      </w:r>
      <w:r w:rsidRPr="003C4B41">
        <w:rPr>
          <w:rFonts w:ascii="Times New Roman" w:hAnsi="Times New Roman" w:cs="Times New Roman"/>
          <w:i/>
          <w:sz w:val="24"/>
          <w:szCs w:val="24"/>
        </w:rPr>
        <w:t>in limine</w:t>
      </w:r>
      <w:r>
        <w:rPr>
          <w:rFonts w:ascii="Times New Roman" w:hAnsi="Times New Roman" w:cs="Times New Roman"/>
          <w:sz w:val="24"/>
          <w:szCs w:val="24"/>
        </w:rPr>
        <w:t xml:space="preserve"> also lacks merit and must also fail.</w:t>
      </w:r>
    </w:p>
    <w:p w:rsidR="00EB59B3" w:rsidRDefault="00EB59B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say the court ought to have asked the parties to address it on merits to avoid the unfortunate and regrettable situation that is now inevitable with the dismissal of the points </w:t>
      </w:r>
      <w:r w:rsidRPr="003C4B41">
        <w:rPr>
          <w:rFonts w:ascii="Times New Roman" w:hAnsi="Times New Roman" w:cs="Times New Roman"/>
          <w:i/>
          <w:sz w:val="24"/>
          <w:szCs w:val="24"/>
        </w:rPr>
        <w:t>in limine</w:t>
      </w:r>
      <w:r>
        <w:rPr>
          <w:rFonts w:ascii="Times New Roman" w:hAnsi="Times New Roman" w:cs="Times New Roman"/>
          <w:sz w:val="24"/>
          <w:szCs w:val="24"/>
        </w:rPr>
        <w:t>.</w:t>
      </w:r>
    </w:p>
    <w:p w:rsidR="00EB59B3" w:rsidRDefault="00EB59B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the parties addressed the court on the merits notwithstanding the fact that the points </w:t>
      </w:r>
      <w:r w:rsidRPr="003C4B41">
        <w:rPr>
          <w:rFonts w:ascii="Times New Roman" w:hAnsi="Times New Roman" w:cs="Times New Roman"/>
          <w:i/>
          <w:sz w:val="24"/>
          <w:szCs w:val="24"/>
        </w:rPr>
        <w:t xml:space="preserve">in limine </w:t>
      </w:r>
      <w:r>
        <w:rPr>
          <w:rFonts w:ascii="Times New Roman" w:hAnsi="Times New Roman" w:cs="Times New Roman"/>
          <w:sz w:val="24"/>
          <w:szCs w:val="24"/>
        </w:rPr>
        <w:t>would have disposed of the matter had they been upheld, the court would have proceeded to move to the merits and dispose of the matter once and for all.</w:t>
      </w:r>
    </w:p>
    <w:p w:rsidR="00EB59B3" w:rsidRDefault="00EB59B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 court is now handicapped from doing because the parties only addressed it on the points in limine and ended there.</w:t>
      </w:r>
    </w:p>
    <w:p w:rsidR="00EB59B3" w:rsidRDefault="00EB59B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Much as this turn of events is regretted, there is not much point in crying over spilt milk.  The parties will now have to argue the matter on the merits.</w:t>
      </w:r>
    </w:p>
    <w:p w:rsidR="00EB59B3" w:rsidRDefault="00EB59B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EB59B3" w:rsidRDefault="00EB59B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points </w:t>
      </w:r>
      <w:r w:rsidRPr="003C4B41">
        <w:rPr>
          <w:rFonts w:ascii="Times New Roman" w:hAnsi="Times New Roman" w:cs="Times New Roman"/>
          <w:i/>
          <w:sz w:val="24"/>
          <w:szCs w:val="24"/>
        </w:rPr>
        <w:t>in limine</w:t>
      </w:r>
      <w:r>
        <w:rPr>
          <w:rFonts w:ascii="Times New Roman" w:hAnsi="Times New Roman" w:cs="Times New Roman"/>
          <w:sz w:val="24"/>
          <w:szCs w:val="24"/>
        </w:rPr>
        <w:t xml:space="preserve"> be and are hereby dismissed.</w:t>
      </w:r>
    </w:p>
    <w:p w:rsidR="00EB59B3" w:rsidRDefault="00EB59B3" w:rsidP="00CA25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Costs shall be in the cause.</w:t>
      </w:r>
    </w:p>
    <w:p w:rsidR="00EB59B3" w:rsidRDefault="00EB59B3" w:rsidP="00CA25C5">
      <w:pPr>
        <w:spacing w:line="360" w:lineRule="auto"/>
        <w:jc w:val="both"/>
        <w:rPr>
          <w:rFonts w:ascii="Times New Roman" w:hAnsi="Times New Roman" w:cs="Times New Roman"/>
          <w:sz w:val="24"/>
          <w:szCs w:val="24"/>
        </w:rPr>
      </w:pPr>
    </w:p>
    <w:p w:rsidR="00EB59B3" w:rsidRPr="00CA25C5" w:rsidRDefault="00EB59B3" w:rsidP="00CA25C5">
      <w:pPr>
        <w:pStyle w:val="NoSpacing"/>
        <w:jc w:val="both"/>
        <w:rPr>
          <w:rFonts w:ascii="Times New Roman" w:hAnsi="Times New Roman" w:cs="Times New Roman"/>
          <w:sz w:val="24"/>
          <w:szCs w:val="24"/>
        </w:rPr>
      </w:pPr>
      <w:r w:rsidRPr="00CA25C5">
        <w:rPr>
          <w:rFonts w:ascii="Times New Roman" w:hAnsi="Times New Roman" w:cs="Times New Roman"/>
          <w:i/>
          <w:sz w:val="24"/>
          <w:szCs w:val="24"/>
        </w:rPr>
        <w:t>Malinga &amp; Mpofu</w:t>
      </w:r>
      <w:r w:rsidRPr="00CA25C5">
        <w:rPr>
          <w:rFonts w:ascii="Times New Roman" w:hAnsi="Times New Roman" w:cs="Times New Roman"/>
          <w:sz w:val="24"/>
          <w:szCs w:val="24"/>
        </w:rPr>
        <w:t>, applicant’s legal practitioners</w:t>
      </w:r>
    </w:p>
    <w:p w:rsidR="00EB59B3" w:rsidRPr="00CA25C5" w:rsidRDefault="00CA25C5" w:rsidP="00CA25C5">
      <w:pPr>
        <w:pStyle w:val="NoSpacing"/>
        <w:jc w:val="both"/>
        <w:rPr>
          <w:rFonts w:ascii="Times New Roman" w:hAnsi="Times New Roman" w:cs="Times New Roman"/>
          <w:sz w:val="24"/>
          <w:szCs w:val="24"/>
        </w:rPr>
      </w:pPr>
      <w:r w:rsidRPr="00CA25C5">
        <w:rPr>
          <w:rFonts w:ascii="Times New Roman" w:hAnsi="Times New Roman" w:cs="Times New Roman"/>
          <w:i/>
          <w:sz w:val="24"/>
          <w:szCs w:val="24"/>
        </w:rPr>
        <w:t xml:space="preserve">Messrs </w:t>
      </w:r>
      <w:r w:rsidR="00EB59B3" w:rsidRPr="00CA25C5">
        <w:rPr>
          <w:rFonts w:ascii="Times New Roman" w:hAnsi="Times New Roman" w:cs="Times New Roman"/>
          <w:i/>
          <w:sz w:val="24"/>
          <w:szCs w:val="24"/>
        </w:rPr>
        <w:t>Shenje and Company</w:t>
      </w:r>
      <w:r w:rsidR="00EB59B3" w:rsidRPr="00CA25C5">
        <w:rPr>
          <w:rFonts w:ascii="Times New Roman" w:hAnsi="Times New Roman" w:cs="Times New Roman"/>
          <w:sz w:val="24"/>
          <w:szCs w:val="24"/>
        </w:rPr>
        <w:t>,</w:t>
      </w:r>
      <w:r w:rsidRPr="00CA25C5">
        <w:rPr>
          <w:rFonts w:ascii="Times New Roman" w:hAnsi="Times New Roman" w:cs="Times New Roman"/>
          <w:sz w:val="24"/>
          <w:szCs w:val="24"/>
        </w:rPr>
        <w:t xml:space="preserve"> respondent’s legal practitioners</w:t>
      </w:r>
    </w:p>
    <w:p w:rsidR="00BC2E5B" w:rsidRDefault="00BC2E5B" w:rsidP="002B4272">
      <w:pPr>
        <w:spacing w:line="360" w:lineRule="auto"/>
        <w:ind w:firstLine="720"/>
        <w:rPr>
          <w:rFonts w:ascii="Times New Roman" w:hAnsi="Times New Roman" w:cs="Times New Roman"/>
          <w:sz w:val="24"/>
          <w:szCs w:val="24"/>
        </w:rPr>
      </w:pPr>
    </w:p>
    <w:p w:rsidR="002B4272" w:rsidRDefault="002B4272" w:rsidP="002B4272">
      <w:pPr>
        <w:spacing w:line="360" w:lineRule="auto"/>
        <w:ind w:left="720"/>
        <w:rPr>
          <w:rFonts w:ascii="Times New Roman" w:hAnsi="Times New Roman" w:cs="Times New Roman"/>
          <w:sz w:val="24"/>
          <w:szCs w:val="24"/>
        </w:rPr>
      </w:pPr>
    </w:p>
    <w:p w:rsidR="00247CBF" w:rsidRDefault="00247CBF" w:rsidP="00247CBF">
      <w:pPr>
        <w:spacing w:line="360" w:lineRule="auto"/>
        <w:ind w:left="720"/>
        <w:rPr>
          <w:rFonts w:ascii="Times New Roman" w:hAnsi="Times New Roman" w:cs="Times New Roman"/>
          <w:sz w:val="24"/>
          <w:szCs w:val="24"/>
        </w:rPr>
      </w:pPr>
    </w:p>
    <w:p w:rsidR="00BE229C" w:rsidRDefault="00BE229C" w:rsidP="00BE229C">
      <w:pPr>
        <w:spacing w:line="360" w:lineRule="auto"/>
        <w:ind w:left="720"/>
      </w:pPr>
    </w:p>
    <w:sectPr w:rsidR="00BE229C"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02E" w:rsidRDefault="001E602E" w:rsidP="00CA25C5">
      <w:pPr>
        <w:spacing w:after="0" w:line="240" w:lineRule="auto"/>
      </w:pPr>
      <w:r>
        <w:separator/>
      </w:r>
    </w:p>
  </w:endnote>
  <w:endnote w:type="continuationSeparator" w:id="1">
    <w:p w:rsidR="001E602E" w:rsidRDefault="001E602E" w:rsidP="00CA2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02E" w:rsidRDefault="001E602E" w:rsidP="00CA25C5">
      <w:pPr>
        <w:spacing w:after="0" w:line="240" w:lineRule="auto"/>
      </w:pPr>
      <w:r>
        <w:separator/>
      </w:r>
    </w:p>
  </w:footnote>
  <w:footnote w:type="continuationSeparator" w:id="1">
    <w:p w:rsidR="001E602E" w:rsidRDefault="001E602E" w:rsidP="00CA25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675"/>
      <w:docPartObj>
        <w:docPartGallery w:val="Page Numbers (Top of Page)"/>
        <w:docPartUnique/>
      </w:docPartObj>
    </w:sdtPr>
    <w:sdtEndPr>
      <w:rPr>
        <w:rFonts w:ascii="Times New Roman" w:hAnsi="Times New Roman" w:cs="Times New Roman"/>
        <w:sz w:val="24"/>
        <w:szCs w:val="24"/>
      </w:rPr>
    </w:sdtEndPr>
    <w:sdtContent>
      <w:p w:rsidR="006B1B9E" w:rsidRPr="00CA25C5" w:rsidRDefault="008C456B">
        <w:pPr>
          <w:pStyle w:val="Header"/>
          <w:jc w:val="right"/>
          <w:rPr>
            <w:rFonts w:ascii="Times New Roman" w:hAnsi="Times New Roman" w:cs="Times New Roman"/>
            <w:sz w:val="24"/>
            <w:szCs w:val="24"/>
          </w:rPr>
        </w:pPr>
        <w:r w:rsidRPr="00CA25C5">
          <w:rPr>
            <w:rFonts w:ascii="Times New Roman" w:hAnsi="Times New Roman" w:cs="Times New Roman"/>
            <w:sz w:val="24"/>
            <w:szCs w:val="24"/>
          </w:rPr>
          <w:fldChar w:fldCharType="begin"/>
        </w:r>
        <w:r w:rsidR="006B1B9E" w:rsidRPr="00CA25C5">
          <w:rPr>
            <w:rFonts w:ascii="Times New Roman" w:hAnsi="Times New Roman" w:cs="Times New Roman"/>
            <w:sz w:val="24"/>
            <w:szCs w:val="24"/>
          </w:rPr>
          <w:instrText xml:space="preserve"> PAGE   \* MERGEFORMAT </w:instrText>
        </w:r>
        <w:r w:rsidRPr="00CA25C5">
          <w:rPr>
            <w:rFonts w:ascii="Times New Roman" w:hAnsi="Times New Roman" w:cs="Times New Roman"/>
            <w:sz w:val="24"/>
            <w:szCs w:val="24"/>
          </w:rPr>
          <w:fldChar w:fldCharType="separate"/>
        </w:r>
        <w:r w:rsidR="00E7126A">
          <w:rPr>
            <w:rFonts w:ascii="Times New Roman" w:hAnsi="Times New Roman" w:cs="Times New Roman"/>
            <w:noProof/>
            <w:sz w:val="24"/>
            <w:szCs w:val="24"/>
          </w:rPr>
          <w:t>1</w:t>
        </w:r>
        <w:r w:rsidRPr="00CA25C5">
          <w:rPr>
            <w:rFonts w:ascii="Times New Roman" w:hAnsi="Times New Roman" w:cs="Times New Roman"/>
            <w:sz w:val="24"/>
            <w:szCs w:val="24"/>
          </w:rPr>
          <w:fldChar w:fldCharType="end"/>
        </w:r>
      </w:p>
      <w:p w:rsidR="006B1B9E" w:rsidRPr="00CA25C5" w:rsidRDefault="006B1B9E">
        <w:pPr>
          <w:pStyle w:val="Header"/>
          <w:jc w:val="right"/>
          <w:rPr>
            <w:rFonts w:ascii="Times New Roman" w:hAnsi="Times New Roman" w:cs="Times New Roman"/>
            <w:sz w:val="24"/>
            <w:szCs w:val="24"/>
          </w:rPr>
        </w:pPr>
        <w:r w:rsidRPr="00CA25C5">
          <w:rPr>
            <w:rFonts w:ascii="Times New Roman" w:hAnsi="Times New Roman" w:cs="Times New Roman"/>
            <w:sz w:val="24"/>
            <w:szCs w:val="24"/>
          </w:rPr>
          <w:t>HB</w:t>
        </w:r>
        <w:r>
          <w:rPr>
            <w:rFonts w:ascii="Times New Roman" w:hAnsi="Times New Roman" w:cs="Times New Roman"/>
            <w:sz w:val="24"/>
            <w:szCs w:val="24"/>
          </w:rPr>
          <w:t xml:space="preserve"> 181.20</w:t>
        </w:r>
      </w:p>
      <w:p w:rsidR="006B1B9E" w:rsidRPr="00CA25C5" w:rsidRDefault="006B1B9E">
        <w:pPr>
          <w:pStyle w:val="Header"/>
          <w:jc w:val="right"/>
          <w:rPr>
            <w:rFonts w:ascii="Times New Roman" w:hAnsi="Times New Roman" w:cs="Times New Roman"/>
            <w:sz w:val="24"/>
            <w:szCs w:val="24"/>
          </w:rPr>
        </w:pPr>
        <w:r w:rsidRPr="00CA25C5">
          <w:rPr>
            <w:rFonts w:ascii="Times New Roman" w:hAnsi="Times New Roman" w:cs="Times New Roman"/>
            <w:sz w:val="24"/>
            <w:szCs w:val="24"/>
          </w:rPr>
          <w:t>HC 96/19</w:t>
        </w:r>
      </w:p>
      <w:p w:rsidR="006B1B9E" w:rsidRPr="00CA25C5" w:rsidRDefault="006B1B9E">
        <w:pPr>
          <w:pStyle w:val="Header"/>
          <w:jc w:val="right"/>
          <w:rPr>
            <w:rFonts w:ascii="Times New Roman" w:hAnsi="Times New Roman" w:cs="Times New Roman"/>
            <w:sz w:val="24"/>
            <w:szCs w:val="24"/>
          </w:rPr>
        </w:pPr>
        <w:r w:rsidRPr="00CA25C5">
          <w:rPr>
            <w:rFonts w:ascii="Times New Roman" w:hAnsi="Times New Roman" w:cs="Times New Roman"/>
            <w:sz w:val="24"/>
            <w:szCs w:val="24"/>
          </w:rPr>
          <w:t>XREF HC 2150/07, HC 1148/08</w:t>
        </w:r>
      </w:p>
    </w:sdtContent>
  </w:sdt>
  <w:p w:rsidR="006B1B9E" w:rsidRDefault="006B1B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229C"/>
    <w:rsid w:val="000515FC"/>
    <w:rsid w:val="000625C9"/>
    <w:rsid w:val="00066902"/>
    <w:rsid w:val="000B70FE"/>
    <w:rsid w:val="000F3B94"/>
    <w:rsid w:val="001051FA"/>
    <w:rsid w:val="00191755"/>
    <w:rsid w:val="001D08C3"/>
    <w:rsid w:val="001E602E"/>
    <w:rsid w:val="001E7B5E"/>
    <w:rsid w:val="00215D2E"/>
    <w:rsid w:val="00227301"/>
    <w:rsid w:val="00245715"/>
    <w:rsid w:val="00247CBF"/>
    <w:rsid w:val="00273A11"/>
    <w:rsid w:val="002B369D"/>
    <w:rsid w:val="002B3773"/>
    <w:rsid w:val="002B4272"/>
    <w:rsid w:val="002C1855"/>
    <w:rsid w:val="003110D2"/>
    <w:rsid w:val="003272F7"/>
    <w:rsid w:val="00371690"/>
    <w:rsid w:val="00374A2D"/>
    <w:rsid w:val="003829EE"/>
    <w:rsid w:val="003A4541"/>
    <w:rsid w:val="003C4B41"/>
    <w:rsid w:val="00401A1B"/>
    <w:rsid w:val="004151E4"/>
    <w:rsid w:val="004252FE"/>
    <w:rsid w:val="00426CAF"/>
    <w:rsid w:val="00432208"/>
    <w:rsid w:val="004B1045"/>
    <w:rsid w:val="004C177B"/>
    <w:rsid w:val="005234C0"/>
    <w:rsid w:val="0053434A"/>
    <w:rsid w:val="00546079"/>
    <w:rsid w:val="00595F1D"/>
    <w:rsid w:val="00642462"/>
    <w:rsid w:val="00687C21"/>
    <w:rsid w:val="006B1B9E"/>
    <w:rsid w:val="006C61ED"/>
    <w:rsid w:val="006D38B0"/>
    <w:rsid w:val="007163BC"/>
    <w:rsid w:val="007426E0"/>
    <w:rsid w:val="00743C7D"/>
    <w:rsid w:val="00773117"/>
    <w:rsid w:val="00777EA8"/>
    <w:rsid w:val="007A3B18"/>
    <w:rsid w:val="007C5505"/>
    <w:rsid w:val="00800580"/>
    <w:rsid w:val="00812B6D"/>
    <w:rsid w:val="0082561E"/>
    <w:rsid w:val="008563A8"/>
    <w:rsid w:val="00862169"/>
    <w:rsid w:val="00894610"/>
    <w:rsid w:val="008C456B"/>
    <w:rsid w:val="008E388E"/>
    <w:rsid w:val="008F5D6B"/>
    <w:rsid w:val="00903F33"/>
    <w:rsid w:val="00920921"/>
    <w:rsid w:val="00932E91"/>
    <w:rsid w:val="009344DE"/>
    <w:rsid w:val="00976694"/>
    <w:rsid w:val="00A37293"/>
    <w:rsid w:val="00A46EE7"/>
    <w:rsid w:val="00A53CAE"/>
    <w:rsid w:val="00A56D6B"/>
    <w:rsid w:val="00A65A46"/>
    <w:rsid w:val="00A7325A"/>
    <w:rsid w:val="00A94ACB"/>
    <w:rsid w:val="00A97786"/>
    <w:rsid w:val="00AB18B5"/>
    <w:rsid w:val="00AC540E"/>
    <w:rsid w:val="00AC6585"/>
    <w:rsid w:val="00AF1504"/>
    <w:rsid w:val="00AF5246"/>
    <w:rsid w:val="00B015F2"/>
    <w:rsid w:val="00B01E14"/>
    <w:rsid w:val="00B250A4"/>
    <w:rsid w:val="00B7242D"/>
    <w:rsid w:val="00B866BD"/>
    <w:rsid w:val="00BA1AC3"/>
    <w:rsid w:val="00BC2E5B"/>
    <w:rsid w:val="00BD0C9D"/>
    <w:rsid w:val="00BE229C"/>
    <w:rsid w:val="00BE5D0B"/>
    <w:rsid w:val="00BE6F12"/>
    <w:rsid w:val="00C15B66"/>
    <w:rsid w:val="00C37148"/>
    <w:rsid w:val="00C430BD"/>
    <w:rsid w:val="00C47D0D"/>
    <w:rsid w:val="00C618CF"/>
    <w:rsid w:val="00C83061"/>
    <w:rsid w:val="00C83779"/>
    <w:rsid w:val="00C955E7"/>
    <w:rsid w:val="00CA25C5"/>
    <w:rsid w:val="00CA7A0A"/>
    <w:rsid w:val="00CC4044"/>
    <w:rsid w:val="00CE5246"/>
    <w:rsid w:val="00D07B1C"/>
    <w:rsid w:val="00D20C47"/>
    <w:rsid w:val="00D31255"/>
    <w:rsid w:val="00D36ED5"/>
    <w:rsid w:val="00D760D8"/>
    <w:rsid w:val="00D90BBF"/>
    <w:rsid w:val="00DA5251"/>
    <w:rsid w:val="00DB1488"/>
    <w:rsid w:val="00DB25F7"/>
    <w:rsid w:val="00DB4499"/>
    <w:rsid w:val="00DB5D77"/>
    <w:rsid w:val="00DC6F03"/>
    <w:rsid w:val="00DD46AF"/>
    <w:rsid w:val="00E001AF"/>
    <w:rsid w:val="00E01CAE"/>
    <w:rsid w:val="00E24A4D"/>
    <w:rsid w:val="00E7126A"/>
    <w:rsid w:val="00E954DE"/>
    <w:rsid w:val="00EB59B3"/>
    <w:rsid w:val="00EB766E"/>
    <w:rsid w:val="00EC4E65"/>
    <w:rsid w:val="00F5575E"/>
    <w:rsid w:val="00F61B92"/>
    <w:rsid w:val="00FA7086"/>
    <w:rsid w:val="00FD52FB"/>
    <w:rsid w:val="00FE400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9C"/>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229C"/>
    <w:pPr>
      <w:spacing w:after="0" w:line="240" w:lineRule="auto"/>
    </w:pPr>
  </w:style>
  <w:style w:type="paragraph" w:styleId="Header">
    <w:name w:val="header"/>
    <w:basedOn w:val="Normal"/>
    <w:link w:val="HeaderChar"/>
    <w:uiPriority w:val="99"/>
    <w:unhideWhenUsed/>
    <w:rsid w:val="00CA2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5C5"/>
  </w:style>
  <w:style w:type="paragraph" w:styleId="Footer">
    <w:name w:val="footer"/>
    <w:basedOn w:val="Normal"/>
    <w:link w:val="FooterChar"/>
    <w:uiPriority w:val="99"/>
    <w:semiHidden/>
    <w:unhideWhenUsed/>
    <w:rsid w:val="00CA25C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A25C5"/>
  </w:style>
</w:styles>
</file>

<file path=word/webSettings.xml><?xml version="1.0" encoding="utf-8"?>
<w:webSettings xmlns:r="http://schemas.openxmlformats.org/officeDocument/2006/relationships" xmlns:w="http://schemas.openxmlformats.org/wordprocessingml/2006/main">
  <w:divs>
    <w:div w:id="77944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dcterms:created xsi:type="dcterms:W3CDTF">2020-08-26T10:45:00Z</dcterms:created>
  <dcterms:modified xsi:type="dcterms:W3CDTF">2020-08-26T10:45:00Z</dcterms:modified>
</cp:coreProperties>
</file>