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AD" w:rsidRPr="00C6752E" w:rsidRDefault="00AB02AD" w:rsidP="00AB02AD">
      <w:pPr>
        <w:spacing w:line="360" w:lineRule="auto"/>
        <w:jc w:val="both"/>
        <w:rPr>
          <w:b/>
        </w:rPr>
      </w:pPr>
      <w:r w:rsidRPr="00C6752E">
        <w:rPr>
          <w:b/>
        </w:rPr>
        <w:t>IN TH</w:t>
      </w:r>
      <w:r>
        <w:rPr>
          <w:b/>
        </w:rPr>
        <w:t>E LABOUR COURT OF ZIMBABWE</w:t>
      </w:r>
      <w:r>
        <w:rPr>
          <w:b/>
        </w:rPr>
        <w:tab/>
        <w:t xml:space="preserve"> JUDGMENT NO. LC/H/</w:t>
      </w:r>
      <w:r w:rsidR="00494933">
        <w:rPr>
          <w:b/>
        </w:rPr>
        <w:t>335</w:t>
      </w:r>
      <w:r>
        <w:rPr>
          <w:b/>
        </w:rPr>
        <w:t>/2016</w:t>
      </w:r>
    </w:p>
    <w:p w:rsidR="00AB02AD" w:rsidRDefault="00AB02AD" w:rsidP="00AB02AD">
      <w:pPr>
        <w:spacing w:line="360" w:lineRule="auto"/>
        <w:jc w:val="both"/>
        <w:rPr>
          <w:b/>
        </w:rPr>
      </w:pPr>
      <w:r>
        <w:rPr>
          <w:b/>
        </w:rPr>
        <w:t>HARARE, 29 FEBRUARY 2016</w:t>
      </w:r>
      <w:r>
        <w:rPr>
          <w:b/>
        </w:rPr>
        <w:tab/>
      </w:r>
      <w:r w:rsidR="00AE0479">
        <w:rPr>
          <w:b/>
        </w:rPr>
        <w:tab/>
      </w:r>
      <w:r w:rsidR="00AE0479">
        <w:rPr>
          <w:b/>
        </w:rPr>
        <w:tab/>
        <w:t xml:space="preserve">  </w:t>
      </w:r>
      <w:r w:rsidRPr="00C6752E">
        <w:rPr>
          <w:b/>
        </w:rPr>
        <w:t>CASE NO. LC/</w:t>
      </w:r>
      <w:r w:rsidR="006024A1">
        <w:rPr>
          <w:b/>
        </w:rPr>
        <w:t>H/</w:t>
      </w:r>
      <w:bookmarkStart w:id="0" w:name="_GoBack"/>
      <w:bookmarkEnd w:id="0"/>
      <w:r w:rsidR="00E70813">
        <w:rPr>
          <w:b/>
        </w:rPr>
        <w:t>850</w:t>
      </w:r>
      <w:r>
        <w:rPr>
          <w:b/>
        </w:rPr>
        <w:t>/15</w:t>
      </w:r>
    </w:p>
    <w:p w:rsidR="00AB02AD" w:rsidRDefault="00AB02AD" w:rsidP="00AB02AD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D60B0A">
        <w:rPr>
          <w:b/>
        </w:rPr>
        <w:t>27 MAY</w:t>
      </w:r>
      <w:r>
        <w:rPr>
          <w:b/>
        </w:rPr>
        <w:t xml:space="preserve"> 2016</w:t>
      </w:r>
    </w:p>
    <w:p w:rsidR="00AB02AD" w:rsidRDefault="00AB02AD" w:rsidP="00AB02AD">
      <w:pPr>
        <w:spacing w:line="360" w:lineRule="auto"/>
        <w:jc w:val="both"/>
      </w:pPr>
      <w:r w:rsidRPr="00C6752E">
        <w:t>In the matter between:-</w:t>
      </w:r>
    </w:p>
    <w:p w:rsidR="00AB02AD" w:rsidRPr="00C6752E" w:rsidRDefault="00AB02AD" w:rsidP="00AB02AD">
      <w:pPr>
        <w:jc w:val="both"/>
      </w:pPr>
    </w:p>
    <w:p w:rsidR="00AB02AD" w:rsidRDefault="009650A5" w:rsidP="00AB02AD">
      <w:pPr>
        <w:jc w:val="both"/>
        <w:outlineLvl w:val="0"/>
        <w:rPr>
          <w:b/>
        </w:rPr>
      </w:pPr>
      <w:r>
        <w:rPr>
          <w:b/>
        </w:rPr>
        <w:t>MARANATHA CHRISTIAN HIGH SCHOOL</w:t>
      </w:r>
      <w:r w:rsidR="00AB02AD">
        <w:rPr>
          <w:b/>
        </w:rPr>
        <w:tab/>
      </w:r>
      <w:r w:rsidR="00AB02AD"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="00AB02AD">
        <w:rPr>
          <w:b/>
        </w:rPr>
        <w:t>Appellant</w:t>
      </w:r>
    </w:p>
    <w:p w:rsidR="00AB02AD" w:rsidRDefault="00AB02AD" w:rsidP="00AB02AD">
      <w:pPr>
        <w:jc w:val="both"/>
        <w:outlineLvl w:val="0"/>
        <w:rPr>
          <w:b/>
        </w:rPr>
      </w:pPr>
    </w:p>
    <w:p w:rsidR="00AB02AD" w:rsidRDefault="00AB02AD" w:rsidP="00AB02AD">
      <w:pPr>
        <w:jc w:val="both"/>
        <w:outlineLvl w:val="0"/>
      </w:pPr>
      <w:r w:rsidRPr="00C6752E">
        <w:t>And</w:t>
      </w:r>
    </w:p>
    <w:p w:rsidR="00AB02AD" w:rsidRPr="00C6752E" w:rsidRDefault="00AB02AD" w:rsidP="00AB02AD">
      <w:pPr>
        <w:jc w:val="both"/>
        <w:outlineLvl w:val="0"/>
      </w:pPr>
    </w:p>
    <w:p w:rsidR="00AB02AD" w:rsidRDefault="009650A5" w:rsidP="00AB02AD">
      <w:pPr>
        <w:jc w:val="both"/>
        <w:rPr>
          <w:b/>
        </w:rPr>
      </w:pPr>
      <w:r>
        <w:rPr>
          <w:b/>
        </w:rPr>
        <w:t>CYNTHIA GAMBIZA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02AD">
        <w:rPr>
          <w:b/>
        </w:rPr>
        <w:tab/>
      </w:r>
      <w:r w:rsidR="00AB02AD">
        <w:rPr>
          <w:b/>
        </w:rPr>
        <w:tab/>
      </w:r>
      <w:r w:rsidR="00AB02AD">
        <w:rPr>
          <w:b/>
        </w:rPr>
        <w:tab/>
      </w:r>
      <w:r w:rsidR="00AB02AD">
        <w:rPr>
          <w:b/>
        </w:rPr>
        <w:tab/>
        <w:t>Respondent</w:t>
      </w:r>
    </w:p>
    <w:p w:rsidR="00AB02AD" w:rsidRDefault="00AB02AD" w:rsidP="00AB02AD">
      <w:pPr>
        <w:jc w:val="both"/>
        <w:rPr>
          <w:b/>
        </w:rPr>
      </w:pPr>
    </w:p>
    <w:p w:rsidR="00AB02AD" w:rsidRPr="00C6752E" w:rsidRDefault="00AB02AD" w:rsidP="00AB02AD">
      <w:pPr>
        <w:jc w:val="both"/>
        <w:rPr>
          <w:b/>
        </w:rPr>
      </w:pPr>
    </w:p>
    <w:p w:rsidR="00AB02AD" w:rsidRDefault="00AB02AD" w:rsidP="00AB02AD">
      <w:pPr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r>
        <w:t>Chidziva, Judge</w:t>
      </w:r>
    </w:p>
    <w:p w:rsidR="00AB02AD" w:rsidRDefault="00AB02AD" w:rsidP="00AB02AD">
      <w:pPr>
        <w:jc w:val="both"/>
      </w:pPr>
    </w:p>
    <w:p w:rsidR="00AB02AD" w:rsidRPr="00DC0454" w:rsidRDefault="00AB02AD" w:rsidP="00AB02AD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AB02AD" w:rsidRDefault="00AB02AD" w:rsidP="00AB02AD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>
        <w:rPr>
          <w:b/>
        </w:rPr>
        <w:tab/>
      </w:r>
      <w:r>
        <w:rPr>
          <w:b/>
        </w:rPr>
        <w:tab/>
      </w:r>
      <w:r w:rsidR="009650A5">
        <w:rPr>
          <w:b/>
        </w:rPr>
        <w:t>Mr I. Mataka</w:t>
      </w:r>
      <w:r>
        <w:rPr>
          <w:b/>
        </w:rPr>
        <w:t xml:space="preserve"> (Legal </w:t>
      </w:r>
      <w:r w:rsidR="009650A5">
        <w:rPr>
          <w:b/>
        </w:rPr>
        <w:t>Practitioner</w:t>
      </w:r>
      <w:r>
        <w:rPr>
          <w:b/>
        </w:rPr>
        <w:t>)</w:t>
      </w:r>
    </w:p>
    <w:p w:rsidR="00AB02AD" w:rsidRDefault="00AB02AD" w:rsidP="00AB02AD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 </w:t>
      </w:r>
      <w:r w:rsidR="00566769">
        <w:rPr>
          <w:b/>
        </w:rPr>
        <w:t>W. Madya</w:t>
      </w:r>
      <w:r>
        <w:rPr>
          <w:b/>
        </w:rPr>
        <w:t xml:space="preserve"> (Legal Practitioner)</w:t>
      </w:r>
    </w:p>
    <w:p w:rsidR="00AB02AD" w:rsidRDefault="00AB02AD" w:rsidP="00AB02AD">
      <w:pPr>
        <w:jc w:val="both"/>
        <w:rPr>
          <w:b/>
        </w:rPr>
      </w:pPr>
    </w:p>
    <w:p w:rsidR="00AB02AD" w:rsidRDefault="00AB02AD" w:rsidP="00AB02AD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E605D0" w:rsidRDefault="00E605D0" w:rsidP="00566769">
      <w:pPr>
        <w:spacing w:line="360" w:lineRule="auto"/>
        <w:jc w:val="both"/>
      </w:pPr>
    </w:p>
    <w:p w:rsidR="00566769" w:rsidRDefault="00566769" w:rsidP="00557292">
      <w:pPr>
        <w:jc w:val="both"/>
      </w:pPr>
    </w:p>
    <w:p w:rsidR="00566769" w:rsidRDefault="006E7400" w:rsidP="00A92369">
      <w:pPr>
        <w:spacing w:line="360" w:lineRule="auto"/>
        <w:ind w:firstLine="720"/>
        <w:jc w:val="both"/>
      </w:pPr>
      <w:r>
        <w:t xml:space="preserve">This is an appeal against the arbitral award by Honourable S Nehohwa that was handed down on 7 September 2015.  The award states </w:t>
      </w:r>
      <w:r w:rsidR="00A92369">
        <w:t>as follows;</w:t>
      </w:r>
    </w:p>
    <w:p w:rsidR="00A92369" w:rsidRDefault="00A92369" w:rsidP="00F71128">
      <w:pPr>
        <w:ind w:firstLine="720"/>
        <w:jc w:val="both"/>
      </w:pPr>
    </w:p>
    <w:p w:rsidR="00A92369" w:rsidRPr="00557292" w:rsidRDefault="00E4084E" w:rsidP="00557292">
      <w:pPr>
        <w:spacing w:line="276" w:lineRule="auto"/>
        <w:ind w:firstLine="720"/>
        <w:jc w:val="both"/>
        <w:rPr>
          <w:sz w:val="22"/>
          <w:szCs w:val="22"/>
        </w:rPr>
      </w:pPr>
      <w:r w:rsidRPr="00557292">
        <w:rPr>
          <w:sz w:val="22"/>
          <w:szCs w:val="22"/>
        </w:rPr>
        <w:t>“In light of the analysis above, I make the following</w:t>
      </w:r>
      <w:r w:rsidR="00971555">
        <w:rPr>
          <w:sz w:val="22"/>
          <w:szCs w:val="22"/>
        </w:rPr>
        <w:t>,</w:t>
      </w:r>
    </w:p>
    <w:p w:rsidR="00B04D27" w:rsidRPr="00557292" w:rsidRDefault="00B04D27" w:rsidP="00557292">
      <w:pPr>
        <w:spacing w:line="276" w:lineRule="auto"/>
        <w:ind w:firstLine="720"/>
        <w:jc w:val="both"/>
        <w:rPr>
          <w:sz w:val="22"/>
          <w:szCs w:val="22"/>
        </w:rPr>
      </w:pPr>
    </w:p>
    <w:p w:rsidR="00B04D27" w:rsidRPr="00557292" w:rsidRDefault="00B04D27" w:rsidP="00557292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57292">
        <w:rPr>
          <w:sz w:val="22"/>
          <w:szCs w:val="22"/>
        </w:rPr>
        <w:t>That the claimant is entitled to payment of her salary arrears of $1 679 and cash in lieu of $3 358.  Therefore the respondent shall pay a total of $5 037 to claimant as salary arrears and cash in lieu of leave.</w:t>
      </w:r>
    </w:p>
    <w:p w:rsidR="00621CAD" w:rsidRPr="00557292" w:rsidRDefault="00621CAD" w:rsidP="00557292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57292">
        <w:rPr>
          <w:sz w:val="22"/>
          <w:szCs w:val="22"/>
        </w:rPr>
        <w:t xml:space="preserve">That in the circumstances the claimant was not obliged to give 3 </w:t>
      </w:r>
      <w:r w:rsidR="007D60D5" w:rsidRPr="00557292">
        <w:rPr>
          <w:sz w:val="22"/>
          <w:szCs w:val="22"/>
        </w:rPr>
        <w:t>months’ notice</w:t>
      </w:r>
      <w:r w:rsidRPr="00557292">
        <w:rPr>
          <w:sz w:val="22"/>
          <w:szCs w:val="22"/>
        </w:rPr>
        <w:t>.</w:t>
      </w:r>
    </w:p>
    <w:p w:rsidR="007D60D5" w:rsidRPr="00557292" w:rsidRDefault="007D60D5" w:rsidP="00557292">
      <w:pPr>
        <w:spacing w:line="276" w:lineRule="auto"/>
        <w:ind w:left="720"/>
        <w:jc w:val="both"/>
        <w:rPr>
          <w:sz w:val="22"/>
          <w:szCs w:val="22"/>
        </w:rPr>
      </w:pPr>
    </w:p>
    <w:p w:rsidR="00621CAD" w:rsidRPr="00557292" w:rsidRDefault="00621CAD" w:rsidP="00557292">
      <w:pPr>
        <w:spacing w:line="276" w:lineRule="auto"/>
        <w:ind w:left="720"/>
        <w:jc w:val="both"/>
        <w:rPr>
          <w:sz w:val="22"/>
          <w:szCs w:val="22"/>
        </w:rPr>
      </w:pPr>
      <w:r w:rsidRPr="00557292">
        <w:rPr>
          <w:sz w:val="22"/>
          <w:szCs w:val="22"/>
        </w:rPr>
        <w:t>I so award.</w:t>
      </w:r>
      <w:r w:rsidR="007D60D5" w:rsidRPr="00557292">
        <w:rPr>
          <w:sz w:val="22"/>
          <w:szCs w:val="22"/>
        </w:rPr>
        <w:t>”</w:t>
      </w:r>
    </w:p>
    <w:p w:rsidR="007D60D5" w:rsidRDefault="007D60D5" w:rsidP="00557292">
      <w:pPr>
        <w:jc w:val="both"/>
      </w:pPr>
    </w:p>
    <w:p w:rsidR="007D60D5" w:rsidRDefault="007D60D5" w:rsidP="007D60D5">
      <w:pPr>
        <w:spacing w:line="360" w:lineRule="auto"/>
        <w:jc w:val="both"/>
      </w:pPr>
      <w:r>
        <w:t>The brief background of the matter is that</w:t>
      </w:r>
    </w:p>
    <w:p w:rsidR="00591561" w:rsidRDefault="00591561" w:rsidP="00557292">
      <w:pPr>
        <w:jc w:val="both"/>
      </w:pPr>
    </w:p>
    <w:p w:rsidR="00C57E35" w:rsidRDefault="00591561" w:rsidP="0059156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respondent was employed as a teacher by the appellant for the period from 1 January</w:t>
      </w:r>
      <w:r w:rsidR="00C57E35">
        <w:t xml:space="preserve"> 2012 and she resigned from employment on the 13</w:t>
      </w:r>
      <w:r w:rsidR="00C57E35" w:rsidRPr="00C57E35">
        <w:rPr>
          <w:vertAlign w:val="superscript"/>
        </w:rPr>
        <w:t>th</w:t>
      </w:r>
      <w:r w:rsidR="00C57E35">
        <w:t xml:space="preserve"> of January 2015.</w:t>
      </w:r>
    </w:p>
    <w:p w:rsidR="00B34955" w:rsidRDefault="00C57E35" w:rsidP="00591561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She left without giving three months notice </w:t>
      </w:r>
      <w:r w:rsidR="00B34955">
        <w:t>to terminate her employment.</w:t>
      </w:r>
    </w:p>
    <w:p w:rsidR="00591561" w:rsidRDefault="00B34955" w:rsidP="00591561">
      <w:pPr>
        <w:pStyle w:val="ListParagraph"/>
        <w:numPr>
          <w:ilvl w:val="0"/>
          <w:numId w:val="2"/>
        </w:numPr>
        <w:spacing w:line="360" w:lineRule="auto"/>
        <w:jc w:val="both"/>
      </w:pPr>
      <w:r>
        <w:lastRenderedPageBreak/>
        <w:t>The appellant did not pay respondent her outstanding salaries and leave</w:t>
      </w:r>
      <w:r w:rsidR="00591561">
        <w:t xml:space="preserve"> </w:t>
      </w:r>
      <w:r w:rsidR="002F19C7">
        <w:t>days.</w:t>
      </w:r>
    </w:p>
    <w:p w:rsidR="002F19C7" w:rsidRDefault="002F19C7" w:rsidP="00591561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dispute culminated in an arbitration.</w:t>
      </w:r>
    </w:p>
    <w:p w:rsidR="002F19C7" w:rsidRDefault="002F19C7" w:rsidP="00591561">
      <w:pPr>
        <w:pStyle w:val="ListParagraph"/>
        <w:numPr>
          <w:ilvl w:val="0"/>
          <w:numId w:val="2"/>
        </w:numPr>
        <w:spacing w:line="360" w:lineRule="auto"/>
        <w:jc w:val="both"/>
      </w:pPr>
      <w:r>
        <w:t>It is therefore against</w:t>
      </w:r>
      <w:r w:rsidR="005D42A3">
        <w:t xml:space="preserve"> </w:t>
      </w:r>
      <w:r w:rsidR="009D1E74">
        <w:t>this arbitral award that appellant is appealing against.</w:t>
      </w:r>
    </w:p>
    <w:p w:rsidR="009D1E74" w:rsidRDefault="009D1E74" w:rsidP="00557292">
      <w:pPr>
        <w:jc w:val="both"/>
      </w:pPr>
    </w:p>
    <w:p w:rsidR="009D1E74" w:rsidRDefault="009D1E74" w:rsidP="009D1E74">
      <w:pPr>
        <w:spacing w:line="360" w:lineRule="auto"/>
        <w:jc w:val="both"/>
      </w:pPr>
      <w:r>
        <w:t>The grounds of appeal before this court are as follows:</w:t>
      </w:r>
    </w:p>
    <w:p w:rsidR="009D1E74" w:rsidRDefault="009D1E74" w:rsidP="00557292">
      <w:pPr>
        <w:jc w:val="both"/>
      </w:pPr>
    </w:p>
    <w:p w:rsidR="009D1E74" w:rsidRDefault="00B13B1C" w:rsidP="006C3B90">
      <w:pPr>
        <w:pStyle w:val="ListParagraph"/>
        <w:numPr>
          <w:ilvl w:val="0"/>
          <w:numId w:val="6"/>
        </w:numPr>
        <w:spacing w:line="360" w:lineRule="auto"/>
        <w:jc w:val="both"/>
      </w:pPr>
      <w:r>
        <w:t>The arbitrator erred at law by finding that the Respondent was entitled to resign</w:t>
      </w:r>
      <w:r w:rsidR="006C3B90">
        <w:t xml:space="preserve"> without giving 3 months notice.</w:t>
      </w:r>
    </w:p>
    <w:p w:rsidR="006C3B90" w:rsidRDefault="006C3B90" w:rsidP="006C3B90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The Arbitrator erred and grossly did so in finding </w:t>
      </w:r>
      <w:r w:rsidR="004135A2">
        <w:t>that it is only the employer who should pay cash in lieu of notice upon termination and the employee is absolved from doing so.</w:t>
      </w:r>
    </w:p>
    <w:p w:rsidR="002D51BA" w:rsidRDefault="002D51BA" w:rsidP="006C3B90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The Arbitrator erred at law in finding that an employee </w:t>
      </w:r>
      <w:r w:rsidR="00663EAB">
        <w:t xml:space="preserve">earns vacation leave from the date of his or her engagement despite the definition of </w:t>
      </w:r>
      <w:r w:rsidR="005B6C55">
        <w:t xml:space="preserve">qualifying service as per Section 14 A (1) which is clear that an employee </w:t>
      </w:r>
      <w:r w:rsidR="005133A8">
        <w:t>earns leave days after completion of one year service.</w:t>
      </w:r>
    </w:p>
    <w:p w:rsidR="005133A8" w:rsidRDefault="005C6A64" w:rsidP="006C3B90">
      <w:pPr>
        <w:pStyle w:val="ListParagraph"/>
        <w:numPr>
          <w:ilvl w:val="0"/>
          <w:numId w:val="6"/>
        </w:numPr>
        <w:spacing w:line="360" w:lineRule="auto"/>
        <w:jc w:val="both"/>
      </w:pPr>
      <w:r>
        <w:t>The Arbitrator erred at law in calculation of leave days for the Respondent.</w:t>
      </w:r>
    </w:p>
    <w:p w:rsidR="00B36774" w:rsidRDefault="005C6A64" w:rsidP="006C3B90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The Arbitrator erred at law in finding that the Respondent was entitled to cash in lieu of </w:t>
      </w:r>
      <w:r w:rsidR="008B16EB">
        <w:t>leave days despite a contractual clause that stated that leave not taken in the year in which it is due would be forfeited</w:t>
      </w:r>
      <w:r w:rsidR="00BE658D">
        <w:t xml:space="preserve"> and also in the face of more favourable conditions having been created by the employer substituting vacation</w:t>
      </w:r>
      <w:r w:rsidR="00B36774">
        <w:t xml:space="preserve"> leave.</w:t>
      </w:r>
    </w:p>
    <w:p w:rsidR="00B36774" w:rsidRDefault="00B36774" w:rsidP="006E0451">
      <w:pPr>
        <w:jc w:val="both"/>
      </w:pPr>
    </w:p>
    <w:p w:rsidR="00B36774" w:rsidRDefault="00B36774" w:rsidP="00B36774">
      <w:pPr>
        <w:spacing w:line="360" w:lineRule="auto"/>
        <w:jc w:val="both"/>
      </w:pPr>
      <w:r>
        <w:t>The Respondent in response submitted that;</w:t>
      </w:r>
    </w:p>
    <w:p w:rsidR="00B36774" w:rsidRDefault="00B36774" w:rsidP="006E0451">
      <w:pPr>
        <w:jc w:val="both"/>
      </w:pPr>
    </w:p>
    <w:p w:rsidR="0006411D" w:rsidRDefault="00B36774" w:rsidP="00B36774">
      <w:pPr>
        <w:spacing w:line="360" w:lineRule="auto"/>
        <w:jc w:val="both"/>
      </w:pPr>
      <w:r>
        <w:tab/>
        <w:t>The grounds of appeal are unassailable in that</w:t>
      </w:r>
      <w:r w:rsidR="0006411D">
        <w:t>,</w:t>
      </w:r>
    </w:p>
    <w:p w:rsidR="0006411D" w:rsidRDefault="0006411D" w:rsidP="00B36774">
      <w:pPr>
        <w:spacing w:line="360" w:lineRule="auto"/>
        <w:jc w:val="both"/>
      </w:pPr>
    </w:p>
    <w:p w:rsidR="0006411D" w:rsidRDefault="0006411D" w:rsidP="0006411D">
      <w:pPr>
        <w:pStyle w:val="ListParagraph"/>
        <w:numPr>
          <w:ilvl w:val="0"/>
          <w:numId w:val="7"/>
        </w:numPr>
        <w:spacing w:line="360" w:lineRule="auto"/>
        <w:jc w:val="both"/>
      </w:pPr>
      <w:r>
        <w:t>There is no requirement at law for the employee to pay the employer cash in lieu of notice.</w:t>
      </w:r>
    </w:p>
    <w:p w:rsidR="007A464C" w:rsidRDefault="0089595F" w:rsidP="0006411D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The provisions of the CBA binding on the parties in so far as accrual of </w:t>
      </w:r>
      <w:r w:rsidR="00D92CE3">
        <w:t>contractual leave is very clean.</w:t>
      </w:r>
      <w:r w:rsidR="007A464C">
        <w:t xml:space="preserve"> It provides better leave conditions compared to what is provided for in Section 14A of the Labour Act.</w:t>
      </w:r>
    </w:p>
    <w:p w:rsidR="005C6A64" w:rsidRDefault="008B16EB" w:rsidP="0006411D">
      <w:pPr>
        <w:pStyle w:val="ListParagraph"/>
        <w:numPr>
          <w:ilvl w:val="0"/>
          <w:numId w:val="7"/>
        </w:numPr>
        <w:spacing w:line="360" w:lineRule="auto"/>
        <w:jc w:val="both"/>
      </w:pPr>
      <w:r>
        <w:lastRenderedPageBreak/>
        <w:t xml:space="preserve"> </w:t>
      </w:r>
      <w:r w:rsidR="00104E28">
        <w:t>Calculation of leave days due is a findi</w:t>
      </w:r>
      <w:r w:rsidR="00EA2D46">
        <w:t>ng of fact and cannot therefore be the subject of appeal</w:t>
      </w:r>
    </w:p>
    <w:p w:rsidR="00846993" w:rsidRDefault="00EA2D46" w:rsidP="0006411D">
      <w:pPr>
        <w:pStyle w:val="ListParagraph"/>
        <w:numPr>
          <w:ilvl w:val="0"/>
          <w:numId w:val="7"/>
        </w:numPr>
        <w:spacing w:line="360" w:lineRule="auto"/>
        <w:jc w:val="both"/>
      </w:pPr>
      <w:r>
        <w:t>The finding by the Honourable Arbitrator in respect of the entitle</w:t>
      </w:r>
      <w:r w:rsidR="00597840">
        <w:t>ment of the Respondent to cash in lieu of leave cannot be faulted.  The</w:t>
      </w:r>
      <w:r w:rsidR="000B5D9E">
        <w:t xml:space="preserve"> contractual provision relied upon does not apply to leave days</w:t>
      </w:r>
      <w:r w:rsidR="00846993">
        <w:t xml:space="preserve"> but Special Leave only.</w:t>
      </w:r>
    </w:p>
    <w:p w:rsidR="00343654" w:rsidRDefault="00343654" w:rsidP="006E0451">
      <w:pPr>
        <w:pStyle w:val="ListParagraph"/>
        <w:ind w:left="1440"/>
        <w:jc w:val="both"/>
      </w:pPr>
    </w:p>
    <w:p w:rsidR="00343654" w:rsidRDefault="00846993" w:rsidP="00846993">
      <w:pPr>
        <w:spacing w:line="360" w:lineRule="auto"/>
        <w:jc w:val="both"/>
      </w:pPr>
      <w:r>
        <w:t>It is common cause that</w:t>
      </w:r>
    </w:p>
    <w:p w:rsidR="00343654" w:rsidRDefault="00846993" w:rsidP="006E0451">
      <w:pPr>
        <w:jc w:val="both"/>
      </w:pPr>
      <w:r>
        <w:t xml:space="preserve"> </w:t>
      </w:r>
    </w:p>
    <w:p w:rsidR="00EA061E" w:rsidRDefault="00343654" w:rsidP="00343654">
      <w:pPr>
        <w:pStyle w:val="ListParagraph"/>
        <w:numPr>
          <w:ilvl w:val="0"/>
          <w:numId w:val="2"/>
        </w:numPr>
        <w:spacing w:line="360" w:lineRule="auto"/>
        <w:jc w:val="both"/>
      </w:pPr>
      <w:r>
        <w:t>Respondent resigned without giving the three months notice.</w:t>
      </w:r>
    </w:p>
    <w:p w:rsidR="00DB6D4F" w:rsidRDefault="00EA061E" w:rsidP="00343654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Respondent had served the Appellant for 2 years and </w:t>
      </w:r>
      <w:r w:rsidR="002F68E2">
        <w:t>accrued</w:t>
      </w:r>
      <w:r>
        <w:t xml:space="preserve"> a </w:t>
      </w:r>
      <w:r w:rsidR="00801285">
        <w:t xml:space="preserve">total </w:t>
      </w:r>
      <w:r w:rsidR="00DB6D4F">
        <w:t>of 60 days vacation leave.</w:t>
      </w:r>
    </w:p>
    <w:p w:rsidR="00DB6D4F" w:rsidRDefault="00DB6D4F" w:rsidP="00343654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Respondent was not paid the salary for November and December 2014 by the Respondent.</w:t>
      </w:r>
    </w:p>
    <w:p w:rsidR="00DB6D4F" w:rsidRDefault="00DB6D4F" w:rsidP="006E0451">
      <w:pPr>
        <w:jc w:val="both"/>
      </w:pPr>
    </w:p>
    <w:p w:rsidR="002B4CD3" w:rsidRDefault="002B4CD3" w:rsidP="00DB6D4F">
      <w:pPr>
        <w:spacing w:line="360" w:lineRule="auto"/>
        <w:jc w:val="both"/>
      </w:pPr>
      <w:r>
        <w:t xml:space="preserve">What is to be decided in this matter is whether </w:t>
      </w:r>
    </w:p>
    <w:p w:rsidR="002B4CD3" w:rsidRDefault="002B4CD3" w:rsidP="006E0451">
      <w:pPr>
        <w:jc w:val="both"/>
      </w:pPr>
    </w:p>
    <w:p w:rsidR="00185F19" w:rsidRDefault="00185F19" w:rsidP="002B4CD3">
      <w:pPr>
        <w:pStyle w:val="ListParagraph"/>
        <w:numPr>
          <w:ilvl w:val="0"/>
          <w:numId w:val="8"/>
        </w:numPr>
        <w:spacing w:line="360" w:lineRule="auto"/>
        <w:jc w:val="both"/>
      </w:pPr>
      <w:r>
        <w:t>Whether Respondent accrued any paid leave during the first year of service.</w:t>
      </w:r>
    </w:p>
    <w:p w:rsidR="00E605D0" w:rsidRDefault="00185F19" w:rsidP="002B4CD3">
      <w:pPr>
        <w:pStyle w:val="ListParagraph"/>
        <w:numPr>
          <w:ilvl w:val="0"/>
          <w:numId w:val="8"/>
        </w:numPr>
        <w:spacing w:line="360" w:lineRule="auto"/>
        <w:jc w:val="both"/>
      </w:pPr>
      <w:r>
        <w:t>Respondent should pay the Appellant cash in lieu of notice.</w:t>
      </w:r>
    </w:p>
    <w:p w:rsidR="00E605D0" w:rsidRDefault="00E605D0" w:rsidP="002B4CD3">
      <w:pPr>
        <w:pStyle w:val="ListParagraph"/>
        <w:numPr>
          <w:ilvl w:val="0"/>
          <w:numId w:val="8"/>
        </w:numPr>
        <w:spacing w:line="360" w:lineRule="auto"/>
        <w:jc w:val="both"/>
      </w:pPr>
      <w:r>
        <w:t>Respondent was obliged to give three months notice of termination of employment.</w:t>
      </w:r>
    </w:p>
    <w:p w:rsidR="00E605D0" w:rsidRDefault="00E605D0" w:rsidP="006E0451">
      <w:pPr>
        <w:jc w:val="both"/>
      </w:pPr>
    </w:p>
    <w:p w:rsidR="002121F1" w:rsidRDefault="00E605D0" w:rsidP="00E605D0">
      <w:pPr>
        <w:spacing w:line="360" w:lineRule="auto"/>
        <w:jc w:val="both"/>
      </w:pPr>
      <w:r>
        <w:t xml:space="preserve">I will start by dealing with the </w:t>
      </w:r>
      <w:r w:rsidR="00BA7BBE">
        <w:t>issue whether Respondent was suppose to give the Appellant 3 months no</w:t>
      </w:r>
      <w:r w:rsidR="002121F1">
        <w:t>tice.  Section 12 (4) of the Labour Act states that</w:t>
      </w:r>
    </w:p>
    <w:p w:rsidR="002121F1" w:rsidRDefault="002121F1" w:rsidP="006E0451">
      <w:pPr>
        <w:jc w:val="both"/>
      </w:pPr>
    </w:p>
    <w:p w:rsidR="00E8163D" w:rsidRPr="006E0451" w:rsidRDefault="002121F1" w:rsidP="006E0451">
      <w:pPr>
        <w:spacing w:line="276" w:lineRule="auto"/>
        <w:ind w:left="720"/>
        <w:jc w:val="both"/>
        <w:rPr>
          <w:sz w:val="22"/>
          <w:szCs w:val="22"/>
        </w:rPr>
      </w:pPr>
      <w:r w:rsidRPr="006E0451">
        <w:rPr>
          <w:sz w:val="22"/>
          <w:szCs w:val="22"/>
        </w:rPr>
        <w:t xml:space="preserve">“.. notice of termination of </w:t>
      </w:r>
      <w:r w:rsidR="000C5821" w:rsidRPr="006E0451">
        <w:rPr>
          <w:sz w:val="22"/>
          <w:szCs w:val="22"/>
        </w:rPr>
        <w:t xml:space="preserve">the contract of employment to be given by either party </w:t>
      </w:r>
      <w:r w:rsidR="000C5821" w:rsidRPr="006E0451">
        <w:rPr>
          <w:sz w:val="22"/>
          <w:szCs w:val="22"/>
          <w:u w:val="single"/>
        </w:rPr>
        <w:t>shall</w:t>
      </w:r>
      <w:r w:rsidR="000C5821" w:rsidRPr="006E0451">
        <w:rPr>
          <w:sz w:val="22"/>
          <w:szCs w:val="22"/>
        </w:rPr>
        <w:t xml:space="preserve"> be ..”</w:t>
      </w:r>
      <w:r w:rsidR="00BA7BBE" w:rsidRPr="006E0451">
        <w:rPr>
          <w:sz w:val="22"/>
          <w:szCs w:val="22"/>
        </w:rPr>
        <w:t xml:space="preserve"> </w:t>
      </w:r>
      <w:r w:rsidR="000B5D9E" w:rsidRPr="006E0451">
        <w:rPr>
          <w:sz w:val="22"/>
          <w:szCs w:val="22"/>
        </w:rPr>
        <w:t xml:space="preserve">   </w:t>
      </w:r>
    </w:p>
    <w:p w:rsidR="00E8163D" w:rsidRDefault="00E8163D" w:rsidP="006E0451">
      <w:pPr>
        <w:jc w:val="both"/>
      </w:pPr>
    </w:p>
    <w:p w:rsidR="002F2CB3" w:rsidRDefault="00E8163D" w:rsidP="002F2CB3">
      <w:pPr>
        <w:spacing w:line="360" w:lineRule="auto"/>
        <w:ind w:firstLine="720"/>
        <w:jc w:val="both"/>
      </w:pPr>
      <w:r>
        <w:t xml:space="preserve">This section clearly shows that </w:t>
      </w:r>
      <w:r w:rsidR="002F68E2">
        <w:t>either</w:t>
      </w:r>
      <w:r w:rsidR="002F2CB3">
        <w:t xml:space="preserve"> party should give notice of termination of contract.</w:t>
      </w:r>
    </w:p>
    <w:p w:rsidR="002F2CB3" w:rsidRDefault="002F2CB3" w:rsidP="00F004E1">
      <w:pPr>
        <w:ind w:firstLine="720"/>
        <w:jc w:val="both"/>
      </w:pPr>
    </w:p>
    <w:p w:rsidR="002F2CB3" w:rsidRDefault="002C3B9A" w:rsidP="002F2CB3">
      <w:pPr>
        <w:spacing w:line="360" w:lineRule="auto"/>
        <w:ind w:firstLine="720"/>
        <w:jc w:val="both"/>
      </w:pPr>
      <w:r>
        <w:t>Section 12 (7) of the Labour Act also states that</w:t>
      </w:r>
    </w:p>
    <w:p w:rsidR="002C3B9A" w:rsidRDefault="002C3B9A" w:rsidP="00F004E1">
      <w:pPr>
        <w:ind w:firstLine="720"/>
        <w:jc w:val="both"/>
      </w:pPr>
    </w:p>
    <w:p w:rsidR="002C3B9A" w:rsidRPr="00F004E1" w:rsidRDefault="002C3B9A" w:rsidP="00F004E1">
      <w:pPr>
        <w:spacing w:line="276" w:lineRule="auto"/>
        <w:ind w:left="720"/>
        <w:jc w:val="both"/>
        <w:rPr>
          <w:sz w:val="22"/>
          <w:szCs w:val="22"/>
        </w:rPr>
      </w:pPr>
      <w:r w:rsidRPr="00F004E1">
        <w:rPr>
          <w:sz w:val="22"/>
          <w:szCs w:val="22"/>
        </w:rPr>
        <w:lastRenderedPageBreak/>
        <w:t xml:space="preserve">“.. where the termination is at the initiative of the employer the employee shall </w:t>
      </w:r>
      <w:r w:rsidR="00EC1287" w:rsidRPr="00F004E1">
        <w:rPr>
          <w:sz w:val="22"/>
          <w:szCs w:val="22"/>
        </w:rPr>
        <w:t xml:space="preserve">have a right to payment </w:t>
      </w:r>
      <w:r w:rsidR="0091131B" w:rsidRPr="00F004E1">
        <w:rPr>
          <w:sz w:val="22"/>
          <w:szCs w:val="22"/>
        </w:rPr>
        <w:t>for a period of corresponding to the appropriate period of notice required in terms of subsection (</w:t>
      </w:r>
      <w:r w:rsidR="00CC3CBE" w:rsidRPr="00F004E1">
        <w:rPr>
          <w:sz w:val="22"/>
          <w:szCs w:val="22"/>
        </w:rPr>
        <w:t>4) or (5).”</w:t>
      </w:r>
    </w:p>
    <w:p w:rsidR="00CC3CBE" w:rsidRDefault="00CC3CBE" w:rsidP="00F004E1">
      <w:pPr>
        <w:ind w:firstLine="720"/>
        <w:jc w:val="both"/>
      </w:pPr>
    </w:p>
    <w:p w:rsidR="00CC3CBE" w:rsidRDefault="00CC3CBE" w:rsidP="002F2CB3">
      <w:pPr>
        <w:spacing w:line="360" w:lineRule="auto"/>
        <w:ind w:firstLine="720"/>
        <w:jc w:val="both"/>
      </w:pPr>
      <w:r>
        <w:t>From the above sections it is my view that if the employee is obliged to give three</w:t>
      </w:r>
      <w:r w:rsidR="001E54A7">
        <w:t xml:space="preserve"> months notice it also follows that the employer has the right to payment for the corresponding period.</w:t>
      </w:r>
    </w:p>
    <w:p w:rsidR="001E54A7" w:rsidRDefault="001E54A7" w:rsidP="00F004E1">
      <w:pPr>
        <w:ind w:firstLine="720"/>
        <w:jc w:val="both"/>
      </w:pPr>
    </w:p>
    <w:p w:rsidR="001E54A7" w:rsidRDefault="001E54A7" w:rsidP="002F2CB3">
      <w:pPr>
        <w:spacing w:line="360" w:lineRule="auto"/>
        <w:ind w:firstLine="720"/>
        <w:jc w:val="both"/>
      </w:pPr>
      <w:r>
        <w:t xml:space="preserve">If the Respondent was </w:t>
      </w:r>
      <w:r w:rsidR="00BC2877">
        <w:t xml:space="preserve">not being paid her salaries in time the Labour Act has provisions stating the recourse to be taken for such unfair labour </w:t>
      </w:r>
      <w:r w:rsidR="008A4774">
        <w:t>practices.  Labour Rules are provided for them to govern</w:t>
      </w:r>
      <w:r w:rsidR="001723EE">
        <w:t xml:space="preserve"> the</w:t>
      </w:r>
      <w:r w:rsidR="008A4774">
        <w:t xml:space="preserve"> conduct</w:t>
      </w:r>
      <w:r w:rsidR="009E51BF">
        <w:t xml:space="preserve"> between</w:t>
      </w:r>
      <w:r w:rsidR="00D07BDB">
        <w:t xml:space="preserve"> the employer and the employee.  They should therefore be complied with Section 2A of the Labour Act states that this Act was established</w:t>
      </w:r>
      <w:r w:rsidR="00A53B8B">
        <w:t xml:space="preserve"> for the purpose of</w:t>
      </w:r>
    </w:p>
    <w:p w:rsidR="00A53B8B" w:rsidRDefault="00A53B8B" w:rsidP="00F004E1">
      <w:pPr>
        <w:ind w:firstLine="720"/>
        <w:jc w:val="both"/>
      </w:pPr>
    </w:p>
    <w:p w:rsidR="00A53B8B" w:rsidRDefault="00A53B8B" w:rsidP="00F004E1">
      <w:pPr>
        <w:spacing w:line="276" w:lineRule="auto"/>
        <w:ind w:left="720"/>
        <w:jc w:val="both"/>
      </w:pPr>
      <w:r w:rsidRPr="00F004E1">
        <w:rPr>
          <w:sz w:val="22"/>
          <w:szCs w:val="22"/>
        </w:rPr>
        <w:t xml:space="preserve">“.. the promotion of fair labour standards. .. </w:t>
      </w:r>
      <w:r w:rsidR="00426C59" w:rsidRPr="00F004E1">
        <w:rPr>
          <w:sz w:val="22"/>
          <w:szCs w:val="22"/>
        </w:rPr>
        <w:t>securing the just, effective and expeditious resolution of disputes and unfair labour practices</w:t>
      </w:r>
      <w:r w:rsidR="007A077A">
        <w:t>.”</w:t>
      </w:r>
    </w:p>
    <w:p w:rsidR="007A077A" w:rsidRDefault="007A077A" w:rsidP="00F004E1">
      <w:pPr>
        <w:ind w:firstLine="720"/>
        <w:jc w:val="both"/>
      </w:pPr>
    </w:p>
    <w:p w:rsidR="007A077A" w:rsidRDefault="007A077A" w:rsidP="002F2CB3">
      <w:pPr>
        <w:spacing w:line="360" w:lineRule="auto"/>
        <w:ind w:firstLine="720"/>
        <w:jc w:val="both"/>
      </w:pPr>
      <w:r>
        <w:t xml:space="preserve">The Respondent was suppose to take appropriate procedures to recover unpaid salaries and not just leaving </w:t>
      </w:r>
      <w:r w:rsidR="00D244F1">
        <w:t>employment</w:t>
      </w:r>
      <w:r w:rsidR="009B7B5D">
        <w:t xml:space="preserve"> without</w:t>
      </w:r>
      <w:r w:rsidR="00054980">
        <w:t xml:space="preserve"> giving the </w:t>
      </w:r>
      <w:r w:rsidR="00054980" w:rsidRPr="00054980">
        <w:rPr>
          <w:u w:val="single"/>
        </w:rPr>
        <w:t>requisite</w:t>
      </w:r>
      <w:r w:rsidR="00054980">
        <w:t xml:space="preserve"> three </w:t>
      </w:r>
      <w:proofErr w:type="spellStart"/>
      <w:r w:rsidR="00054980">
        <w:t xml:space="preserve">months </w:t>
      </w:r>
      <w:r w:rsidR="004458D8">
        <w:t>notice</w:t>
      </w:r>
      <w:proofErr w:type="spellEnd"/>
      <w:r w:rsidR="00054980">
        <w:t>.</w:t>
      </w:r>
    </w:p>
    <w:p w:rsidR="000D0782" w:rsidRDefault="000D0782" w:rsidP="00ED1560">
      <w:pPr>
        <w:ind w:firstLine="720"/>
        <w:jc w:val="both"/>
      </w:pPr>
    </w:p>
    <w:p w:rsidR="000D0782" w:rsidRDefault="000D0782" w:rsidP="002F2CB3">
      <w:pPr>
        <w:spacing w:line="360" w:lineRule="auto"/>
        <w:ind w:firstLine="720"/>
        <w:jc w:val="both"/>
      </w:pPr>
      <w:r>
        <w:t xml:space="preserve">The second issue to be decided is whether the Respondent accrued any leave days during the first year of employment and whether </w:t>
      </w:r>
      <w:r w:rsidR="004458D8">
        <w:t>s</w:t>
      </w:r>
      <w:r>
        <w:t>he should be paid for th</w:t>
      </w:r>
      <w:r w:rsidR="00E34BA3">
        <w:t>ose days.</w:t>
      </w:r>
    </w:p>
    <w:p w:rsidR="00E34BA3" w:rsidRDefault="00E34BA3" w:rsidP="002F2CB3">
      <w:pPr>
        <w:spacing w:line="360" w:lineRule="auto"/>
        <w:ind w:firstLine="720"/>
        <w:jc w:val="both"/>
      </w:pPr>
    </w:p>
    <w:p w:rsidR="00E34BA3" w:rsidRDefault="00E34BA3" w:rsidP="002F2CB3">
      <w:pPr>
        <w:spacing w:line="360" w:lineRule="auto"/>
        <w:ind w:firstLine="720"/>
        <w:jc w:val="both"/>
      </w:pPr>
      <w:r>
        <w:t>Section 14 A (2) of the Labour Act provides that</w:t>
      </w:r>
    </w:p>
    <w:p w:rsidR="00E34BA3" w:rsidRDefault="00E34BA3" w:rsidP="00ED1560">
      <w:pPr>
        <w:ind w:firstLine="720"/>
        <w:jc w:val="both"/>
      </w:pPr>
    </w:p>
    <w:p w:rsidR="00E34BA3" w:rsidRPr="007F1D01" w:rsidRDefault="0038443C" w:rsidP="007F1D01">
      <w:pPr>
        <w:spacing w:line="276" w:lineRule="auto"/>
        <w:ind w:left="720"/>
        <w:jc w:val="both"/>
        <w:rPr>
          <w:sz w:val="22"/>
          <w:szCs w:val="22"/>
        </w:rPr>
      </w:pPr>
      <w:r w:rsidRPr="007F1D01">
        <w:rPr>
          <w:sz w:val="22"/>
          <w:szCs w:val="22"/>
        </w:rPr>
        <w:t>“Unless more favourable</w:t>
      </w:r>
      <w:r w:rsidR="001055A2" w:rsidRPr="007F1D01">
        <w:rPr>
          <w:sz w:val="22"/>
          <w:szCs w:val="22"/>
        </w:rPr>
        <w:t xml:space="preserve"> conditions </w:t>
      </w:r>
      <w:r w:rsidR="0094003B" w:rsidRPr="007F1D01">
        <w:rPr>
          <w:sz w:val="22"/>
          <w:szCs w:val="22"/>
        </w:rPr>
        <w:t>have been provided for in any employment contract on in any ena</w:t>
      </w:r>
      <w:r w:rsidR="00A80C9B" w:rsidRPr="007F1D01">
        <w:rPr>
          <w:sz w:val="22"/>
          <w:szCs w:val="22"/>
        </w:rPr>
        <w:t>ctment paid vacation leave accrue in terms of this Section to an employee at the rate of one twe</w:t>
      </w:r>
      <w:r w:rsidR="00601C7E" w:rsidRPr="007F1D01">
        <w:rPr>
          <w:sz w:val="22"/>
          <w:szCs w:val="22"/>
        </w:rPr>
        <w:t>lfth of his qualifying service in each year of employment subject to a maximum</w:t>
      </w:r>
      <w:r w:rsidR="00F93B49" w:rsidRPr="007F1D01">
        <w:rPr>
          <w:sz w:val="22"/>
          <w:szCs w:val="22"/>
        </w:rPr>
        <w:t xml:space="preserve"> accrual of 90 days paid vacation leave ..”</w:t>
      </w:r>
    </w:p>
    <w:p w:rsidR="00F93B49" w:rsidRDefault="00F93B49" w:rsidP="007F1D01">
      <w:pPr>
        <w:ind w:firstLine="720"/>
        <w:jc w:val="both"/>
      </w:pPr>
    </w:p>
    <w:p w:rsidR="00F93B49" w:rsidRDefault="00F93B49" w:rsidP="002F2CB3">
      <w:pPr>
        <w:spacing w:line="360" w:lineRule="auto"/>
        <w:ind w:firstLine="720"/>
        <w:jc w:val="both"/>
      </w:pPr>
      <w:r>
        <w:t xml:space="preserve">This </w:t>
      </w:r>
      <w:r w:rsidR="00F21525">
        <w:t>section shows that whe</w:t>
      </w:r>
      <w:r w:rsidR="00E47E05">
        <w:t>re there are better conditions</w:t>
      </w:r>
      <w:r w:rsidR="00F21525">
        <w:t xml:space="preserve"> the vacation leave </w:t>
      </w:r>
      <w:r w:rsidR="00B40FC0">
        <w:t xml:space="preserve">is dealt with not in terms of Section 14 A of the Labour </w:t>
      </w:r>
      <w:r w:rsidR="001C2BA0">
        <w:t xml:space="preserve">Act but in terms of either the contract of </w:t>
      </w:r>
      <w:r w:rsidR="00CB67A3">
        <w:t>employment or the collective bargaining agreement or other enactment that provides</w:t>
      </w:r>
      <w:r w:rsidR="006D47E0">
        <w:t xml:space="preserve"> </w:t>
      </w:r>
      <w:r w:rsidR="005345CA">
        <w:t xml:space="preserve">for leave </w:t>
      </w:r>
      <w:r w:rsidR="00E250C9">
        <w:t>cond</w:t>
      </w:r>
      <w:r w:rsidR="00CE7413">
        <w:t>itions for such an employee than</w:t>
      </w:r>
      <w:r w:rsidR="00E250C9">
        <w:t xml:space="preserve"> are be</w:t>
      </w:r>
      <w:r w:rsidR="00D60B0A">
        <w:t>tter than</w:t>
      </w:r>
      <w:r w:rsidR="00E250C9">
        <w:t xml:space="preserve"> what is in Section 14 A of the Labour Act.</w:t>
      </w:r>
    </w:p>
    <w:p w:rsidR="00E250C9" w:rsidRDefault="00E250C9" w:rsidP="007F1D01">
      <w:pPr>
        <w:ind w:firstLine="720"/>
        <w:jc w:val="both"/>
      </w:pPr>
    </w:p>
    <w:p w:rsidR="00E250C9" w:rsidRDefault="000B304E" w:rsidP="002F2CB3">
      <w:pPr>
        <w:spacing w:line="360" w:lineRule="auto"/>
        <w:ind w:firstLine="720"/>
        <w:jc w:val="both"/>
      </w:pPr>
      <w:r>
        <w:t xml:space="preserve">Respondent’s contract was also regulated by the CBA – Welfare &amp; Educational </w:t>
      </w:r>
      <w:r w:rsidR="009E7420">
        <w:t>Institution 2014.  Section 22 (5) of the Collective Bargaining Agreement states that</w:t>
      </w:r>
    </w:p>
    <w:p w:rsidR="009E7420" w:rsidRDefault="009E7420" w:rsidP="007F1D01">
      <w:pPr>
        <w:ind w:firstLine="720"/>
        <w:jc w:val="both"/>
      </w:pPr>
    </w:p>
    <w:p w:rsidR="009E7420" w:rsidRPr="007F1D01" w:rsidRDefault="007F1D01" w:rsidP="007F1D01">
      <w:pPr>
        <w:spacing w:line="276" w:lineRule="auto"/>
        <w:ind w:left="720"/>
        <w:jc w:val="both"/>
        <w:rPr>
          <w:sz w:val="22"/>
          <w:szCs w:val="22"/>
        </w:rPr>
      </w:pPr>
      <w:r w:rsidRPr="007F1D01">
        <w:rPr>
          <w:sz w:val="22"/>
          <w:szCs w:val="22"/>
        </w:rPr>
        <w:t xml:space="preserve">“(5) an employee in his or her first year of employment shall </w:t>
      </w:r>
      <w:r w:rsidRPr="007F1D01">
        <w:rPr>
          <w:sz w:val="22"/>
          <w:szCs w:val="22"/>
          <w:u w:val="single"/>
        </w:rPr>
        <w:t>accumulate normal vacation</w:t>
      </w:r>
      <w:r w:rsidRPr="007F1D01">
        <w:rPr>
          <w:sz w:val="22"/>
          <w:szCs w:val="22"/>
        </w:rPr>
        <w:t xml:space="preserve"> leave but shall not go on such leave during the 1</w:t>
      </w:r>
      <w:r w:rsidRPr="007F1D01">
        <w:rPr>
          <w:sz w:val="22"/>
          <w:szCs w:val="22"/>
          <w:vertAlign w:val="superscript"/>
        </w:rPr>
        <w:t>st</w:t>
      </w:r>
      <w:r w:rsidRPr="007F1D01">
        <w:rPr>
          <w:sz w:val="22"/>
          <w:szCs w:val="22"/>
        </w:rPr>
        <w:t xml:space="preserve"> year, except with the consent of the employer.”</w:t>
      </w:r>
    </w:p>
    <w:p w:rsidR="00D97FB1" w:rsidRDefault="00D97FB1" w:rsidP="007F1D01">
      <w:pPr>
        <w:ind w:firstLine="720"/>
        <w:jc w:val="both"/>
      </w:pPr>
    </w:p>
    <w:p w:rsidR="00D97FB1" w:rsidRDefault="00D97FB1" w:rsidP="002F2CB3">
      <w:pPr>
        <w:spacing w:line="360" w:lineRule="auto"/>
        <w:ind w:firstLine="720"/>
        <w:jc w:val="both"/>
      </w:pPr>
      <w:r>
        <w:t xml:space="preserve">This </w:t>
      </w:r>
      <w:r w:rsidR="00814BF6">
        <w:t xml:space="preserve">clearly shows that Respondent accumulated normal vacation </w:t>
      </w:r>
      <w:r w:rsidR="009E1782">
        <w:t>leave during the first year of employment.  If she accrued these leave days then she is entitled to payment unless it is provided otherwise</w:t>
      </w:r>
      <w:r w:rsidR="006454CE">
        <w:t>.</w:t>
      </w:r>
    </w:p>
    <w:p w:rsidR="006454CE" w:rsidRDefault="006454CE" w:rsidP="007F1D01">
      <w:pPr>
        <w:ind w:firstLine="720"/>
        <w:jc w:val="both"/>
      </w:pPr>
    </w:p>
    <w:p w:rsidR="006454CE" w:rsidRDefault="006454CE" w:rsidP="002F2CB3">
      <w:pPr>
        <w:spacing w:line="360" w:lineRule="auto"/>
        <w:ind w:firstLine="720"/>
        <w:jc w:val="both"/>
      </w:pPr>
      <w:r>
        <w:t>The CBA also provides for both conditions than the Labour Act and should be complied with</w:t>
      </w:r>
      <w:r w:rsidR="0059591A">
        <w:t>.  The Respondent is therefore entitled to payment of 60 days vacation leave.</w:t>
      </w:r>
    </w:p>
    <w:p w:rsidR="0059591A" w:rsidRDefault="0059591A" w:rsidP="007F1D01">
      <w:pPr>
        <w:jc w:val="both"/>
      </w:pPr>
    </w:p>
    <w:p w:rsidR="0059591A" w:rsidRDefault="0059591A" w:rsidP="0059591A">
      <w:pPr>
        <w:spacing w:line="360" w:lineRule="auto"/>
        <w:jc w:val="both"/>
      </w:pPr>
      <w:r>
        <w:t>In view of the foregoing therefore</w:t>
      </w:r>
      <w:r w:rsidR="00893902">
        <w:t>.</w:t>
      </w:r>
    </w:p>
    <w:p w:rsidR="00893902" w:rsidRDefault="00893902" w:rsidP="0059591A">
      <w:pPr>
        <w:spacing w:line="360" w:lineRule="auto"/>
        <w:jc w:val="both"/>
      </w:pPr>
    </w:p>
    <w:p w:rsidR="00893902" w:rsidRDefault="00893902" w:rsidP="0059591A">
      <w:pPr>
        <w:spacing w:line="360" w:lineRule="auto"/>
        <w:jc w:val="both"/>
      </w:pPr>
      <w:r>
        <w:t>IT IS ORDERED THAT</w:t>
      </w:r>
    </w:p>
    <w:p w:rsidR="00893902" w:rsidRDefault="00893902" w:rsidP="00893902">
      <w:pPr>
        <w:pStyle w:val="ListParagraph"/>
        <w:numPr>
          <w:ilvl w:val="0"/>
          <w:numId w:val="9"/>
        </w:numPr>
        <w:spacing w:line="360" w:lineRule="auto"/>
        <w:jc w:val="both"/>
      </w:pPr>
      <w:r>
        <w:t>The 1</w:t>
      </w:r>
      <w:r w:rsidRPr="00893902">
        <w:rPr>
          <w:vertAlign w:val="superscript"/>
        </w:rPr>
        <w:t>st</w:t>
      </w:r>
      <w:r>
        <w:t xml:space="preserve"> ground of appeal succeeds.</w:t>
      </w:r>
    </w:p>
    <w:p w:rsidR="00893902" w:rsidRDefault="00A86CD3" w:rsidP="00893902">
      <w:pPr>
        <w:pStyle w:val="ListParagraph"/>
        <w:numPr>
          <w:ilvl w:val="0"/>
          <w:numId w:val="9"/>
        </w:numPr>
        <w:spacing w:line="360" w:lineRule="auto"/>
        <w:jc w:val="both"/>
      </w:pPr>
      <w:r>
        <w:t>The 2</w:t>
      </w:r>
      <w:r w:rsidRPr="00A86CD3">
        <w:rPr>
          <w:vertAlign w:val="superscript"/>
        </w:rPr>
        <w:t>nd</w:t>
      </w:r>
      <w:r>
        <w:t xml:space="preserve"> ground of appeal succeeds.</w:t>
      </w:r>
    </w:p>
    <w:p w:rsidR="00A86CD3" w:rsidRDefault="00A86CD3" w:rsidP="00893902">
      <w:pPr>
        <w:pStyle w:val="ListParagraph"/>
        <w:numPr>
          <w:ilvl w:val="0"/>
          <w:numId w:val="9"/>
        </w:numPr>
        <w:spacing w:line="360" w:lineRule="auto"/>
        <w:jc w:val="both"/>
      </w:pPr>
      <w:r>
        <w:t>The 3</w:t>
      </w:r>
      <w:r w:rsidRPr="00A86CD3">
        <w:rPr>
          <w:vertAlign w:val="superscript"/>
        </w:rPr>
        <w:t>rd</w:t>
      </w:r>
      <w:r w:rsidR="00BD7CFA">
        <w:t xml:space="preserve">, </w:t>
      </w:r>
      <w:r>
        <w:t>4</w:t>
      </w:r>
      <w:r w:rsidRPr="00A86CD3">
        <w:rPr>
          <w:vertAlign w:val="superscript"/>
        </w:rPr>
        <w:t>th</w:t>
      </w:r>
      <w:r w:rsidR="00BD7CFA">
        <w:t xml:space="preserve"> and </w:t>
      </w:r>
      <w:r w:rsidR="00211C01">
        <w:t>5</w:t>
      </w:r>
      <w:r w:rsidR="00211C01" w:rsidRPr="00211C01">
        <w:rPr>
          <w:vertAlign w:val="superscript"/>
        </w:rPr>
        <w:t>th</w:t>
      </w:r>
      <w:r w:rsidR="002E479D">
        <w:t xml:space="preserve"> grounds of appeal fail.</w:t>
      </w:r>
    </w:p>
    <w:p w:rsidR="00211C01" w:rsidRDefault="00211C01" w:rsidP="00893902">
      <w:pPr>
        <w:pStyle w:val="ListParagraph"/>
        <w:numPr>
          <w:ilvl w:val="0"/>
          <w:numId w:val="9"/>
        </w:numPr>
        <w:spacing w:line="360" w:lineRule="auto"/>
        <w:jc w:val="both"/>
      </w:pPr>
      <w:r>
        <w:t>What is due to the Respondent in the form of salary ar</w:t>
      </w:r>
      <w:r w:rsidR="00C507F3">
        <w:t>rears and leave days shall be paid after deduction of cash in lieu of failure to give three months notice.</w:t>
      </w:r>
    </w:p>
    <w:p w:rsidR="00C507F3" w:rsidRDefault="00C507F3" w:rsidP="00893902">
      <w:pPr>
        <w:pStyle w:val="ListParagraph"/>
        <w:numPr>
          <w:ilvl w:val="0"/>
          <w:numId w:val="9"/>
        </w:numPr>
        <w:spacing w:line="360" w:lineRule="auto"/>
        <w:jc w:val="both"/>
      </w:pPr>
      <w:r>
        <w:t>Each party shall bear own costs.</w:t>
      </w:r>
    </w:p>
    <w:p w:rsidR="00C04002" w:rsidRDefault="00C04002" w:rsidP="00C04002">
      <w:pPr>
        <w:spacing w:line="360" w:lineRule="auto"/>
        <w:jc w:val="both"/>
      </w:pPr>
    </w:p>
    <w:p w:rsidR="00C04002" w:rsidRDefault="00C04002" w:rsidP="00C04002">
      <w:pPr>
        <w:spacing w:line="360" w:lineRule="auto"/>
        <w:jc w:val="both"/>
      </w:pPr>
    </w:p>
    <w:p w:rsidR="00C04002" w:rsidRDefault="00EC198F" w:rsidP="00C04002">
      <w:pPr>
        <w:spacing w:line="360" w:lineRule="auto"/>
        <w:jc w:val="both"/>
      </w:pPr>
      <w:r w:rsidRPr="00DC4081">
        <w:rPr>
          <w:i/>
        </w:rPr>
        <w:t>Messrs Chambati, Mataka and Makonese</w:t>
      </w:r>
      <w:r>
        <w:t>, Appellant’s legal practitioners</w:t>
      </w:r>
    </w:p>
    <w:p w:rsidR="00EC198F" w:rsidRDefault="00EC198F" w:rsidP="00C04002">
      <w:pPr>
        <w:spacing w:line="360" w:lineRule="auto"/>
        <w:jc w:val="both"/>
      </w:pPr>
      <w:r w:rsidRPr="00DC4081">
        <w:rPr>
          <w:i/>
        </w:rPr>
        <w:t>Winterton</w:t>
      </w:r>
      <w:r w:rsidR="00DC4081" w:rsidRPr="00DC4081">
        <w:rPr>
          <w:i/>
        </w:rPr>
        <w:t>s</w:t>
      </w:r>
      <w:r w:rsidR="00DC4081">
        <w:t>, Respondent’s legal practitioners</w:t>
      </w:r>
    </w:p>
    <w:p w:rsidR="00EC198F" w:rsidRDefault="00EC198F" w:rsidP="00C04002">
      <w:pPr>
        <w:spacing w:line="360" w:lineRule="auto"/>
        <w:jc w:val="both"/>
      </w:pPr>
    </w:p>
    <w:p w:rsidR="002F2CB3" w:rsidRDefault="002F2CB3" w:rsidP="00E605D0">
      <w:pPr>
        <w:spacing w:line="360" w:lineRule="auto"/>
        <w:jc w:val="both"/>
      </w:pPr>
    </w:p>
    <w:p w:rsidR="00EA2D46" w:rsidRDefault="000B5D9E" w:rsidP="00E605D0">
      <w:pPr>
        <w:spacing w:line="360" w:lineRule="auto"/>
        <w:jc w:val="both"/>
      </w:pPr>
      <w:r>
        <w:t xml:space="preserve">              </w:t>
      </w:r>
    </w:p>
    <w:p w:rsidR="00A92369" w:rsidRDefault="00A92369" w:rsidP="00566769">
      <w:pPr>
        <w:spacing w:line="360" w:lineRule="auto"/>
        <w:jc w:val="both"/>
      </w:pPr>
    </w:p>
    <w:p w:rsidR="00A92369" w:rsidRDefault="00A92369" w:rsidP="00566769">
      <w:pPr>
        <w:spacing w:line="360" w:lineRule="auto"/>
        <w:jc w:val="both"/>
      </w:pPr>
    </w:p>
    <w:sectPr w:rsidR="00A92369" w:rsidSect="00662F7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7F" w:rsidRDefault="006A127F" w:rsidP="007A464C">
      <w:r>
        <w:separator/>
      </w:r>
    </w:p>
  </w:endnote>
  <w:endnote w:type="continuationSeparator" w:id="0">
    <w:p w:rsidR="006A127F" w:rsidRDefault="006A127F" w:rsidP="007A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12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3902" w:rsidRDefault="00893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4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3902" w:rsidRDefault="00893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7F" w:rsidRDefault="006A127F" w:rsidP="007A464C">
      <w:r>
        <w:separator/>
      </w:r>
    </w:p>
  </w:footnote>
  <w:footnote w:type="continuationSeparator" w:id="0">
    <w:p w:rsidR="006A127F" w:rsidRDefault="006A127F" w:rsidP="007A4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902" w:rsidRPr="00662F71" w:rsidRDefault="00893902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551A01">
      <w:rPr>
        <w:lang w:val="en-ZW"/>
      </w:rPr>
      <w:t>335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CB1"/>
    <w:multiLevelType w:val="hybridMultilevel"/>
    <w:tmpl w:val="18B2CB26"/>
    <w:lvl w:ilvl="0" w:tplc="7C12429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A856C4"/>
    <w:multiLevelType w:val="hybridMultilevel"/>
    <w:tmpl w:val="10862B26"/>
    <w:lvl w:ilvl="0" w:tplc="05E6AE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320F"/>
    <w:multiLevelType w:val="hybridMultilevel"/>
    <w:tmpl w:val="FDA41B46"/>
    <w:lvl w:ilvl="0" w:tplc="79A08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540E9"/>
    <w:multiLevelType w:val="hybridMultilevel"/>
    <w:tmpl w:val="14206168"/>
    <w:lvl w:ilvl="0" w:tplc="C48818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8E01FA"/>
    <w:multiLevelType w:val="hybridMultilevel"/>
    <w:tmpl w:val="16F886DA"/>
    <w:lvl w:ilvl="0" w:tplc="76CA7F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E5D24"/>
    <w:multiLevelType w:val="hybridMultilevel"/>
    <w:tmpl w:val="29005154"/>
    <w:lvl w:ilvl="0" w:tplc="84E003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264D56"/>
    <w:multiLevelType w:val="hybridMultilevel"/>
    <w:tmpl w:val="52642844"/>
    <w:lvl w:ilvl="0" w:tplc="30090011">
      <w:start w:val="1"/>
      <w:numFmt w:val="decimal"/>
      <w:lvlText w:val="%1)"/>
      <w:lvlJc w:val="left"/>
      <w:pPr>
        <w:ind w:left="2160" w:hanging="360"/>
      </w:p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AA57205"/>
    <w:multiLevelType w:val="hybridMultilevel"/>
    <w:tmpl w:val="9B885D14"/>
    <w:lvl w:ilvl="0" w:tplc="BF384D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F56B00"/>
    <w:multiLevelType w:val="hybridMultilevel"/>
    <w:tmpl w:val="DE1A06A0"/>
    <w:lvl w:ilvl="0" w:tplc="9FA4D8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AD"/>
    <w:rsid w:val="00054980"/>
    <w:rsid w:val="0006411D"/>
    <w:rsid w:val="000805B9"/>
    <w:rsid w:val="000B304E"/>
    <w:rsid w:val="000B5687"/>
    <w:rsid w:val="000B5D9E"/>
    <w:rsid w:val="000C5821"/>
    <w:rsid w:val="000D0782"/>
    <w:rsid w:val="00104E28"/>
    <w:rsid w:val="001055A2"/>
    <w:rsid w:val="001723EE"/>
    <w:rsid w:val="00182836"/>
    <w:rsid w:val="00185F19"/>
    <w:rsid w:val="001C2BA0"/>
    <w:rsid w:val="001E54A7"/>
    <w:rsid w:val="00211C01"/>
    <w:rsid w:val="002121F1"/>
    <w:rsid w:val="002B4CD3"/>
    <w:rsid w:val="002C3B9A"/>
    <w:rsid w:val="002D51BA"/>
    <w:rsid w:val="002E30BD"/>
    <w:rsid w:val="002E479D"/>
    <w:rsid w:val="002F19C7"/>
    <w:rsid w:val="002F2CB3"/>
    <w:rsid w:val="002F68E2"/>
    <w:rsid w:val="00343654"/>
    <w:rsid w:val="0038443C"/>
    <w:rsid w:val="004135A2"/>
    <w:rsid w:val="00426C59"/>
    <w:rsid w:val="004458D8"/>
    <w:rsid w:val="00487513"/>
    <w:rsid w:val="00494933"/>
    <w:rsid w:val="005133A8"/>
    <w:rsid w:val="005345CA"/>
    <w:rsid w:val="00534DC1"/>
    <w:rsid w:val="00551A01"/>
    <w:rsid w:val="00557292"/>
    <w:rsid w:val="00566769"/>
    <w:rsid w:val="00591561"/>
    <w:rsid w:val="0059591A"/>
    <w:rsid w:val="00597840"/>
    <w:rsid w:val="005B6C55"/>
    <w:rsid w:val="005C3B8C"/>
    <w:rsid w:val="005C42D1"/>
    <w:rsid w:val="005C6A64"/>
    <w:rsid w:val="005D42A3"/>
    <w:rsid w:val="00601C7E"/>
    <w:rsid w:val="006024A1"/>
    <w:rsid w:val="00621CAD"/>
    <w:rsid w:val="006454CE"/>
    <w:rsid w:val="00662F71"/>
    <w:rsid w:val="00663EAB"/>
    <w:rsid w:val="006A127F"/>
    <w:rsid w:val="006C3B90"/>
    <w:rsid w:val="006D47E0"/>
    <w:rsid w:val="006E0451"/>
    <w:rsid w:val="006E7400"/>
    <w:rsid w:val="007A077A"/>
    <w:rsid w:val="007A464C"/>
    <w:rsid w:val="007D60D5"/>
    <w:rsid w:val="007F1D01"/>
    <w:rsid w:val="00801285"/>
    <w:rsid w:val="00814BF6"/>
    <w:rsid w:val="008437EC"/>
    <w:rsid w:val="00846993"/>
    <w:rsid w:val="008764CD"/>
    <w:rsid w:val="00893902"/>
    <w:rsid w:val="0089595F"/>
    <w:rsid w:val="008A4774"/>
    <w:rsid w:val="008B16EB"/>
    <w:rsid w:val="008E57F2"/>
    <w:rsid w:val="00902F28"/>
    <w:rsid w:val="0091131B"/>
    <w:rsid w:val="0094003B"/>
    <w:rsid w:val="009650A5"/>
    <w:rsid w:val="00971555"/>
    <w:rsid w:val="009B7B5D"/>
    <w:rsid w:val="009D1E74"/>
    <w:rsid w:val="009E1782"/>
    <w:rsid w:val="009E51BF"/>
    <w:rsid w:val="009E7420"/>
    <w:rsid w:val="00A53B8B"/>
    <w:rsid w:val="00A80C9B"/>
    <w:rsid w:val="00A86CD3"/>
    <w:rsid w:val="00A92369"/>
    <w:rsid w:val="00AB02AD"/>
    <w:rsid w:val="00AE0479"/>
    <w:rsid w:val="00B04D27"/>
    <w:rsid w:val="00B10C32"/>
    <w:rsid w:val="00B13B1C"/>
    <w:rsid w:val="00B34955"/>
    <w:rsid w:val="00B36774"/>
    <w:rsid w:val="00B40FC0"/>
    <w:rsid w:val="00BA7BBE"/>
    <w:rsid w:val="00BC2877"/>
    <w:rsid w:val="00BD7CFA"/>
    <w:rsid w:val="00BE2C77"/>
    <w:rsid w:val="00BE658D"/>
    <w:rsid w:val="00C04002"/>
    <w:rsid w:val="00C507F3"/>
    <w:rsid w:val="00C57E35"/>
    <w:rsid w:val="00CB67A3"/>
    <w:rsid w:val="00CC3CBE"/>
    <w:rsid w:val="00CE7413"/>
    <w:rsid w:val="00D07BDB"/>
    <w:rsid w:val="00D244F1"/>
    <w:rsid w:val="00D60B0A"/>
    <w:rsid w:val="00D92CE3"/>
    <w:rsid w:val="00D97FB1"/>
    <w:rsid w:val="00DB6D4F"/>
    <w:rsid w:val="00DC4081"/>
    <w:rsid w:val="00E250C9"/>
    <w:rsid w:val="00E34BA3"/>
    <w:rsid w:val="00E4084E"/>
    <w:rsid w:val="00E47E05"/>
    <w:rsid w:val="00E605D0"/>
    <w:rsid w:val="00E70813"/>
    <w:rsid w:val="00E8163D"/>
    <w:rsid w:val="00EA061E"/>
    <w:rsid w:val="00EA2D46"/>
    <w:rsid w:val="00EC0425"/>
    <w:rsid w:val="00EC1287"/>
    <w:rsid w:val="00EC198F"/>
    <w:rsid w:val="00ED1560"/>
    <w:rsid w:val="00F004E1"/>
    <w:rsid w:val="00F21525"/>
    <w:rsid w:val="00F71128"/>
    <w:rsid w:val="00F93B49"/>
    <w:rsid w:val="00F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A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6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64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46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64C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1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1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A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6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64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46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64C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1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1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36</cp:revision>
  <cp:lastPrinted>2016-05-16T10:05:00Z</cp:lastPrinted>
  <dcterms:created xsi:type="dcterms:W3CDTF">2016-04-28T07:25:00Z</dcterms:created>
  <dcterms:modified xsi:type="dcterms:W3CDTF">2016-05-16T12:13:00Z</dcterms:modified>
</cp:coreProperties>
</file>