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9A342" w14:textId="228AB4A4" w:rsidR="00B5385D" w:rsidRDefault="00FE422D"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MANIFEST SECURITY (PRIVATE) LIMITED </w:t>
      </w:r>
      <w:r w:rsidR="00281CD5">
        <w:rPr>
          <w:rFonts w:ascii="Times New Roman" w:hAnsi="Times New Roman" w:cs="Times New Roman"/>
          <w:sz w:val="24"/>
          <w:szCs w:val="24"/>
        </w:rPr>
        <w:t xml:space="preserve"> </w:t>
      </w:r>
    </w:p>
    <w:p w14:paraId="2AB8F9D6" w14:textId="77777777" w:rsidR="00281CD5" w:rsidRDefault="00281CD5"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14:paraId="15555EF0" w14:textId="4B1BC7AF" w:rsidR="000652A4" w:rsidRDefault="00FE422D" w:rsidP="0000054D">
      <w:pPr>
        <w:spacing w:after="0"/>
        <w:rPr>
          <w:rFonts w:ascii="Times New Roman" w:hAnsi="Times New Roman" w:cs="Times New Roman"/>
          <w:sz w:val="24"/>
          <w:szCs w:val="24"/>
        </w:rPr>
      </w:pPr>
      <w:r>
        <w:rPr>
          <w:rFonts w:ascii="Times New Roman" w:hAnsi="Times New Roman" w:cs="Times New Roman"/>
          <w:sz w:val="24"/>
          <w:szCs w:val="24"/>
        </w:rPr>
        <w:t xml:space="preserve">ZESA HOLDINGS (PRIVATE) LIMITED </w:t>
      </w:r>
      <w:r w:rsidR="00281CD5">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07C90A52" w14:textId="77777777" w:rsidR="00270501" w:rsidRDefault="00270501" w:rsidP="0000054D">
      <w:pPr>
        <w:spacing w:after="0"/>
        <w:rPr>
          <w:rFonts w:ascii="Times New Roman" w:hAnsi="Times New Roman" w:cs="Times New Roman"/>
          <w:sz w:val="24"/>
          <w:szCs w:val="24"/>
        </w:rPr>
      </w:pPr>
    </w:p>
    <w:p w14:paraId="0727C8A6" w14:textId="77777777" w:rsidR="0060607A" w:rsidRDefault="0060607A" w:rsidP="0000054D">
      <w:pPr>
        <w:spacing w:after="0"/>
        <w:rPr>
          <w:rFonts w:ascii="Times New Roman" w:hAnsi="Times New Roman" w:cs="Times New Roman"/>
          <w:sz w:val="24"/>
          <w:szCs w:val="24"/>
        </w:rPr>
      </w:pPr>
    </w:p>
    <w:p w14:paraId="1C494945"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428CA20D"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2831993A" w14:textId="6439F6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FE422D">
        <w:rPr>
          <w:rFonts w:ascii="Times New Roman" w:hAnsi="Times New Roman" w:cs="Times New Roman"/>
          <w:sz w:val="24"/>
          <w:szCs w:val="24"/>
        </w:rPr>
        <w:t>14 October 2022</w:t>
      </w:r>
      <w:r w:rsidR="00B10942">
        <w:rPr>
          <w:rFonts w:ascii="Times New Roman" w:hAnsi="Times New Roman" w:cs="Times New Roman"/>
          <w:sz w:val="24"/>
          <w:szCs w:val="24"/>
        </w:rPr>
        <w:t xml:space="preserve"> &amp; </w:t>
      </w:r>
      <w:r w:rsidR="00094DCF">
        <w:rPr>
          <w:rFonts w:ascii="Times New Roman" w:hAnsi="Times New Roman" w:cs="Times New Roman"/>
          <w:sz w:val="24"/>
          <w:szCs w:val="24"/>
        </w:rPr>
        <w:t xml:space="preserve">15 </w:t>
      </w:r>
      <w:r w:rsidR="00FE422D">
        <w:rPr>
          <w:rFonts w:ascii="Times New Roman" w:hAnsi="Times New Roman" w:cs="Times New Roman"/>
          <w:sz w:val="24"/>
          <w:szCs w:val="24"/>
        </w:rPr>
        <w:t>January 202</w:t>
      </w:r>
      <w:r w:rsidR="00094DCF">
        <w:rPr>
          <w:rFonts w:ascii="Times New Roman" w:hAnsi="Times New Roman" w:cs="Times New Roman"/>
          <w:sz w:val="24"/>
          <w:szCs w:val="24"/>
        </w:rPr>
        <w:t>4</w:t>
      </w:r>
    </w:p>
    <w:p w14:paraId="11D00B02" w14:textId="77777777" w:rsidR="0000054D" w:rsidRDefault="0000054D" w:rsidP="0000054D">
      <w:pPr>
        <w:spacing w:after="0"/>
        <w:rPr>
          <w:rFonts w:ascii="Times New Roman" w:hAnsi="Times New Roman" w:cs="Times New Roman"/>
          <w:sz w:val="24"/>
          <w:szCs w:val="24"/>
        </w:rPr>
      </w:pPr>
    </w:p>
    <w:p w14:paraId="75430365" w14:textId="77777777" w:rsidR="0000054D" w:rsidRDefault="0000054D" w:rsidP="0000054D">
      <w:pPr>
        <w:spacing w:after="0"/>
        <w:rPr>
          <w:rFonts w:ascii="Times New Roman" w:hAnsi="Times New Roman" w:cs="Times New Roman"/>
          <w:sz w:val="24"/>
          <w:szCs w:val="24"/>
        </w:rPr>
      </w:pPr>
    </w:p>
    <w:p w14:paraId="26E63852" w14:textId="78919F2D" w:rsidR="0000054D" w:rsidRPr="0000054D" w:rsidRDefault="00FE422D"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matter-Special Plea </w:t>
      </w:r>
      <w:r w:rsidR="00281CD5">
        <w:rPr>
          <w:rFonts w:ascii="Times New Roman" w:hAnsi="Times New Roman" w:cs="Times New Roman"/>
          <w:b/>
          <w:sz w:val="24"/>
          <w:szCs w:val="24"/>
        </w:rPr>
        <w:t xml:space="preserve"> </w:t>
      </w:r>
    </w:p>
    <w:p w14:paraId="690B7ABA" w14:textId="77777777" w:rsidR="0000054D" w:rsidRDefault="0000054D" w:rsidP="0000054D">
      <w:pPr>
        <w:spacing w:after="0"/>
        <w:rPr>
          <w:rFonts w:ascii="Times New Roman" w:hAnsi="Times New Roman" w:cs="Times New Roman"/>
          <w:sz w:val="24"/>
          <w:szCs w:val="24"/>
        </w:rPr>
      </w:pPr>
    </w:p>
    <w:p w14:paraId="787022B5" w14:textId="77777777" w:rsidR="0000054D" w:rsidRDefault="0000054D" w:rsidP="0000054D">
      <w:pPr>
        <w:spacing w:after="0"/>
        <w:rPr>
          <w:rFonts w:ascii="Times New Roman" w:hAnsi="Times New Roman" w:cs="Times New Roman"/>
          <w:sz w:val="24"/>
          <w:szCs w:val="24"/>
        </w:rPr>
      </w:pPr>
    </w:p>
    <w:p w14:paraId="00F0849A" w14:textId="40B0F5AC" w:rsidR="0000054D" w:rsidRDefault="00B5385D" w:rsidP="00B10942">
      <w:pPr>
        <w:spacing w:after="0" w:line="240" w:lineRule="auto"/>
        <w:rPr>
          <w:rFonts w:ascii="Times New Roman" w:hAnsi="Times New Roman" w:cs="Times New Roman"/>
          <w:sz w:val="24"/>
          <w:szCs w:val="24"/>
        </w:rPr>
      </w:pPr>
      <w:r w:rsidRPr="00503B3E">
        <w:rPr>
          <w:rFonts w:ascii="Times New Roman" w:hAnsi="Times New Roman" w:cs="Times New Roman"/>
          <w:sz w:val="24"/>
          <w:szCs w:val="24"/>
        </w:rPr>
        <w:t>Mr</w:t>
      </w:r>
      <w:r>
        <w:rPr>
          <w:rFonts w:ascii="Times New Roman" w:hAnsi="Times New Roman" w:cs="Times New Roman"/>
          <w:i/>
          <w:sz w:val="24"/>
          <w:szCs w:val="24"/>
        </w:rPr>
        <w:t xml:space="preserve"> </w:t>
      </w:r>
      <w:r w:rsidR="00FE422D">
        <w:rPr>
          <w:rFonts w:ascii="Times New Roman" w:hAnsi="Times New Roman" w:cs="Times New Roman"/>
          <w:i/>
          <w:sz w:val="24"/>
          <w:szCs w:val="24"/>
        </w:rPr>
        <w:t>L</w:t>
      </w:r>
      <w:r w:rsidR="009A6A96">
        <w:rPr>
          <w:rFonts w:ascii="Times New Roman" w:hAnsi="Times New Roman" w:cs="Times New Roman"/>
          <w:i/>
          <w:sz w:val="24"/>
          <w:szCs w:val="24"/>
        </w:rPr>
        <w:t xml:space="preserve"> </w:t>
      </w:r>
      <w:r w:rsidR="00FE422D">
        <w:rPr>
          <w:rFonts w:ascii="Times New Roman" w:hAnsi="Times New Roman" w:cs="Times New Roman"/>
          <w:i/>
          <w:sz w:val="24"/>
          <w:szCs w:val="24"/>
        </w:rPr>
        <w:t>C Ndoro</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281CD5">
        <w:rPr>
          <w:rFonts w:ascii="Times New Roman" w:hAnsi="Times New Roman" w:cs="Times New Roman"/>
          <w:sz w:val="24"/>
          <w:szCs w:val="24"/>
        </w:rPr>
        <w:t>plaintiff</w:t>
      </w:r>
    </w:p>
    <w:p w14:paraId="261BAB63" w14:textId="67FD11CF" w:rsidR="0000054D" w:rsidRDefault="00503B3E" w:rsidP="00B10942">
      <w:pPr>
        <w:spacing w:after="0" w:line="240" w:lineRule="auto"/>
        <w:rPr>
          <w:rFonts w:ascii="Times New Roman" w:hAnsi="Times New Roman" w:cs="Times New Roman"/>
          <w:sz w:val="24"/>
          <w:szCs w:val="24"/>
        </w:rPr>
      </w:pPr>
      <w:r w:rsidRPr="00503B3E">
        <w:rPr>
          <w:rFonts w:ascii="Times New Roman" w:hAnsi="Times New Roman" w:cs="Times New Roman"/>
          <w:sz w:val="24"/>
          <w:szCs w:val="24"/>
        </w:rPr>
        <w:t>Mr</w:t>
      </w:r>
      <w:r>
        <w:rPr>
          <w:rFonts w:ascii="Times New Roman" w:hAnsi="Times New Roman" w:cs="Times New Roman"/>
          <w:i/>
          <w:sz w:val="24"/>
          <w:szCs w:val="24"/>
        </w:rPr>
        <w:t xml:space="preserve"> </w:t>
      </w:r>
      <w:r w:rsidR="00FE422D">
        <w:rPr>
          <w:rFonts w:ascii="Times New Roman" w:hAnsi="Times New Roman" w:cs="Times New Roman"/>
          <w:i/>
          <w:sz w:val="24"/>
          <w:szCs w:val="24"/>
        </w:rPr>
        <w:t>C</w:t>
      </w:r>
      <w:r w:rsidR="009A6A96">
        <w:rPr>
          <w:rFonts w:ascii="Times New Roman" w:hAnsi="Times New Roman" w:cs="Times New Roman"/>
          <w:i/>
          <w:sz w:val="24"/>
          <w:szCs w:val="24"/>
        </w:rPr>
        <w:t xml:space="preserve"> </w:t>
      </w:r>
      <w:r w:rsidR="00FE422D">
        <w:rPr>
          <w:rFonts w:ascii="Times New Roman" w:hAnsi="Times New Roman" w:cs="Times New Roman"/>
          <w:i/>
          <w:sz w:val="24"/>
          <w:szCs w:val="24"/>
        </w:rPr>
        <w:t>J Mahara</w:t>
      </w:r>
      <w:r w:rsidR="0000054D">
        <w:rPr>
          <w:rFonts w:ascii="Times New Roman" w:hAnsi="Times New Roman" w:cs="Times New Roman"/>
          <w:sz w:val="24"/>
          <w:szCs w:val="24"/>
        </w:rPr>
        <w:t xml:space="preserve">, for the </w:t>
      </w:r>
      <w:r w:rsidR="00281CD5">
        <w:rPr>
          <w:rFonts w:ascii="Times New Roman" w:hAnsi="Times New Roman" w:cs="Times New Roman"/>
          <w:sz w:val="24"/>
          <w:szCs w:val="24"/>
        </w:rPr>
        <w:t xml:space="preserve">defendant </w:t>
      </w:r>
    </w:p>
    <w:p w14:paraId="0E8ACB96" w14:textId="77777777" w:rsidR="0000054D" w:rsidRDefault="0000054D" w:rsidP="0000054D">
      <w:pPr>
        <w:spacing w:after="0"/>
        <w:rPr>
          <w:rFonts w:ascii="Times New Roman" w:hAnsi="Times New Roman" w:cs="Times New Roman"/>
          <w:sz w:val="24"/>
          <w:szCs w:val="24"/>
        </w:rPr>
      </w:pPr>
    </w:p>
    <w:p w14:paraId="7DB0F791" w14:textId="77777777" w:rsidR="00503B3E" w:rsidRDefault="00503B3E" w:rsidP="0000054D">
      <w:pPr>
        <w:spacing w:after="0"/>
        <w:rPr>
          <w:rFonts w:ascii="Times New Roman" w:hAnsi="Times New Roman" w:cs="Times New Roman"/>
          <w:sz w:val="24"/>
          <w:szCs w:val="24"/>
        </w:rPr>
      </w:pPr>
    </w:p>
    <w:p w14:paraId="5AF57D67" w14:textId="556A9264" w:rsidR="00FE422D" w:rsidRDefault="0000054D"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3B3E">
        <w:rPr>
          <w:rFonts w:ascii="Times New Roman" w:hAnsi="Times New Roman" w:cs="Times New Roman"/>
          <w:b/>
          <w:sz w:val="24"/>
          <w:szCs w:val="24"/>
        </w:rPr>
        <w:t>M</w:t>
      </w:r>
      <w:r w:rsidR="00CC6961" w:rsidRPr="00503B3E">
        <w:rPr>
          <w:rFonts w:ascii="Times New Roman" w:hAnsi="Times New Roman" w:cs="Times New Roman"/>
          <w:b/>
          <w:sz w:val="24"/>
          <w:szCs w:val="24"/>
        </w:rPr>
        <w:t>USITHU</w:t>
      </w:r>
      <w:r w:rsidRPr="00503B3E">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9A6A96">
        <w:rPr>
          <w:rFonts w:ascii="Times New Roman" w:hAnsi="Times New Roman" w:cs="Times New Roman"/>
          <w:sz w:val="24"/>
          <w:szCs w:val="24"/>
        </w:rPr>
        <w:t xml:space="preserve">   </w:t>
      </w:r>
      <w:r w:rsidR="00FE422D">
        <w:rPr>
          <w:rFonts w:ascii="Times New Roman" w:hAnsi="Times New Roman" w:cs="Times New Roman"/>
          <w:sz w:val="24"/>
          <w:szCs w:val="24"/>
        </w:rPr>
        <w:t xml:space="preserve">On 3 November 2021, the plaintiff instituted </w:t>
      </w:r>
      <w:r w:rsidR="00D73269">
        <w:rPr>
          <w:rFonts w:ascii="Times New Roman" w:hAnsi="Times New Roman" w:cs="Times New Roman"/>
          <w:sz w:val="24"/>
          <w:szCs w:val="24"/>
        </w:rPr>
        <w:t xml:space="preserve">summons </w:t>
      </w:r>
      <w:r w:rsidR="00FE422D">
        <w:rPr>
          <w:rFonts w:ascii="Times New Roman" w:hAnsi="Times New Roman" w:cs="Times New Roman"/>
          <w:sz w:val="24"/>
          <w:szCs w:val="24"/>
        </w:rPr>
        <w:t xml:space="preserve">proceedings </w:t>
      </w:r>
      <w:r w:rsidR="00B613FF">
        <w:rPr>
          <w:rFonts w:ascii="Times New Roman" w:hAnsi="Times New Roman" w:cs="Times New Roman"/>
          <w:sz w:val="24"/>
          <w:szCs w:val="24"/>
        </w:rPr>
        <w:t>against the defendant claiming damages in the sum of US$36</w:t>
      </w:r>
      <w:r w:rsidR="009A6A96">
        <w:rPr>
          <w:rFonts w:ascii="Times New Roman" w:hAnsi="Times New Roman" w:cs="Times New Roman"/>
          <w:sz w:val="24"/>
          <w:szCs w:val="24"/>
        </w:rPr>
        <w:t xml:space="preserve"> </w:t>
      </w:r>
      <w:r w:rsidR="00B613FF">
        <w:rPr>
          <w:rFonts w:ascii="Times New Roman" w:hAnsi="Times New Roman" w:cs="Times New Roman"/>
          <w:sz w:val="24"/>
          <w:szCs w:val="24"/>
        </w:rPr>
        <w:t xml:space="preserve">660.00, arising from a breach of contract </w:t>
      </w:r>
      <w:r w:rsidR="00D73269">
        <w:rPr>
          <w:rFonts w:ascii="Times New Roman" w:hAnsi="Times New Roman" w:cs="Times New Roman"/>
          <w:sz w:val="24"/>
          <w:szCs w:val="24"/>
        </w:rPr>
        <w:t>signed by</w:t>
      </w:r>
      <w:r w:rsidR="00B613FF">
        <w:rPr>
          <w:rFonts w:ascii="Times New Roman" w:hAnsi="Times New Roman" w:cs="Times New Roman"/>
          <w:sz w:val="24"/>
          <w:szCs w:val="24"/>
        </w:rPr>
        <w:t xml:space="preserve"> the parties. The plaintiff also claims interest at the prescribed rate calculated from the date of service of summons to date of full payment, plus costs of suit. </w:t>
      </w:r>
    </w:p>
    <w:p w14:paraId="529FB3A1" w14:textId="70D6F5AB" w:rsidR="003C6B3C" w:rsidRDefault="00B613FF"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w:t>
      </w:r>
      <w:r w:rsidR="006E0E40">
        <w:rPr>
          <w:rFonts w:ascii="Times New Roman" w:hAnsi="Times New Roman" w:cs="Times New Roman"/>
          <w:sz w:val="24"/>
          <w:szCs w:val="24"/>
        </w:rPr>
        <w:t xml:space="preserve">background </w:t>
      </w:r>
      <w:r w:rsidR="00270501">
        <w:rPr>
          <w:rFonts w:ascii="Times New Roman" w:hAnsi="Times New Roman" w:cs="Times New Roman"/>
          <w:sz w:val="24"/>
          <w:szCs w:val="24"/>
        </w:rPr>
        <w:t xml:space="preserve">to </w:t>
      </w:r>
      <w:r>
        <w:rPr>
          <w:rFonts w:ascii="Times New Roman" w:hAnsi="Times New Roman" w:cs="Times New Roman"/>
          <w:sz w:val="24"/>
          <w:szCs w:val="24"/>
        </w:rPr>
        <w:t xml:space="preserve">the plaintiff’s claim </w:t>
      </w:r>
      <w:r w:rsidR="006E0E40">
        <w:rPr>
          <w:rFonts w:ascii="Times New Roman" w:hAnsi="Times New Roman" w:cs="Times New Roman"/>
          <w:sz w:val="24"/>
          <w:szCs w:val="24"/>
        </w:rPr>
        <w:t>is</w:t>
      </w:r>
      <w:r>
        <w:rPr>
          <w:rFonts w:ascii="Times New Roman" w:hAnsi="Times New Roman" w:cs="Times New Roman"/>
          <w:sz w:val="24"/>
          <w:szCs w:val="24"/>
        </w:rPr>
        <w:t xml:space="preserve"> as follows</w:t>
      </w:r>
      <w:r w:rsidR="009075B4">
        <w:rPr>
          <w:rFonts w:ascii="Times New Roman" w:hAnsi="Times New Roman" w:cs="Times New Roman"/>
          <w:sz w:val="24"/>
          <w:szCs w:val="24"/>
        </w:rPr>
        <w:t xml:space="preserve">. On 28 December 2020, the parties </w:t>
      </w:r>
      <w:r w:rsidR="00270501">
        <w:rPr>
          <w:rFonts w:ascii="Times New Roman" w:hAnsi="Times New Roman" w:cs="Times New Roman"/>
          <w:sz w:val="24"/>
          <w:szCs w:val="24"/>
        </w:rPr>
        <w:t>entered</w:t>
      </w:r>
      <w:r w:rsidR="006E0E40">
        <w:rPr>
          <w:rFonts w:ascii="Times New Roman" w:hAnsi="Times New Roman" w:cs="Times New Roman"/>
          <w:sz w:val="24"/>
          <w:szCs w:val="24"/>
        </w:rPr>
        <w:t xml:space="preserve"> </w:t>
      </w:r>
      <w:r w:rsidR="009075B4">
        <w:rPr>
          <w:rFonts w:ascii="Times New Roman" w:hAnsi="Times New Roman" w:cs="Times New Roman"/>
          <w:sz w:val="24"/>
          <w:szCs w:val="24"/>
        </w:rPr>
        <w:t xml:space="preserve">a written contract in terms of which the plaintiff was required to provide security guard services to the defendant. </w:t>
      </w:r>
      <w:r w:rsidR="004D0C89">
        <w:rPr>
          <w:rFonts w:ascii="Times New Roman" w:hAnsi="Times New Roman" w:cs="Times New Roman"/>
          <w:sz w:val="24"/>
          <w:szCs w:val="24"/>
        </w:rPr>
        <w:t xml:space="preserve">The contract was signed following the floating of a tender by the defendant for the provision of security services under reference number ZH/RFP/13/2020. </w:t>
      </w:r>
      <w:r w:rsidR="009075B4">
        <w:rPr>
          <w:rFonts w:ascii="Times New Roman" w:hAnsi="Times New Roman" w:cs="Times New Roman"/>
          <w:sz w:val="24"/>
          <w:szCs w:val="24"/>
        </w:rPr>
        <w:t xml:space="preserve">In terms of clause 6 of the </w:t>
      </w:r>
      <w:r w:rsidR="00B33B5F">
        <w:rPr>
          <w:rFonts w:ascii="Times New Roman" w:hAnsi="Times New Roman" w:cs="Times New Roman"/>
          <w:sz w:val="24"/>
          <w:szCs w:val="24"/>
        </w:rPr>
        <w:t xml:space="preserve">contract, the plaintiff was </w:t>
      </w:r>
      <w:r w:rsidR="0052139E">
        <w:rPr>
          <w:rFonts w:ascii="Times New Roman" w:hAnsi="Times New Roman" w:cs="Times New Roman"/>
          <w:sz w:val="24"/>
          <w:szCs w:val="24"/>
        </w:rPr>
        <w:t xml:space="preserve">required </w:t>
      </w:r>
      <w:r w:rsidR="00B33B5F">
        <w:rPr>
          <w:rFonts w:ascii="Times New Roman" w:hAnsi="Times New Roman" w:cs="Times New Roman"/>
          <w:sz w:val="24"/>
          <w:szCs w:val="24"/>
        </w:rPr>
        <w:t>to provide the services at eleven (11) sites assigned by the defendant. The monthly charge for all the sites was ZWL $439 696.21, which was equivalent to US$5</w:t>
      </w:r>
      <w:r w:rsidR="009A6A96">
        <w:rPr>
          <w:rFonts w:ascii="Times New Roman" w:hAnsi="Times New Roman" w:cs="Times New Roman"/>
          <w:sz w:val="24"/>
          <w:szCs w:val="24"/>
        </w:rPr>
        <w:t xml:space="preserve"> </w:t>
      </w:r>
      <w:r w:rsidR="00B33B5F">
        <w:rPr>
          <w:rFonts w:ascii="Times New Roman" w:hAnsi="Times New Roman" w:cs="Times New Roman"/>
          <w:sz w:val="24"/>
          <w:szCs w:val="24"/>
        </w:rPr>
        <w:t xml:space="preserve">405.00. </w:t>
      </w:r>
    </w:p>
    <w:p w14:paraId="638FECF4" w14:textId="6A35CD3D" w:rsidR="00B613FF" w:rsidRDefault="00B33B5F" w:rsidP="003C6B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claims that the defendant breached the agreement between the parties by assigning only five sites at which the services would be rendered instead of eleven.</w:t>
      </w:r>
      <w:r w:rsidR="003C6B3C">
        <w:rPr>
          <w:rFonts w:ascii="Times New Roman" w:hAnsi="Times New Roman" w:cs="Times New Roman"/>
          <w:sz w:val="24"/>
          <w:szCs w:val="24"/>
        </w:rPr>
        <w:t xml:space="preserve"> According to the plaintiff, the remaining six sites that were not availed had a contract price of US$36</w:t>
      </w:r>
      <w:r w:rsidR="009A6A96">
        <w:rPr>
          <w:rFonts w:ascii="Times New Roman" w:hAnsi="Times New Roman" w:cs="Times New Roman"/>
          <w:sz w:val="24"/>
          <w:szCs w:val="24"/>
        </w:rPr>
        <w:t xml:space="preserve"> </w:t>
      </w:r>
      <w:r w:rsidR="003C6B3C">
        <w:rPr>
          <w:rFonts w:ascii="Times New Roman" w:hAnsi="Times New Roman" w:cs="Times New Roman"/>
          <w:sz w:val="24"/>
          <w:szCs w:val="24"/>
        </w:rPr>
        <w:t>660.00</w:t>
      </w:r>
      <w:r w:rsidR="00270501">
        <w:rPr>
          <w:rFonts w:ascii="Times New Roman" w:hAnsi="Times New Roman" w:cs="Times New Roman"/>
          <w:sz w:val="24"/>
          <w:szCs w:val="24"/>
        </w:rPr>
        <w:t xml:space="preserve">, which would have been paid </w:t>
      </w:r>
      <w:r w:rsidR="003C6B3C">
        <w:rPr>
          <w:rFonts w:ascii="Times New Roman" w:hAnsi="Times New Roman" w:cs="Times New Roman"/>
          <w:sz w:val="24"/>
          <w:szCs w:val="24"/>
        </w:rPr>
        <w:t xml:space="preserve">for </w:t>
      </w:r>
      <w:r w:rsidR="00270501">
        <w:rPr>
          <w:rFonts w:ascii="Times New Roman" w:hAnsi="Times New Roman" w:cs="Times New Roman"/>
          <w:sz w:val="24"/>
          <w:szCs w:val="24"/>
        </w:rPr>
        <w:t xml:space="preserve">a period of </w:t>
      </w:r>
      <w:r w:rsidR="003C6B3C">
        <w:rPr>
          <w:rFonts w:ascii="Times New Roman" w:hAnsi="Times New Roman" w:cs="Times New Roman"/>
          <w:sz w:val="24"/>
          <w:szCs w:val="24"/>
        </w:rPr>
        <w:t xml:space="preserve">twelve months. </w:t>
      </w:r>
      <w:r w:rsidR="00270501">
        <w:rPr>
          <w:rFonts w:ascii="Times New Roman" w:hAnsi="Times New Roman" w:cs="Times New Roman"/>
          <w:sz w:val="24"/>
          <w:szCs w:val="24"/>
        </w:rPr>
        <w:t>B</w:t>
      </w:r>
      <w:r w:rsidR="004D0C89">
        <w:rPr>
          <w:rFonts w:ascii="Times New Roman" w:hAnsi="Times New Roman" w:cs="Times New Roman"/>
          <w:sz w:val="24"/>
          <w:szCs w:val="24"/>
        </w:rPr>
        <w:t xml:space="preserve">ecause of the defendant’s breach, </w:t>
      </w:r>
      <w:r w:rsidR="00270501">
        <w:rPr>
          <w:rFonts w:ascii="Times New Roman" w:hAnsi="Times New Roman" w:cs="Times New Roman"/>
          <w:sz w:val="24"/>
          <w:szCs w:val="24"/>
        </w:rPr>
        <w:t xml:space="preserve">the plaintiff avers that </w:t>
      </w:r>
      <w:r w:rsidR="004D0C89">
        <w:rPr>
          <w:rFonts w:ascii="Times New Roman" w:hAnsi="Times New Roman" w:cs="Times New Roman"/>
          <w:sz w:val="24"/>
          <w:szCs w:val="24"/>
        </w:rPr>
        <w:t>it suffered damages in the sum of US$36</w:t>
      </w:r>
      <w:r w:rsidR="009A6A96">
        <w:rPr>
          <w:rFonts w:ascii="Times New Roman" w:hAnsi="Times New Roman" w:cs="Times New Roman"/>
          <w:sz w:val="24"/>
          <w:szCs w:val="24"/>
        </w:rPr>
        <w:t xml:space="preserve"> </w:t>
      </w:r>
      <w:r w:rsidR="004D0C89">
        <w:rPr>
          <w:rFonts w:ascii="Times New Roman" w:hAnsi="Times New Roman" w:cs="Times New Roman"/>
          <w:sz w:val="24"/>
          <w:szCs w:val="24"/>
        </w:rPr>
        <w:t xml:space="preserve">660.00, being the amount that it would have earned from the provision of security services at the said six sites. </w:t>
      </w:r>
    </w:p>
    <w:p w14:paraId="4BB4E385" w14:textId="618E6B29" w:rsidR="006509F7" w:rsidRDefault="004D0C89" w:rsidP="003C6B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to the plaintiff’s claim, the defendant’s raised a special plea a</w:t>
      </w:r>
      <w:r w:rsidR="00270501">
        <w:rPr>
          <w:rFonts w:ascii="Times New Roman" w:hAnsi="Times New Roman" w:cs="Times New Roman"/>
          <w:sz w:val="24"/>
          <w:szCs w:val="24"/>
        </w:rPr>
        <w:t xml:space="preserve">nd also pleaded </w:t>
      </w:r>
      <w:r>
        <w:rPr>
          <w:rFonts w:ascii="Times New Roman" w:hAnsi="Times New Roman" w:cs="Times New Roman"/>
          <w:sz w:val="24"/>
          <w:szCs w:val="24"/>
        </w:rPr>
        <w:t xml:space="preserve">to the merits of the claim. </w:t>
      </w:r>
      <w:r w:rsidR="006509F7">
        <w:rPr>
          <w:rFonts w:ascii="Times New Roman" w:hAnsi="Times New Roman" w:cs="Times New Roman"/>
          <w:sz w:val="24"/>
          <w:szCs w:val="24"/>
        </w:rPr>
        <w:t xml:space="preserve">The special plea raised two defences. The first was that the relief sought by the plaintiff was incompetent. </w:t>
      </w:r>
      <w:r w:rsidR="00A173E0">
        <w:rPr>
          <w:rFonts w:ascii="Times New Roman" w:hAnsi="Times New Roman" w:cs="Times New Roman"/>
          <w:sz w:val="24"/>
          <w:szCs w:val="24"/>
        </w:rPr>
        <w:t xml:space="preserve">This was because the plaintiff’s claim was couched in United States dollars, instead of the local currency. The transaction between the parties was a domestic one. The contract between the parties was denominated in local currency. The position of the law was that monetary obligations in respect of such transactions had to be settled in local currency. The claim was therefore bad at law and had to be dismissed. </w:t>
      </w:r>
    </w:p>
    <w:p w14:paraId="09B418A6" w14:textId="370382B4" w:rsidR="001A1A3C" w:rsidRDefault="001A1A3C" w:rsidP="003C6B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preliminary point was that the court had no jurisdiction to hear the matter. This was because in terms of the same contract, any dispute arising therefrom had to be referred to arbitration. The plaintiff had rushed to court before exhausting the available domestic remedies. The court was urged to dismiss the claim with costs on the higher scale. </w:t>
      </w:r>
    </w:p>
    <w:p w14:paraId="299476DB" w14:textId="13A1C7D2" w:rsidR="00270501" w:rsidRDefault="00270501" w:rsidP="003C6B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replication, the plaintiff admitted that although the claim was based in United States dollar currency, that amount was payable at the prevailing interbank rate. The plaintiff had since issued a notice to amend its claim in that regard. </w:t>
      </w:r>
      <w:r w:rsidR="00772DCA">
        <w:rPr>
          <w:rFonts w:ascii="Times New Roman" w:hAnsi="Times New Roman" w:cs="Times New Roman"/>
          <w:sz w:val="24"/>
          <w:szCs w:val="24"/>
        </w:rPr>
        <w:t>The claim was therefore properly before the court.</w:t>
      </w:r>
    </w:p>
    <w:p w14:paraId="733E3D15" w14:textId="151B61D8" w:rsidR="00270501" w:rsidRDefault="00270501" w:rsidP="003C6B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question of jurisdiction, the plaintiff denied that the court had no jurisdiction to hear the matter. It averred that no evidence was placed before the court to enable the court to decide whether the arbitration clause constituted an arbitration agreement or not. </w:t>
      </w:r>
      <w:r w:rsidR="00772DCA">
        <w:rPr>
          <w:rFonts w:ascii="Times New Roman" w:hAnsi="Times New Roman" w:cs="Times New Roman"/>
          <w:sz w:val="24"/>
          <w:szCs w:val="24"/>
        </w:rPr>
        <w:t xml:space="preserve">It further denied that the arbitration clause had the effect of ousting the jurisdiction of the court. </w:t>
      </w:r>
      <w:r w:rsidR="00546827">
        <w:rPr>
          <w:rFonts w:ascii="Times New Roman" w:hAnsi="Times New Roman" w:cs="Times New Roman"/>
          <w:sz w:val="24"/>
          <w:szCs w:val="24"/>
        </w:rPr>
        <w:t xml:space="preserve">An arbitration clause only had the effect of staying proceedings. In the event that the court was persuaded that the clause constituted an arbitration agreement, then the court proceedings could be stayed pending the arbitration proceedings. </w:t>
      </w:r>
    </w:p>
    <w:p w14:paraId="5CFFE616" w14:textId="0717EA39" w:rsidR="001A1A3C" w:rsidRDefault="001A1A3C" w:rsidP="001A1A3C">
      <w:pPr>
        <w:spacing w:after="0" w:line="360" w:lineRule="auto"/>
        <w:jc w:val="both"/>
        <w:rPr>
          <w:rFonts w:ascii="Times New Roman" w:hAnsi="Times New Roman" w:cs="Times New Roman"/>
          <w:b/>
          <w:bCs/>
          <w:sz w:val="24"/>
          <w:szCs w:val="24"/>
        </w:rPr>
      </w:pPr>
      <w:r w:rsidRPr="001A1A3C">
        <w:rPr>
          <w:rFonts w:ascii="Times New Roman" w:hAnsi="Times New Roman" w:cs="Times New Roman"/>
          <w:b/>
          <w:bCs/>
          <w:sz w:val="24"/>
          <w:szCs w:val="24"/>
        </w:rPr>
        <w:t xml:space="preserve">The Submissions </w:t>
      </w:r>
    </w:p>
    <w:p w14:paraId="4AFD6559" w14:textId="1FECDD85" w:rsidR="003327A3" w:rsidRPr="00546827" w:rsidRDefault="00C251A5" w:rsidP="001A1A3C">
      <w:pPr>
        <w:spacing w:after="0" w:line="360" w:lineRule="auto"/>
        <w:jc w:val="both"/>
        <w:rPr>
          <w:rFonts w:ascii="Times New Roman" w:hAnsi="Times New Roman" w:cs="Times New Roman"/>
          <w:sz w:val="24"/>
          <w:szCs w:val="24"/>
        </w:rPr>
      </w:pPr>
      <w:r w:rsidRPr="00C251A5">
        <w:rPr>
          <w:rFonts w:ascii="Times New Roman" w:hAnsi="Times New Roman" w:cs="Times New Roman"/>
          <w:sz w:val="24"/>
          <w:szCs w:val="24"/>
        </w:rPr>
        <w:tab/>
      </w:r>
      <w:r w:rsidR="003327A3">
        <w:rPr>
          <w:rFonts w:ascii="Times New Roman" w:hAnsi="Times New Roman" w:cs="Times New Roman"/>
          <w:sz w:val="24"/>
          <w:szCs w:val="24"/>
        </w:rPr>
        <w:t>The defendant’s heads of argument were issued and filed on 8 December 2021, while the plaintiff’s heads of argument were</w:t>
      </w:r>
      <w:r w:rsidR="00586DDA">
        <w:rPr>
          <w:rFonts w:ascii="Times New Roman" w:hAnsi="Times New Roman" w:cs="Times New Roman"/>
          <w:sz w:val="24"/>
          <w:szCs w:val="24"/>
        </w:rPr>
        <w:t xml:space="preserve"> issued and</w:t>
      </w:r>
      <w:r w:rsidR="003327A3">
        <w:rPr>
          <w:rFonts w:ascii="Times New Roman" w:hAnsi="Times New Roman" w:cs="Times New Roman"/>
          <w:sz w:val="24"/>
          <w:szCs w:val="24"/>
        </w:rPr>
        <w:t xml:space="preserve"> filed on 20 December 2021. On the same day, the </w:t>
      </w:r>
      <w:r w:rsidR="00546827">
        <w:rPr>
          <w:rFonts w:ascii="Times New Roman" w:hAnsi="Times New Roman" w:cs="Times New Roman"/>
          <w:sz w:val="24"/>
          <w:szCs w:val="24"/>
        </w:rPr>
        <w:t>plaintiff</w:t>
      </w:r>
      <w:r w:rsidR="003327A3">
        <w:rPr>
          <w:rFonts w:ascii="Times New Roman" w:hAnsi="Times New Roman" w:cs="Times New Roman"/>
          <w:sz w:val="24"/>
          <w:szCs w:val="24"/>
        </w:rPr>
        <w:t xml:space="preserve"> also </w:t>
      </w:r>
      <w:r w:rsidR="00586DDA">
        <w:rPr>
          <w:rFonts w:ascii="Times New Roman" w:hAnsi="Times New Roman" w:cs="Times New Roman"/>
          <w:sz w:val="24"/>
          <w:szCs w:val="24"/>
        </w:rPr>
        <w:t xml:space="preserve">caused to be issued and filed a notice of amendment to the summons and declaration as well as its replication to the defendant’s plea. </w:t>
      </w:r>
      <w:r w:rsidR="003327A3">
        <w:rPr>
          <w:rFonts w:ascii="Times New Roman" w:hAnsi="Times New Roman" w:cs="Times New Roman"/>
          <w:sz w:val="24"/>
          <w:szCs w:val="24"/>
        </w:rPr>
        <w:t xml:space="preserve">In his oral submissions, Mr </w:t>
      </w:r>
      <w:r w:rsidR="003327A3" w:rsidRPr="00586DDA">
        <w:rPr>
          <w:rFonts w:ascii="Times New Roman" w:hAnsi="Times New Roman" w:cs="Times New Roman"/>
          <w:i/>
          <w:iCs/>
          <w:sz w:val="24"/>
          <w:szCs w:val="24"/>
        </w:rPr>
        <w:t xml:space="preserve">Mahara </w:t>
      </w:r>
      <w:r w:rsidR="003327A3">
        <w:rPr>
          <w:rFonts w:ascii="Times New Roman" w:hAnsi="Times New Roman" w:cs="Times New Roman"/>
          <w:sz w:val="24"/>
          <w:szCs w:val="24"/>
        </w:rPr>
        <w:t>for the def</w:t>
      </w:r>
      <w:r w:rsidR="00586DDA">
        <w:rPr>
          <w:rFonts w:ascii="Times New Roman" w:hAnsi="Times New Roman" w:cs="Times New Roman"/>
          <w:sz w:val="24"/>
          <w:szCs w:val="24"/>
        </w:rPr>
        <w:t xml:space="preserve">endant submitted that the defendant </w:t>
      </w:r>
      <w:r w:rsidR="00546827">
        <w:rPr>
          <w:rFonts w:ascii="Times New Roman" w:hAnsi="Times New Roman" w:cs="Times New Roman"/>
          <w:sz w:val="24"/>
          <w:szCs w:val="24"/>
        </w:rPr>
        <w:t xml:space="preserve">was persisting </w:t>
      </w:r>
      <w:r w:rsidR="00586DDA">
        <w:rPr>
          <w:rFonts w:ascii="Times New Roman" w:hAnsi="Times New Roman" w:cs="Times New Roman"/>
          <w:sz w:val="24"/>
          <w:szCs w:val="24"/>
        </w:rPr>
        <w:t xml:space="preserve">with the special plea despite the notice of amendment filed by the plaintiff. This was because the plaintiff had not complied </w:t>
      </w:r>
      <w:r w:rsidR="00586DDA" w:rsidRPr="00546827">
        <w:rPr>
          <w:rFonts w:ascii="Times New Roman" w:hAnsi="Times New Roman" w:cs="Times New Roman"/>
          <w:sz w:val="24"/>
          <w:szCs w:val="24"/>
        </w:rPr>
        <w:t xml:space="preserve">with r 41(5) of the High Court rules, and accordingly no amendment had been </w:t>
      </w:r>
      <w:r w:rsidR="00546827">
        <w:rPr>
          <w:rFonts w:ascii="Times New Roman" w:hAnsi="Times New Roman" w:cs="Times New Roman"/>
          <w:sz w:val="24"/>
          <w:szCs w:val="24"/>
        </w:rPr>
        <w:t xml:space="preserve">made to the summons and declaration. </w:t>
      </w:r>
      <w:r w:rsidR="00586DDA" w:rsidRPr="00546827">
        <w:rPr>
          <w:rFonts w:ascii="Times New Roman" w:hAnsi="Times New Roman" w:cs="Times New Roman"/>
          <w:sz w:val="24"/>
          <w:szCs w:val="24"/>
        </w:rPr>
        <w:t xml:space="preserve"> </w:t>
      </w:r>
    </w:p>
    <w:p w14:paraId="3FDFFBD0" w14:textId="11F41F5B" w:rsidR="003327A3" w:rsidRDefault="00C251A5" w:rsidP="003327A3">
      <w:pPr>
        <w:spacing w:after="0" w:line="360" w:lineRule="auto"/>
        <w:ind w:firstLine="720"/>
        <w:jc w:val="both"/>
        <w:rPr>
          <w:rFonts w:ascii="Times New Roman" w:hAnsi="Times New Roman" w:cs="Times New Roman"/>
          <w:sz w:val="24"/>
          <w:szCs w:val="24"/>
        </w:rPr>
      </w:pPr>
      <w:r w:rsidRPr="00C251A5">
        <w:rPr>
          <w:rFonts w:ascii="Times New Roman" w:hAnsi="Times New Roman" w:cs="Times New Roman"/>
          <w:sz w:val="24"/>
          <w:szCs w:val="24"/>
        </w:rPr>
        <w:lastRenderedPageBreak/>
        <w:t xml:space="preserve">In its </w:t>
      </w:r>
      <w:r>
        <w:rPr>
          <w:rFonts w:ascii="Times New Roman" w:hAnsi="Times New Roman" w:cs="Times New Roman"/>
          <w:sz w:val="24"/>
          <w:szCs w:val="24"/>
        </w:rPr>
        <w:t>heads of argument, the defendant submitted that Statutory Instrument 212 of 2019</w:t>
      </w:r>
      <w:r w:rsidR="0032191B">
        <w:rPr>
          <w:rFonts w:ascii="Times New Roman" w:hAnsi="Times New Roman" w:cs="Times New Roman"/>
          <w:sz w:val="24"/>
          <w:szCs w:val="24"/>
        </w:rPr>
        <w:t xml:space="preserve"> (the Instrument)</w:t>
      </w:r>
      <w:r>
        <w:rPr>
          <w:rFonts w:ascii="Times New Roman" w:hAnsi="Times New Roman" w:cs="Times New Roman"/>
          <w:sz w:val="24"/>
          <w:szCs w:val="24"/>
        </w:rPr>
        <w:t xml:space="preserve">, made it unlawful for commerce </w:t>
      </w:r>
      <w:r w:rsidR="001D0EE8">
        <w:rPr>
          <w:rFonts w:ascii="Times New Roman" w:hAnsi="Times New Roman" w:cs="Times New Roman"/>
          <w:sz w:val="24"/>
          <w:szCs w:val="24"/>
        </w:rPr>
        <w:t xml:space="preserve">to be conducted in any other currency other than the local currency. </w:t>
      </w:r>
      <w:r w:rsidR="003327A3">
        <w:rPr>
          <w:rFonts w:ascii="Times New Roman" w:hAnsi="Times New Roman" w:cs="Times New Roman"/>
          <w:sz w:val="24"/>
          <w:szCs w:val="24"/>
        </w:rPr>
        <w:t xml:space="preserve">Section 3(1) of the said instrument provides for the exclusive use of the Zimbabwean currency for domestic transactions. That section provides that no person who is party to a domestic transaction shall pay or receive as the price or the value of any consideration payable or receivable in respect of such transaction any currency other than the Zimbabwean dollar. </w:t>
      </w:r>
      <w:bookmarkStart w:id="1" w:name="_Hlk155627755"/>
      <w:r w:rsidR="003327A3">
        <w:rPr>
          <w:rFonts w:ascii="Times New Roman" w:hAnsi="Times New Roman" w:cs="Times New Roman"/>
          <w:sz w:val="24"/>
          <w:szCs w:val="24"/>
        </w:rPr>
        <w:t>The same instrument define</w:t>
      </w:r>
      <w:r w:rsidR="008A60DE">
        <w:rPr>
          <w:rFonts w:ascii="Times New Roman" w:hAnsi="Times New Roman" w:cs="Times New Roman"/>
          <w:sz w:val="24"/>
          <w:szCs w:val="24"/>
        </w:rPr>
        <w:t>s</w:t>
      </w:r>
      <w:r w:rsidR="003327A3">
        <w:rPr>
          <w:rFonts w:ascii="Times New Roman" w:hAnsi="Times New Roman" w:cs="Times New Roman"/>
          <w:sz w:val="24"/>
          <w:szCs w:val="24"/>
        </w:rPr>
        <w:t xml:space="preserve"> domestic transaction </w:t>
      </w:r>
      <w:r w:rsidR="0032191B">
        <w:rPr>
          <w:rFonts w:ascii="Times New Roman" w:hAnsi="Times New Roman" w:cs="Times New Roman"/>
          <w:sz w:val="24"/>
          <w:szCs w:val="24"/>
        </w:rPr>
        <w:t xml:space="preserve">in s 2(1) </w:t>
      </w:r>
      <w:r w:rsidR="003327A3">
        <w:rPr>
          <w:rFonts w:ascii="Times New Roman" w:hAnsi="Times New Roman" w:cs="Times New Roman"/>
          <w:sz w:val="24"/>
          <w:szCs w:val="24"/>
        </w:rPr>
        <w:t>to mean any transaction within Zimbabwe whereby goods or services are offered for sale or attempted to be offered for sale.</w:t>
      </w:r>
      <w:bookmarkEnd w:id="1"/>
      <w:r w:rsidR="00586DDA">
        <w:rPr>
          <w:rFonts w:ascii="Times New Roman" w:hAnsi="Times New Roman" w:cs="Times New Roman"/>
          <w:sz w:val="24"/>
          <w:szCs w:val="24"/>
        </w:rPr>
        <w:t xml:space="preserve"> In the furtherance of its argument that the plaintiff’s claim ought to have been made in local currency, the defendant cited the case of </w:t>
      </w:r>
      <w:r w:rsidR="00586DDA" w:rsidRPr="00586DDA">
        <w:rPr>
          <w:rFonts w:ascii="Times New Roman" w:hAnsi="Times New Roman" w:cs="Times New Roman"/>
          <w:i/>
          <w:iCs/>
          <w:sz w:val="24"/>
          <w:szCs w:val="24"/>
        </w:rPr>
        <w:t xml:space="preserve">Breastplate Service (Private) Limited </w:t>
      </w:r>
      <w:r w:rsidR="00586DDA" w:rsidRPr="009A6A96">
        <w:rPr>
          <w:rFonts w:ascii="Times New Roman" w:hAnsi="Times New Roman" w:cs="Times New Roman"/>
          <w:sz w:val="24"/>
          <w:szCs w:val="24"/>
        </w:rPr>
        <w:t xml:space="preserve">v </w:t>
      </w:r>
      <w:r w:rsidR="00586DDA" w:rsidRPr="00586DDA">
        <w:rPr>
          <w:rFonts w:ascii="Times New Roman" w:hAnsi="Times New Roman" w:cs="Times New Roman"/>
          <w:i/>
          <w:iCs/>
          <w:sz w:val="24"/>
          <w:szCs w:val="24"/>
        </w:rPr>
        <w:t>Cambria Africa PLC</w:t>
      </w:r>
      <w:r w:rsidR="00586DDA">
        <w:rPr>
          <w:rFonts w:ascii="Times New Roman" w:hAnsi="Times New Roman" w:cs="Times New Roman"/>
          <w:i/>
          <w:iCs/>
          <w:sz w:val="24"/>
          <w:szCs w:val="24"/>
        </w:rPr>
        <w:t xml:space="preserve">, </w:t>
      </w:r>
      <w:r w:rsidR="009D716A">
        <w:rPr>
          <w:rFonts w:ascii="Times New Roman" w:hAnsi="Times New Roman" w:cs="Times New Roman"/>
          <w:sz w:val="24"/>
          <w:szCs w:val="24"/>
        </w:rPr>
        <w:t>which further dealt with the issue of domestic transactions</w:t>
      </w:r>
      <w:r w:rsidR="00C4453A">
        <w:rPr>
          <w:rFonts w:ascii="Times New Roman" w:hAnsi="Times New Roman" w:cs="Times New Roman"/>
          <w:sz w:val="24"/>
          <w:szCs w:val="24"/>
        </w:rPr>
        <w:t xml:space="preserve"> in terms of the said instrument</w:t>
      </w:r>
      <w:r w:rsidR="009D716A">
        <w:rPr>
          <w:rFonts w:ascii="Times New Roman" w:hAnsi="Times New Roman" w:cs="Times New Roman"/>
          <w:sz w:val="24"/>
          <w:szCs w:val="24"/>
        </w:rPr>
        <w:t xml:space="preserve">. </w:t>
      </w:r>
    </w:p>
    <w:p w14:paraId="31B4C8A7" w14:textId="7F6C460A" w:rsidR="00D47C77" w:rsidRDefault="00D47C77" w:rsidP="00332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D47C77">
        <w:rPr>
          <w:rFonts w:ascii="Times New Roman" w:hAnsi="Times New Roman" w:cs="Times New Roman"/>
          <w:i/>
          <w:iCs/>
          <w:sz w:val="24"/>
          <w:szCs w:val="24"/>
        </w:rPr>
        <w:t>Ndoro</w:t>
      </w:r>
      <w:r>
        <w:rPr>
          <w:rFonts w:ascii="Times New Roman" w:hAnsi="Times New Roman" w:cs="Times New Roman"/>
          <w:sz w:val="24"/>
          <w:szCs w:val="24"/>
        </w:rPr>
        <w:t xml:space="preserve"> for the plaintiff submitted that the issue about the amendment to the claim was for the trial court to deal with. </w:t>
      </w:r>
      <w:r w:rsidR="004E1E32">
        <w:rPr>
          <w:rFonts w:ascii="Times New Roman" w:hAnsi="Times New Roman" w:cs="Times New Roman"/>
          <w:sz w:val="24"/>
          <w:szCs w:val="24"/>
        </w:rPr>
        <w:t xml:space="preserve">The issue before the court called for the interpretation of the contract at the trial stage, and not </w:t>
      </w:r>
      <w:r w:rsidR="00C4453A">
        <w:rPr>
          <w:rFonts w:ascii="Times New Roman" w:hAnsi="Times New Roman" w:cs="Times New Roman"/>
          <w:sz w:val="24"/>
          <w:szCs w:val="24"/>
        </w:rPr>
        <w:t xml:space="preserve">at </w:t>
      </w:r>
      <w:r w:rsidR="004E1E32">
        <w:rPr>
          <w:rFonts w:ascii="Times New Roman" w:hAnsi="Times New Roman" w:cs="Times New Roman"/>
          <w:sz w:val="24"/>
          <w:szCs w:val="24"/>
        </w:rPr>
        <w:t xml:space="preserve">this stage of the proceedings. Counsel further submitted that the plaintiff was not barred </w:t>
      </w:r>
      <w:r w:rsidR="00C4453A">
        <w:rPr>
          <w:rFonts w:ascii="Times New Roman" w:hAnsi="Times New Roman" w:cs="Times New Roman"/>
          <w:sz w:val="24"/>
          <w:szCs w:val="24"/>
        </w:rPr>
        <w:t xml:space="preserve">from making </w:t>
      </w:r>
      <w:r w:rsidR="004E1E32">
        <w:rPr>
          <w:rFonts w:ascii="Times New Roman" w:hAnsi="Times New Roman" w:cs="Times New Roman"/>
          <w:sz w:val="24"/>
          <w:szCs w:val="24"/>
        </w:rPr>
        <w:t xml:space="preserve">an amendment to its claim at this stage of the proceedings. </w:t>
      </w:r>
    </w:p>
    <w:p w14:paraId="107FD35A" w14:textId="3D0DA0E4" w:rsidR="00B16A0A" w:rsidRDefault="00B16A0A" w:rsidP="00332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heads of argument, the plaintiff admitted that the contract created </w:t>
      </w:r>
      <w:r w:rsidR="00C4453A">
        <w:rPr>
          <w:rFonts w:ascii="Times New Roman" w:hAnsi="Times New Roman" w:cs="Times New Roman"/>
          <w:sz w:val="24"/>
          <w:szCs w:val="24"/>
        </w:rPr>
        <w:t xml:space="preserve">domestic </w:t>
      </w:r>
      <w:r>
        <w:rPr>
          <w:rFonts w:ascii="Times New Roman" w:hAnsi="Times New Roman" w:cs="Times New Roman"/>
          <w:sz w:val="24"/>
          <w:szCs w:val="24"/>
        </w:rPr>
        <w:t xml:space="preserve">obligations in terms of which payments were to be settled in local currency. </w:t>
      </w:r>
      <w:r w:rsidR="00681DDB">
        <w:rPr>
          <w:rFonts w:ascii="Times New Roman" w:hAnsi="Times New Roman" w:cs="Times New Roman"/>
          <w:sz w:val="24"/>
          <w:szCs w:val="24"/>
        </w:rPr>
        <w:t>Though the plaintiff’s claim was denominated in the United States dollar</w:t>
      </w:r>
      <w:r w:rsidR="00C4453A">
        <w:rPr>
          <w:rFonts w:ascii="Times New Roman" w:hAnsi="Times New Roman" w:cs="Times New Roman"/>
          <w:sz w:val="24"/>
          <w:szCs w:val="24"/>
        </w:rPr>
        <w:t xml:space="preserve"> currency</w:t>
      </w:r>
      <w:r w:rsidR="00681DDB">
        <w:rPr>
          <w:rFonts w:ascii="Times New Roman" w:hAnsi="Times New Roman" w:cs="Times New Roman"/>
          <w:sz w:val="24"/>
          <w:szCs w:val="24"/>
        </w:rPr>
        <w:t xml:space="preserve">, </w:t>
      </w:r>
      <w:r w:rsidR="009A6C8B">
        <w:rPr>
          <w:rFonts w:ascii="Times New Roman" w:hAnsi="Times New Roman" w:cs="Times New Roman"/>
          <w:sz w:val="24"/>
          <w:szCs w:val="24"/>
        </w:rPr>
        <w:t>it was still going to be settled in local currency at the prevailing interbank rate. The plaintiff further submitted that at any rate, the fact that the plaintiff’s claim was denominated in United States dollar</w:t>
      </w:r>
      <w:r w:rsidR="00F816C2">
        <w:rPr>
          <w:rFonts w:ascii="Times New Roman" w:hAnsi="Times New Roman" w:cs="Times New Roman"/>
          <w:sz w:val="24"/>
          <w:szCs w:val="24"/>
        </w:rPr>
        <w:t>s</w:t>
      </w:r>
      <w:r w:rsidR="009A6C8B">
        <w:rPr>
          <w:rFonts w:ascii="Times New Roman" w:hAnsi="Times New Roman" w:cs="Times New Roman"/>
          <w:sz w:val="24"/>
          <w:szCs w:val="24"/>
        </w:rPr>
        <w:t xml:space="preserve"> did not nullify the proceedings. It was a</w:t>
      </w:r>
      <w:r w:rsidR="00F816C2">
        <w:rPr>
          <w:rFonts w:ascii="Times New Roman" w:hAnsi="Times New Roman" w:cs="Times New Roman"/>
          <w:sz w:val="24"/>
          <w:szCs w:val="24"/>
        </w:rPr>
        <w:t xml:space="preserve">n issue for the </w:t>
      </w:r>
      <w:r w:rsidR="009A6C8B">
        <w:rPr>
          <w:rFonts w:ascii="Times New Roman" w:hAnsi="Times New Roman" w:cs="Times New Roman"/>
          <w:sz w:val="24"/>
          <w:szCs w:val="24"/>
        </w:rPr>
        <w:t xml:space="preserve">merits. It called upon the court to determine whether the obligation was a local one or not. The point had therefore been </w:t>
      </w:r>
      <w:r w:rsidR="00F816C2">
        <w:rPr>
          <w:rFonts w:ascii="Times New Roman" w:hAnsi="Times New Roman" w:cs="Times New Roman"/>
          <w:sz w:val="24"/>
          <w:szCs w:val="24"/>
        </w:rPr>
        <w:t xml:space="preserve">raised </w:t>
      </w:r>
      <w:r w:rsidR="009A6C8B">
        <w:rPr>
          <w:rFonts w:ascii="Times New Roman" w:hAnsi="Times New Roman" w:cs="Times New Roman"/>
          <w:sz w:val="24"/>
          <w:szCs w:val="24"/>
        </w:rPr>
        <w:t xml:space="preserve">prematurely. </w:t>
      </w:r>
    </w:p>
    <w:p w14:paraId="236EB4AE" w14:textId="12B7C20A" w:rsidR="004674FB" w:rsidRDefault="004674FB" w:rsidP="00332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second preliminary point</w:t>
      </w:r>
      <w:r w:rsidR="007F7A46">
        <w:rPr>
          <w:rFonts w:ascii="Times New Roman" w:hAnsi="Times New Roman" w:cs="Times New Roman"/>
          <w:sz w:val="24"/>
          <w:szCs w:val="24"/>
        </w:rPr>
        <w:t xml:space="preserve"> Mr </w:t>
      </w:r>
      <w:r w:rsidR="007F7A46" w:rsidRPr="007F7A46">
        <w:rPr>
          <w:rFonts w:ascii="Times New Roman" w:hAnsi="Times New Roman" w:cs="Times New Roman"/>
          <w:i/>
          <w:iCs/>
          <w:sz w:val="24"/>
          <w:szCs w:val="24"/>
        </w:rPr>
        <w:t>Mahara</w:t>
      </w:r>
      <w:r w:rsidR="007F7A46">
        <w:rPr>
          <w:rFonts w:ascii="Times New Roman" w:hAnsi="Times New Roman" w:cs="Times New Roman"/>
          <w:sz w:val="24"/>
          <w:szCs w:val="24"/>
        </w:rPr>
        <w:t xml:space="preserve"> submitted that </w:t>
      </w:r>
      <w:r w:rsidR="002E5D6E">
        <w:rPr>
          <w:rFonts w:ascii="Times New Roman" w:hAnsi="Times New Roman" w:cs="Times New Roman"/>
          <w:sz w:val="24"/>
          <w:szCs w:val="24"/>
        </w:rPr>
        <w:t xml:space="preserve">clause 17 of the General Conditions of Contract contained an arbitration clause which required the parties to submit themselves to arbitration in the event of a dispute. </w:t>
      </w:r>
      <w:r w:rsidR="00420B52">
        <w:rPr>
          <w:rFonts w:ascii="Times New Roman" w:hAnsi="Times New Roman" w:cs="Times New Roman"/>
          <w:sz w:val="24"/>
          <w:szCs w:val="24"/>
        </w:rPr>
        <w:t xml:space="preserve">He further submitted that from a reading of the clause, it was mandatory that the parties submit themselves to a negotiation process which was then followed by the referral of the matter to arbitration. Counsel further submitted that the use of the word “may give notice” in clause 17.2 of the contract did not necessarily mean that the </w:t>
      </w:r>
      <w:r w:rsidR="00420B52">
        <w:rPr>
          <w:rFonts w:ascii="Times New Roman" w:hAnsi="Times New Roman" w:cs="Times New Roman"/>
          <w:sz w:val="24"/>
          <w:szCs w:val="24"/>
        </w:rPr>
        <w:lastRenderedPageBreak/>
        <w:t>arbitration clause was not binding. The word “may” as used in the clause was just confined to the giving of notice by either party intent on referring the matter to arbitration.</w:t>
      </w:r>
    </w:p>
    <w:p w14:paraId="64D4B609" w14:textId="3F592CAE" w:rsidR="00116491" w:rsidRDefault="00420B52" w:rsidP="00332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420B52">
        <w:rPr>
          <w:rFonts w:ascii="Times New Roman" w:hAnsi="Times New Roman" w:cs="Times New Roman"/>
          <w:i/>
          <w:iCs/>
          <w:sz w:val="24"/>
          <w:szCs w:val="24"/>
        </w:rPr>
        <w:t xml:space="preserve">Ndoro </w:t>
      </w:r>
      <w:r>
        <w:rPr>
          <w:rFonts w:ascii="Times New Roman" w:hAnsi="Times New Roman" w:cs="Times New Roman"/>
          <w:sz w:val="24"/>
          <w:szCs w:val="24"/>
        </w:rPr>
        <w:t xml:space="preserve">submitted that from a reading of the clause, it was clear that </w:t>
      </w:r>
      <w:r w:rsidR="008E137A">
        <w:rPr>
          <w:rFonts w:ascii="Times New Roman" w:hAnsi="Times New Roman" w:cs="Times New Roman"/>
          <w:sz w:val="24"/>
          <w:szCs w:val="24"/>
        </w:rPr>
        <w:t xml:space="preserve">arbitration was not mandatory. Counsel cited the remarks of </w:t>
      </w:r>
      <w:r w:rsidR="008E137A" w:rsidRPr="009A6A96">
        <w:rPr>
          <w:rFonts w:ascii="Times New Roman" w:hAnsi="Times New Roman" w:cs="Times New Roman"/>
          <w:sz w:val="24"/>
          <w:szCs w:val="24"/>
        </w:rPr>
        <w:t>TAKUVA J</w:t>
      </w:r>
      <w:r w:rsidR="008E137A">
        <w:rPr>
          <w:rFonts w:ascii="Times New Roman" w:hAnsi="Times New Roman" w:cs="Times New Roman"/>
          <w:sz w:val="24"/>
          <w:szCs w:val="24"/>
        </w:rPr>
        <w:t xml:space="preserve"> in the case of </w:t>
      </w:r>
      <w:r w:rsidR="008E137A" w:rsidRPr="008E137A">
        <w:rPr>
          <w:rFonts w:ascii="Times New Roman" w:hAnsi="Times New Roman" w:cs="Times New Roman"/>
          <w:i/>
          <w:iCs/>
          <w:sz w:val="24"/>
          <w:szCs w:val="24"/>
        </w:rPr>
        <w:t xml:space="preserve">Olcraft (Pvt) Ltd t/a Flora Unlimited </w:t>
      </w:r>
      <w:r w:rsidR="008E137A" w:rsidRPr="009A6A96">
        <w:rPr>
          <w:rFonts w:ascii="Times New Roman" w:hAnsi="Times New Roman" w:cs="Times New Roman"/>
          <w:sz w:val="24"/>
          <w:szCs w:val="24"/>
        </w:rPr>
        <w:t xml:space="preserve">v </w:t>
      </w:r>
      <w:r w:rsidR="008E137A" w:rsidRPr="008E137A">
        <w:rPr>
          <w:rFonts w:ascii="Times New Roman" w:hAnsi="Times New Roman" w:cs="Times New Roman"/>
          <w:i/>
          <w:iCs/>
          <w:sz w:val="24"/>
          <w:szCs w:val="24"/>
        </w:rPr>
        <w:t>FC Platinum &amp; Another</w:t>
      </w:r>
      <w:r w:rsidR="008E137A">
        <w:rPr>
          <w:rStyle w:val="FootnoteReference"/>
          <w:rFonts w:ascii="Times New Roman" w:hAnsi="Times New Roman" w:cs="Times New Roman"/>
          <w:i/>
          <w:iCs/>
          <w:sz w:val="24"/>
          <w:szCs w:val="24"/>
        </w:rPr>
        <w:footnoteReference w:id="1"/>
      </w:r>
      <w:r w:rsidR="008E137A">
        <w:rPr>
          <w:rFonts w:ascii="Times New Roman" w:hAnsi="Times New Roman" w:cs="Times New Roman"/>
          <w:i/>
          <w:iCs/>
          <w:sz w:val="24"/>
          <w:szCs w:val="24"/>
        </w:rPr>
        <w:t xml:space="preserve">, </w:t>
      </w:r>
      <w:r w:rsidR="008E137A">
        <w:rPr>
          <w:rFonts w:ascii="Times New Roman" w:hAnsi="Times New Roman" w:cs="Times New Roman"/>
          <w:sz w:val="24"/>
          <w:szCs w:val="24"/>
        </w:rPr>
        <w:t xml:space="preserve">where the learned judge held that the use of the </w:t>
      </w:r>
      <w:r w:rsidR="00B06735">
        <w:rPr>
          <w:rFonts w:ascii="Times New Roman" w:hAnsi="Times New Roman" w:cs="Times New Roman"/>
          <w:sz w:val="24"/>
          <w:szCs w:val="24"/>
        </w:rPr>
        <w:t xml:space="preserve">term </w:t>
      </w:r>
      <w:r w:rsidR="008E137A" w:rsidRPr="009A6A96">
        <w:rPr>
          <w:rFonts w:ascii="Times New Roman" w:hAnsi="Times New Roman" w:cs="Times New Roman"/>
          <w:sz w:val="24"/>
          <w:szCs w:val="24"/>
        </w:rPr>
        <w:t>“may”</w:t>
      </w:r>
      <w:r w:rsidR="008E137A">
        <w:rPr>
          <w:rFonts w:ascii="Times New Roman" w:hAnsi="Times New Roman" w:cs="Times New Roman"/>
          <w:sz w:val="24"/>
          <w:szCs w:val="24"/>
        </w:rPr>
        <w:t xml:space="preserve"> instead of </w:t>
      </w:r>
      <w:r w:rsidR="008E137A" w:rsidRPr="009A6A96">
        <w:rPr>
          <w:rFonts w:ascii="Times New Roman" w:hAnsi="Times New Roman" w:cs="Times New Roman"/>
          <w:sz w:val="24"/>
          <w:szCs w:val="24"/>
        </w:rPr>
        <w:t>“shall”</w:t>
      </w:r>
      <w:r w:rsidR="008E137A" w:rsidRPr="008E137A">
        <w:rPr>
          <w:rFonts w:ascii="Times New Roman" w:hAnsi="Times New Roman" w:cs="Times New Roman"/>
          <w:i/>
          <w:iCs/>
          <w:sz w:val="24"/>
          <w:szCs w:val="24"/>
        </w:rPr>
        <w:t>,</w:t>
      </w:r>
      <w:r w:rsidR="008E137A">
        <w:rPr>
          <w:rFonts w:ascii="Times New Roman" w:hAnsi="Times New Roman" w:cs="Times New Roman"/>
          <w:sz w:val="24"/>
          <w:szCs w:val="24"/>
        </w:rPr>
        <w:t xml:space="preserve"> in the wording of what the parties construed as the arbitration clause</w:t>
      </w:r>
      <w:r w:rsidR="00F816C2">
        <w:rPr>
          <w:rFonts w:ascii="Times New Roman" w:hAnsi="Times New Roman" w:cs="Times New Roman"/>
          <w:sz w:val="24"/>
          <w:szCs w:val="24"/>
        </w:rPr>
        <w:t xml:space="preserve">, </w:t>
      </w:r>
      <w:r w:rsidR="008E137A">
        <w:rPr>
          <w:rFonts w:ascii="Times New Roman" w:hAnsi="Times New Roman" w:cs="Times New Roman"/>
          <w:sz w:val="24"/>
          <w:szCs w:val="24"/>
        </w:rPr>
        <w:t>meant that the jurisdiction of the court was not ousted.</w:t>
      </w:r>
    </w:p>
    <w:p w14:paraId="51251CFD" w14:textId="6EFCE666" w:rsidR="009A6C8B" w:rsidRDefault="009A6C8B" w:rsidP="009A6C8B">
      <w:pPr>
        <w:spacing w:after="0" w:line="360" w:lineRule="auto"/>
        <w:jc w:val="both"/>
        <w:rPr>
          <w:rFonts w:ascii="Times New Roman" w:hAnsi="Times New Roman" w:cs="Times New Roman"/>
          <w:b/>
          <w:bCs/>
          <w:sz w:val="24"/>
          <w:szCs w:val="24"/>
        </w:rPr>
      </w:pPr>
      <w:r w:rsidRPr="009A6C8B">
        <w:rPr>
          <w:rFonts w:ascii="Times New Roman" w:hAnsi="Times New Roman" w:cs="Times New Roman"/>
          <w:b/>
          <w:bCs/>
          <w:sz w:val="24"/>
          <w:szCs w:val="24"/>
        </w:rPr>
        <w:t xml:space="preserve">The Analysis </w:t>
      </w:r>
    </w:p>
    <w:p w14:paraId="68591A96" w14:textId="50D922C9" w:rsidR="00342DFF" w:rsidRPr="00342DFF" w:rsidRDefault="00342DFF" w:rsidP="009A6C8B">
      <w:pPr>
        <w:spacing w:after="0" w:line="360" w:lineRule="auto"/>
        <w:jc w:val="both"/>
        <w:rPr>
          <w:rFonts w:ascii="Times New Roman" w:hAnsi="Times New Roman" w:cs="Times New Roman"/>
          <w:b/>
          <w:bCs/>
          <w:i/>
          <w:iCs/>
          <w:sz w:val="24"/>
          <w:szCs w:val="24"/>
        </w:rPr>
      </w:pPr>
      <w:r w:rsidRPr="00342DFF">
        <w:rPr>
          <w:rFonts w:ascii="Times New Roman" w:hAnsi="Times New Roman" w:cs="Times New Roman"/>
          <w:b/>
          <w:bCs/>
          <w:i/>
          <w:iCs/>
          <w:sz w:val="24"/>
          <w:szCs w:val="24"/>
        </w:rPr>
        <w:t xml:space="preserve">Whether this court has jurisdiction to hear this matter </w:t>
      </w:r>
    </w:p>
    <w:p w14:paraId="644F6C18" w14:textId="38C95FA6" w:rsidR="004674FB" w:rsidRDefault="009A6C8B" w:rsidP="009A6C8B">
      <w:pPr>
        <w:spacing w:after="0" w:line="360" w:lineRule="auto"/>
        <w:jc w:val="both"/>
        <w:rPr>
          <w:rFonts w:ascii="Times New Roman" w:hAnsi="Times New Roman" w:cs="Times New Roman"/>
          <w:sz w:val="24"/>
          <w:szCs w:val="24"/>
        </w:rPr>
      </w:pPr>
      <w:r w:rsidRPr="005D1173">
        <w:rPr>
          <w:rFonts w:ascii="Times New Roman" w:hAnsi="Times New Roman" w:cs="Times New Roman"/>
          <w:sz w:val="24"/>
          <w:szCs w:val="24"/>
        </w:rPr>
        <w:tab/>
      </w:r>
      <w:r w:rsidR="004674FB">
        <w:rPr>
          <w:rFonts w:ascii="Times New Roman" w:hAnsi="Times New Roman" w:cs="Times New Roman"/>
          <w:sz w:val="24"/>
          <w:szCs w:val="24"/>
        </w:rPr>
        <w:t xml:space="preserve">The court must determine at the onset whether it has jurisdiction to deal with this matter. </w:t>
      </w:r>
      <w:r w:rsidR="00116491">
        <w:rPr>
          <w:rFonts w:ascii="Times New Roman" w:hAnsi="Times New Roman" w:cs="Times New Roman"/>
          <w:sz w:val="24"/>
          <w:szCs w:val="24"/>
        </w:rPr>
        <w:t xml:space="preserve">The court can only </w:t>
      </w:r>
      <w:r w:rsidR="00F816C2">
        <w:rPr>
          <w:rFonts w:ascii="Times New Roman" w:hAnsi="Times New Roman" w:cs="Times New Roman"/>
          <w:sz w:val="24"/>
          <w:szCs w:val="24"/>
        </w:rPr>
        <w:t xml:space="preserve">hear </w:t>
      </w:r>
      <w:r w:rsidR="00116491">
        <w:rPr>
          <w:rFonts w:ascii="Times New Roman" w:hAnsi="Times New Roman" w:cs="Times New Roman"/>
          <w:sz w:val="24"/>
          <w:szCs w:val="24"/>
        </w:rPr>
        <w:t>the matter once it is satisfied that it</w:t>
      </w:r>
      <w:r w:rsidR="00F816C2">
        <w:rPr>
          <w:rFonts w:ascii="Times New Roman" w:hAnsi="Times New Roman" w:cs="Times New Roman"/>
          <w:sz w:val="24"/>
          <w:szCs w:val="24"/>
        </w:rPr>
        <w:t>s</w:t>
      </w:r>
      <w:r w:rsidR="00116491">
        <w:rPr>
          <w:rFonts w:ascii="Times New Roman" w:hAnsi="Times New Roman" w:cs="Times New Roman"/>
          <w:sz w:val="24"/>
          <w:szCs w:val="24"/>
        </w:rPr>
        <w:t xml:space="preserve"> jurisdiction</w:t>
      </w:r>
      <w:r w:rsidR="00F816C2">
        <w:rPr>
          <w:rFonts w:ascii="Times New Roman" w:hAnsi="Times New Roman" w:cs="Times New Roman"/>
          <w:sz w:val="24"/>
          <w:szCs w:val="24"/>
        </w:rPr>
        <w:t xml:space="preserve"> was not ousted by the arbitration clause as submitted by Mr </w:t>
      </w:r>
      <w:r w:rsidR="00F816C2" w:rsidRPr="00F816C2">
        <w:rPr>
          <w:rFonts w:ascii="Times New Roman" w:hAnsi="Times New Roman" w:cs="Times New Roman"/>
          <w:i/>
          <w:iCs/>
          <w:sz w:val="24"/>
          <w:szCs w:val="24"/>
        </w:rPr>
        <w:t>Mahara</w:t>
      </w:r>
      <w:r w:rsidR="00F816C2">
        <w:rPr>
          <w:rFonts w:ascii="Times New Roman" w:hAnsi="Times New Roman" w:cs="Times New Roman"/>
          <w:sz w:val="24"/>
          <w:szCs w:val="24"/>
        </w:rPr>
        <w:t xml:space="preserve">. </w:t>
      </w:r>
      <w:r w:rsidR="00116491">
        <w:rPr>
          <w:rFonts w:ascii="Times New Roman" w:hAnsi="Times New Roman" w:cs="Times New Roman"/>
          <w:sz w:val="24"/>
          <w:szCs w:val="24"/>
        </w:rPr>
        <w:t xml:space="preserve"> </w:t>
      </w:r>
      <w:r w:rsidR="00F816C2">
        <w:rPr>
          <w:rFonts w:ascii="Times New Roman" w:hAnsi="Times New Roman" w:cs="Times New Roman"/>
          <w:sz w:val="24"/>
          <w:szCs w:val="24"/>
        </w:rPr>
        <w:t xml:space="preserve">The issue to be decided is whether clause 17 of the </w:t>
      </w:r>
      <w:r w:rsidR="00116491">
        <w:rPr>
          <w:rFonts w:ascii="Times New Roman" w:hAnsi="Times New Roman" w:cs="Times New Roman"/>
          <w:sz w:val="24"/>
          <w:szCs w:val="24"/>
        </w:rPr>
        <w:t>contract, which the defendant considers to be the arbitration clause, is couched in such a manner that has the effect of ousting the jurisdiction of the court. That clause reads as follows:</w:t>
      </w:r>
    </w:p>
    <w:p w14:paraId="574B231D" w14:textId="2C29238D" w:rsidR="00116491" w:rsidRPr="003D2216" w:rsidRDefault="00116491" w:rsidP="003D2216">
      <w:pPr>
        <w:spacing w:after="0" w:line="240" w:lineRule="auto"/>
        <w:jc w:val="both"/>
        <w:rPr>
          <w:rFonts w:ascii="Times New Roman" w:hAnsi="Times New Roman" w:cs="Times New Roman"/>
        </w:rPr>
      </w:pPr>
      <w:r>
        <w:rPr>
          <w:rFonts w:ascii="Times New Roman" w:hAnsi="Times New Roman" w:cs="Times New Roman"/>
          <w:sz w:val="24"/>
          <w:szCs w:val="24"/>
        </w:rPr>
        <w:tab/>
      </w:r>
      <w:r w:rsidRPr="003D2216">
        <w:rPr>
          <w:rFonts w:ascii="Times New Roman" w:hAnsi="Times New Roman" w:cs="Times New Roman"/>
        </w:rPr>
        <w:t>“</w:t>
      </w:r>
      <w:r w:rsidR="003D2216" w:rsidRPr="003D2216">
        <w:rPr>
          <w:rFonts w:ascii="Times New Roman" w:hAnsi="Times New Roman" w:cs="Times New Roman"/>
        </w:rPr>
        <w:t>17.</w:t>
      </w:r>
      <w:r w:rsidR="003D2216" w:rsidRPr="003D2216">
        <w:rPr>
          <w:rFonts w:ascii="Times New Roman" w:hAnsi="Times New Roman" w:cs="Times New Roman"/>
        </w:rPr>
        <w:tab/>
      </w:r>
      <w:r w:rsidR="003D2216" w:rsidRPr="003D2216">
        <w:rPr>
          <w:rFonts w:ascii="Times New Roman" w:hAnsi="Times New Roman" w:cs="Times New Roman"/>
          <w:i/>
          <w:iCs/>
        </w:rPr>
        <w:t>Settlement of Disputes</w:t>
      </w:r>
      <w:r w:rsidR="003D2216" w:rsidRPr="003D2216">
        <w:rPr>
          <w:rFonts w:ascii="Times New Roman" w:hAnsi="Times New Roman" w:cs="Times New Roman"/>
        </w:rPr>
        <w:t xml:space="preserve"> </w:t>
      </w:r>
    </w:p>
    <w:p w14:paraId="33FA4965" w14:textId="44FA84E6" w:rsidR="003D2216" w:rsidRPr="003D2216" w:rsidRDefault="003D2216" w:rsidP="003D2216">
      <w:pPr>
        <w:spacing w:after="0" w:line="240" w:lineRule="auto"/>
        <w:ind w:left="1418" w:hanging="567"/>
        <w:jc w:val="both"/>
        <w:rPr>
          <w:rFonts w:ascii="Times New Roman" w:hAnsi="Times New Roman" w:cs="Times New Roman"/>
        </w:rPr>
      </w:pPr>
      <w:r w:rsidRPr="003D2216">
        <w:rPr>
          <w:rFonts w:ascii="Times New Roman" w:hAnsi="Times New Roman" w:cs="Times New Roman"/>
        </w:rPr>
        <w:t>17.1</w:t>
      </w:r>
      <w:r w:rsidRPr="003D2216">
        <w:rPr>
          <w:rFonts w:ascii="Times New Roman" w:hAnsi="Times New Roman" w:cs="Times New Roman"/>
        </w:rPr>
        <w:tab/>
        <w:t xml:space="preserve">The Procuring Entity and the Contractor shall make every effort to resolve amicably by direct informal negotiation any disagreement or dispute arising between them or in connection with the Contract or its interpretation. </w:t>
      </w:r>
    </w:p>
    <w:p w14:paraId="470F3AAF" w14:textId="2C394034" w:rsidR="003D2216" w:rsidRDefault="003D2216" w:rsidP="003D2216">
      <w:pPr>
        <w:spacing w:after="0" w:line="240" w:lineRule="auto"/>
        <w:ind w:left="1418" w:hanging="567"/>
        <w:jc w:val="both"/>
        <w:rPr>
          <w:rFonts w:ascii="Times New Roman" w:hAnsi="Times New Roman" w:cs="Times New Roman"/>
        </w:rPr>
      </w:pPr>
      <w:r w:rsidRPr="003D2216">
        <w:rPr>
          <w:rFonts w:ascii="Times New Roman" w:hAnsi="Times New Roman" w:cs="Times New Roman"/>
        </w:rPr>
        <w:t>17.2</w:t>
      </w:r>
      <w:r w:rsidRPr="003D2216">
        <w:rPr>
          <w:rFonts w:ascii="Times New Roman" w:hAnsi="Times New Roman" w:cs="Times New Roman"/>
        </w:rPr>
        <w:tab/>
        <w:t xml:space="preserve">If, after twenty-eight (28) days, the parties have failed to resolve their dispute or difference by such mutual negotiation, then either the Procuring Entity or the Contractor </w:t>
      </w:r>
      <w:r w:rsidRPr="003D2216">
        <w:rPr>
          <w:rFonts w:ascii="Times New Roman" w:hAnsi="Times New Roman" w:cs="Times New Roman"/>
          <w:u w:val="single"/>
        </w:rPr>
        <w:t>may give notice</w:t>
      </w:r>
      <w:r w:rsidRPr="003D2216">
        <w:rPr>
          <w:rFonts w:ascii="Times New Roman" w:hAnsi="Times New Roman" w:cs="Times New Roman"/>
        </w:rPr>
        <w:t xml:space="preserve"> to the other party of its intention to commence arbitration under the Arbitration Act [</w:t>
      </w:r>
      <w:r w:rsidRPr="009A6A96">
        <w:rPr>
          <w:rFonts w:ascii="Times New Roman" w:hAnsi="Times New Roman" w:cs="Times New Roman"/>
          <w:i/>
          <w:iCs/>
        </w:rPr>
        <w:t>Chapter 7:15</w:t>
      </w:r>
      <w:r w:rsidRPr="003D2216">
        <w:rPr>
          <w:rFonts w:ascii="Times New Roman" w:hAnsi="Times New Roman" w:cs="Times New Roman"/>
        </w:rPr>
        <w:t>], as amended.”</w:t>
      </w:r>
      <w:r>
        <w:rPr>
          <w:rFonts w:ascii="Times New Roman" w:hAnsi="Times New Roman" w:cs="Times New Roman"/>
        </w:rPr>
        <w:t xml:space="preserve"> (Underlining mine)</w:t>
      </w:r>
    </w:p>
    <w:p w14:paraId="7D1610F7" w14:textId="77777777" w:rsidR="003D2216" w:rsidRDefault="003D2216" w:rsidP="003D2216">
      <w:pPr>
        <w:spacing w:after="0" w:line="240" w:lineRule="auto"/>
        <w:jc w:val="both"/>
        <w:rPr>
          <w:rFonts w:ascii="Times New Roman" w:hAnsi="Times New Roman" w:cs="Times New Roman"/>
        </w:rPr>
      </w:pPr>
    </w:p>
    <w:p w14:paraId="59354677" w14:textId="2AF43731" w:rsidR="003D2216" w:rsidRDefault="003D2216" w:rsidP="003D22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words “may give notice”, that appear to be the source of confusion herein. Mr</w:t>
      </w:r>
      <w:r w:rsidR="009A6A96">
        <w:rPr>
          <w:rFonts w:ascii="Times New Roman" w:hAnsi="Times New Roman" w:cs="Times New Roman"/>
          <w:sz w:val="24"/>
          <w:szCs w:val="24"/>
        </w:rPr>
        <w:t> </w:t>
      </w:r>
      <w:r w:rsidRPr="003D2216">
        <w:rPr>
          <w:rFonts w:ascii="Times New Roman" w:hAnsi="Times New Roman" w:cs="Times New Roman"/>
          <w:i/>
          <w:iCs/>
          <w:sz w:val="24"/>
          <w:szCs w:val="24"/>
        </w:rPr>
        <w:t xml:space="preserve">Mahara </w:t>
      </w:r>
      <w:r>
        <w:rPr>
          <w:rFonts w:ascii="Times New Roman" w:hAnsi="Times New Roman" w:cs="Times New Roman"/>
          <w:sz w:val="24"/>
          <w:szCs w:val="24"/>
        </w:rPr>
        <w:t xml:space="preserve">for the defendant insisted that those words </w:t>
      </w:r>
      <w:r w:rsidR="0069019D">
        <w:rPr>
          <w:rFonts w:ascii="Times New Roman" w:hAnsi="Times New Roman" w:cs="Times New Roman"/>
          <w:sz w:val="24"/>
          <w:szCs w:val="24"/>
        </w:rPr>
        <w:t xml:space="preserve">were merely confined to the giving of notice, but they did not detract from the need to refer the dispute to arbitration. Mr </w:t>
      </w:r>
      <w:r w:rsidR="0069019D" w:rsidRPr="0069019D">
        <w:rPr>
          <w:rFonts w:ascii="Times New Roman" w:hAnsi="Times New Roman" w:cs="Times New Roman"/>
          <w:i/>
          <w:iCs/>
          <w:sz w:val="24"/>
          <w:szCs w:val="24"/>
        </w:rPr>
        <w:t>Ndoro</w:t>
      </w:r>
      <w:r w:rsidR="0069019D">
        <w:rPr>
          <w:rFonts w:ascii="Times New Roman" w:hAnsi="Times New Roman" w:cs="Times New Roman"/>
          <w:sz w:val="24"/>
          <w:szCs w:val="24"/>
        </w:rPr>
        <w:t xml:space="preserve"> for the plaintiff argued that those words effectively meant that the parties had discretion on whether to refer dispute to arbitration or not. </w:t>
      </w:r>
    </w:p>
    <w:p w14:paraId="326E03C0" w14:textId="55831DDE" w:rsidR="0069019D" w:rsidRDefault="0069019D" w:rsidP="003D22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Arbitration proceedings in Zimbabwe are regulated by the Arbitration Act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The exception is with respect to those</w:t>
      </w:r>
      <w:r w:rsidR="00F816C2">
        <w:rPr>
          <w:rFonts w:ascii="Times New Roman" w:hAnsi="Times New Roman" w:cs="Times New Roman"/>
          <w:sz w:val="24"/>
          <w:szCs w:val="24"/>
        </w:rPr>
        <w:t xml:space="preserve"> matters</w:t>
      </w:r>
      <w:r>
        <w:rPr>
          <w:rFonts w:ascii="Times New Roman" w:hAnsi="Times New Roman" w:cs="Times New Roman"/>
          <w:sz w:val="24"/>
          <w:szCs w:val="24"/>
        </w:rPr>
        <w:t xml:space="preserve"> arising from employment disputes that are governed by the Labour Act. Article 7 of the Model Law which is incorporated into the Arbitration Act defines an arbitration agreement as follows:</w:t>
      </w:r>
    </w:p>
    <w:p w14:paraId="4852C5A5" w14:textId="448D312A" w:rsidR="0069019D" w:rsidRPr="00A21D27" w:rsidRDefault="00A21D27" w:rsidP="00A21D27">
      <w:pPr>
        <w:pStyle w:val="Heading2"/>
        <w:spacing w:line="240" w:lineRule="auto"/>
        <w:jc w:val="center"/>
        <w:rPr>
          <w:rFonts w:ascii="Times New Roman" w:eastAsia="Times New Roman" w:hAnsi="Times New Roman" w:cs="Times New Roman"/>
          <w:b/>
          <w:bCs/>
          <w:color w:val="auto"/>
          <w:sz w:val="22"/>
          <w:szCs w:val="22"/>
          <w:lang w:val="en-ZW" w:eastAsia="en-ZW"/>
        </w:rPr>
      </w:pPr>
      <w:r w:rsidRPr="00A21D27">
        <w:rPr>
          <w:rFonts w:ascii="Times New Roman" w:eastAsia="Times New Roman" w:hAnsi="Times New Roman" w:cs="Times New Roman"/>
          <w:b/>
          <w:bCs/>
          <w:color w:val="auto"/>
          <w:sz w:val="22"/>
          <w:szCs w:val="22"/>
          <w:lang w:val="en-ZW" w:eastAsia="en-ZW"/>
        </w:rPr>
        <w:lastRenderedPageBreak/>
        <w:t>“</w:t>
      </w:r>
      <w:r w:rsidR="0069019D" w:rsidRPr="00A21D27">
        <w:rPr>
          <w:rFonts w:ascii="Times New Roman" w:eastAsia="Times New Roman" w:hAnsi="Times New Roman" w:cs="Times New Roman"/>
          <w:b/>
          <w:bCs/>
          <w:color w:val="auto"/>
          <w:sz w:val="22"/>
          <w:szCs w:val="22"/>
          <w:lang w:val="en-ZW" w:eastAsia="en-ZW"/>
        </w:rPr>
        <w:t>Article 7</w:t>
      </w:r>
    </w:p>
    <w:p w14:paraId="2889B8F6" w14:textId="6FDE904D" w:rsidR="0069019D" w:rsidRPr="00A21D27" w:rsidRDefault="0069019D" w:rsidP="00A21D27">
      <w:pPr>
        <w:pStyle w:val="Heading2"/>
        <w:spacing w:line="240" w:lineRule="auto"/>
        <w:ind w:firstLine="720"/>
        <w:jc w:val="center"/>
        <w:rPr>
          <w:rFonts w:ascii="Times New Roman" w:eastAsia="Times New Roman" w:hAnsi="Times New Roman" w:cs="Times New Roman"/>
          <w:b/>
          <w:bCs/>
          <w:color w:val="auto"/>
          <w:sz w:val="22"/>
          <w:szCs w:val="22"/>
          <w:lang w:val="en-ZW" w:eastAsia="en-ZW"/>
        </w:rPr>
      </w:pPr>
      <w:r w:rsidRPr="00A21D27">
        <w:rPr>
          <w:rFonts w:ascii="Times New Roman" w:eastAsia="Times New Roman" w:hAnsi="Times New Roman" w:cs="Times New Roman"/>
          <w:b/>
          <w:bCs/>
          <w:color w:val="auto"/>
          <w:sz w:val="22"/>
          <w:szCs w:val="22"/>
          <w:lang w:val="en-ZW" w:eastAsia="en-ZW"/>
        </w:rPr>
        <w:t>Definition and form of arbitration agreement</w:t>
      </w:r>
    </w:p>
    <w:p w14:paraId="741FFDE4" w14:textId="4D2B9A30" w:rsidR="0069019D" w:rsidRDefault="0069019D" w:rsidP="00A21D27">
      <w:pPr>
        <w:spacing w:after="0" w:line="240" w:lineRule="auto"/>
        <w:ind w:left="720"/>
        <w:jc w:val="both"/>
        <w:rPr>
          <w:rFonts w:ascii="Times New Roman" w:eastAsia="Times New Roman" w:hAnsi="Times New Roman" w:cs="Times New Roman"/>
          <w:lang w:val="en-ZW" w:eastAsia="en-ZW"/>
        </w:rPr>
      </w:pPr>
      <w:r w:rsidRPr="00A21D27">
        <w:rPr>
          <w:rFonts w:ascii="Times New Roman" w:eastAsia="Times New Roman" w:hAnsi="Times New Roman" w:cs="Times New Roman"/>
          <w:lang w:val="en-ZW" w:eastAsia="en-ZW"/>
        </w:rPr>
        <w:t>(</w:t>
      </w:r>
      <w:r w:rsidR="00A21D27" w:rsidRPr="00A21D27">
        <w:rPr>
          <w:rFonts w:ascii="Times New Roman" w:eastAsia="Times New Roman" w:hAnsi="Times New Roman" w:cs="Times New Roman"/>
          <w:lang w:val="en-ZW" w:eastAsia="en-ZW"/>
        </w:rPr>
        <w:t>1) “</w:t>
      </w:r>
      <w:r w:rsidRPr="00A21D27">
        <w:rPr>
          <w:rFonts w:ascii="Times New Roman" w:eastAsia="Times New Roman" w:hAnsi="Times New Roman" w:cs="Times New Roman"/>
          <w:lang w:val="en-ZW" w:eastAsia="en-ZW"/>
        </w:rPr>
        <w:t>Arbitration agreement” is an agreement by the parties to submit to arbitration all or certain disputes which have arisen or which may arise between them in respect of a defined legal relationship, whether contractual or not. An arbitration agreement may be in the form of an arbitration clause in a contract or in the form of a separate agreement.</w:t>
      </w:r>
      <w:r w:rsidR="00A21D27">
        <w:rPr>
          <w:rFonts w:ascii="Times New Roman" w:eastAsia="Times New Roman" w:hAnsi="Times New Roman" w:cs="Times New Roman"/>
          <w:lang w:val="en-ZW" w:eastAsia="en-ZW"/>
        </w:rPr>
        <w:t>”</w:t>
      </w:r>
    </w:p>
    <w:p w14:paraId="7CAC2593" w14:textId="77777777" w:rsidR="00A21D27" w:rsidRDefault="00A21D27" w:rsidP="00A21D27">
      <w:pPr>
        <w:spacing w:after="0" w:line="240" w:lineRule="auto"/>
        <w:jc w:val="both"/>
        <w:rPr>
          <w:rFonts w:ascii="Times New Roman" w:hAnsi="Times New Roman" w:cs="Times New Roman"/>
        </w:rPr>
      </w:pPr>
    </w:p>
    <w:p w14:paraId="18C16089" w14:textId="64218815" w:rsidR="00A21D27" w:rsidRDefault="00A21D27" w:rsidP="00A21D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law does not define what an arbitration clause is, save to identify it as one of the </w:t>
      </w:r>
      <w:r w:rsidR="00B06735">
        <w:rPr>
          <w:rFonts w:ascii="Times New Roman" w:hAnsi="Times New Roman" w:cs="Times New Roman"/>
          <w:sz w:val="24"/>
          <w:szCs w:val="24"/>
        </w:rPr>
        <w:t xml:space="preserve">avenues </w:t>
      </w:r>
      <w:r>
        <w:rPr>
          <w:rFonts w:ascii="Times New Roman" w:hAnsi="Times New Roman" w:cs="Times New Roman"/>
          <w:sz w:val="24"/>
          <w:szCs w:val="24"/>
        </w:rPr>
        <w:t xml:space="preserve">through which an arbitration agreement may be formulated. In simple terms then, an arbitration clause is </w:t>
      </w:r>
      <w:r w:rsidR="00F816C2">
        <w:rPr>
          <w:rFonts w:ascii="Times New Roman" w:hAnsi="Times New Roman" w:cs="Times New Roman"/>
          <w:sz w:val="24"/>
          <w:szCs w:val="24"/>
        </w:rPr>
        <w:t xml:space="preserve">a clause </w:t>
      </w:r>
      <w:r>
        <w:rPr>
          <w:rFonts w:ascii="Times New Roman" w:hAnsi="Times New Roman" w:cs="Times New Roman"/>
          <w:sz w:val="24"/>
          <w:szCs w:val="24"/>
        </w:rPr>
        <w:t xml:space="preserve">in a contract </w:t>
      </w:r>
      <w:r w:rsidR="00F816C2">
        <w:rPr>
          <w:rFonts w:ascii="Times New Roman" w:hAnsi="Times New Roman" w:cs="Times New Roman"/>
          <w:sz w:val="24"/>
          <w:szCs w:val="24"/>
        </w:rPr>
        <w:t xml:space="preserve">in terms of </w:t>
      </w:r>
      <w:r>
        <w:rPr>
          <w:rFonts w:ascii="Times New Roman" w:hAnsi="Times New Roman" w:cs="Times New Roman"/>
          <w:sz w:val="24"/>
          <w:szCs w:val="24"/>
        </w:rPr>
        <w:t xml:space="preserve">which the parties agree to resolve their disputes through the arbitration process. </w:t>
      </w:r>
      <w:r w:rsidR="00F816C2">
        <w:rPr>
          <w:rFonts w:ascii="Times New Roman" w:hAnsi="Times New Roman" w:cs="Times New Roman"/>
          <w:sz w:val="24"/>
          <w:szCs w:val="24"/>
        </w:rPr>
        <w:t xml:space="preserve">Courts have the </w:t>
      </w:r>
      <w:r>
        <w:rPr>
          <w:rFonts w:ascii="Times New Roman" w:hAnsi="Times New Roman" w:cs="Times New Roman"/>
          <w:sz w:val="24"/>
          <w:szCs w:val="24"/>
        </w:rPr>
        <w:t xml:space="preserve">constitutional mandate to resolve disputes between parties in keeping with </w:t>
      </w:r>
      <w:r w:rsidR="00665415">
        <w:rPr>
          <w:rFonts w:ascii="Times New Roman" w:hAnsi="Times New Roman" w:cs="Times New Roman"/>
          <w:sz w:val="24"/>
          <w:szCs w:val="24"/>
        </w:rPr>
        <w:t xml:space="preserve">principles of the rule of law. However, the constitution now embraces other tribunals that </w:t>
      </w:r>
      <w:r w:rsidR="00F816C2">
        <w:rPr>
          <w:rFonts w:ascii="Times New Roman" w:hAnsi="Times New Roman" w:cs="Times New Roman"/>
          <w:sz w:val="24"/>
          <w:szCs w:val="24"/>
        </w:rPr>
        <w:t xml:space="preserve">are also endowed with powers </w:t>
      </w:r>
      <w:r w:rsidR="00665415">
        <w:rPr>
          <w:rFonts w:ascii="Times New Roman" w:hAnsi="Times New Roman" w:cs="Times New Roman"/>
          <w:sz w:val="24"/>
          <w:szCs w:val="24"/>
        </w:rPr>
        <w:t>to resolve disputes through the alternative dispute resolution procedure.</w:t>
      </w:r>
      <w:r w:rsidR="00665415">
        <w:rPr>
          <w:rStyle w:val="FootnoteReference"/>
          <w:rFonts w:ascii="Times New Roman" w:hAnsi="Times New Roman" w:cs="Times New Roman"/>
          <w:sz w:val="24"/>
          <w:szCs w:val="24"/>
        </w:rPr>
        <w:footnoteReference w:id="3"/>
      </w:r>
      <w:r w:rsidR="00665415">
        <w:rPr>
          <w:rFonts w:ascii="Times New Roman" w:hAnsi="Times New Roman" w:cs="Times New Roman"/>
          <w:sz w:val="24"/>
          <w:szCs w:val="24"/>
        </w:rPr>
        <w:t xml:space="preserve"> It follows that an arbitration clause must be couched in such a manner that leaves no doubt that the intention of the parties was to have their disputes settled through the arbitration process instead of the court route. </w:t>
      </w:r>
      <w:r w:rsidR="001E570C">
        <w:rPr>
          <w:rFonts w:ascii="Times New Roman" w:hAnsi="Times New Roman" w:cs="Times New Roman"/>
          <w:sz w:val="24"/>
          <w:szCs w:val="24"/>
        </w:rPr>
        <w:t>It must never be the subject of conjecture whether parties intended to have the jurisdiction of the court ousted. After all it is the parties’ contract, and they must decide for themselves how they want their dispute</w:t>
      </w:r>
      <w:r w:rsidR="00C72C68">
        <w:rPr>
          <w:rFonts w:ascii="Times New Roman" w:hAnsi="Times New Roman" w:cs="Times New Roman"/>
          <w:sz w:val="24"/>
          <w:szCs w:val="24"/>
        </w:rPr>
        <w:t>s</w:t>
      </w:r>
      <w:r w:rsidR="001E570C">
        <w:rPr>
          <w:rFonts w:ascii="Times New Roman" w:hAnsi="Times New Roman" w:cs="Times New Roman"/>
          <w:sz w:val="24"/>
          <w:szCs w:val="24"/>
        </w:rPr>
        <w:t xml:space="preserve"> resolved. </w:t>
      </w:r>
    </w:p>
    <w:p w14:paraId="1974ED85" w14:textId="07069092" w:rsidR="001E570C" w:rsidRDefault="001E570C" w:rsidP="00A21D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reading of cl</w:t>
      </w:r>
      <w:r w:rsidR="0000741F">
        <w:rPr>
          <w:rFonts w:ascii="Times New Roman" w:hAnsi="Times New Roman" w:cs="Times New Roman"/>
          <w:sz w:val="24"/>
          <w:szCs w:val="24"/>
        </w:rPr>
        <w:t xml:space="preserve">ause </w:t>
      </w:r>
      <w:r>
        <w:rPr>
          <w:rFonts w:ascii="Times New Roman" w:hAnsi="Times New Roman" w:cs="Times New Roman"/>
          <w:sz w:val="24"/>
          <w:szCs w:val="24"/>
        </w:rPr>
        <w:t xml:space="preserve">17, I find nothing in it that suggests that it was the intention of the parties to oust the jurisdiction of the courts. The words “may give notice” suggest to me that either party could elect to give notice of its intention to commence arbitration under the Arbitration Act. What would then happen if neither party elected not to give the said notice? The parties would </w:t>
      </w:r>
      <w:r w:rsidR="00342DFF">
        <w:rPr>
          <w:rFonts w:ascii="Times New Roman" w:hAnsi="Times New Roman" w:cs="Times New Roman"/>
          <w:sz w:val="24"/>
          <w:szCs w:val="24"/>
        </w:rPr>
        <w:t>remain</w:t>
      </w:r>
      <w:r>
        <w:rPr>
          <w:rFonts w:ascii="Times New Roman" w:hAnsi="Times New Roman" w:cs="Times New Roman"/>
          <w:sz w:val="24"/>
          <w:szCs w:val="24"/>
        </w:rPr>
        <w:t xml:space="preserve"> seized with the same dispute. </w:t>
      </w:r>
      <w:r w:rsidR="00342DFF">
        <w:rPr>
          <w:rFonts w:ascii="Times New Roman" w:hAnsi="Times New Roman" w:cs="Times New Roman"/>
          <w:sz w:val="24"/>
          <w:szCs w:val="24"/>
        </w:rPr>
        <w:t xml:space="preserve">The giving of notice </w:t>
      </w:r>
      <w:r w:rsidR="002A7795">
        <w:rPr>
          <w:rFonts w:ascii="Times New Roman" w:hAnsi="Times New Roman" w:cs="Times New Roman"/>
          <w:sz w:val="24"/>
          <w:szCs w:val="24"/>
        </w:rPr>
        <w:t xml:space="preserve">must </w:t>
      </w:r>
      <w:r w:rsidR="00342DFF">
        <w:rPr>
          <w:rFonts w:ascii="Times New Roman" w:hAnsi="Times New Roman" w:cs="Times New Roman"/>
          <w:sz w:val="24"/>
          <w:szCs w:val="24"/>
        </w:rPr>
        <w:t xml:space="preserve">of course </w:t>
      </w:r>
      <w:r w:rsidR="002A7795">
        <w:rPr>
          <w:rFonts w:ascii="Times New Roman" w:hAnsi="Times New Roman" w:cs="Times New Roman"/>
          <w:sz w:val="24"/>
          <w:szCs w:val="24"/>
        </w:rPr>
        <w:t xml:space="preserve">be </w:t>
      </w:r>
      <w:r w:rsidR="00342DFF">
        <w:rPr>
          <w:rFonts w:ascii="Times New Roman" w:hAnsi="Times New Roman" w:cs="Times New Roman"/>
          <w:sz w:val="24"/>
          <w:szCs w:val="24"/>
        </w:rPr>
        <w:t xml:space="preserve">preceded by the mutual negotiation process. The clause does not say that either party is precluded from approaching the courts after the failure of the negotiation process. As already stated, it must be clear from the wording of the arbitration clause that arbitration is the sole avenue through which disputes must be resolved to the exclusion of the courts. For the foregoing reasons, I determine that there is nothing in the way clause 17 is framed that has the effect of ousting the jurisdiction of the courts. The preliminary point is devoid of merit, and it is hereby dismissed. </w:t>
      </w:r>
    </w:p>
    <w:p w14:paraId="1CFEF6AF" w14:textId="77777777" w:rsidR="00C72C68" w:rsidRDefault="00C72C68" w:rsidP="00A21D27">
      <w:pPr>
        <w:spacing w:after="0" w:line="360" w:lineRule="auto"/>
        <w:ind w:firstLine="720"/>
        <w:jc w:val="both"/>
        <w:rPr>
          <w:rFonts w:ascii="Times New Roman" w:hAnsi="Times New Roman" w:cs="Times New Roman"/>
          <w:sz w:val="24"/>
          <w:szCs w:val="24"/>
        </w:rPr>
      </w:pPr>
    </w:p>
    <w:p w14:paraId="4ACED0A4" w14:textId="77777777" w:rsidR="00C72C68" w:rsidRDefault="00C72C68" w:rsidP="00A21D27">
      <w:pPr>
        <w:spacing w:after="0" w:line="360" w:lineRule="auto"/>
        <w:ind w:firstLine="720"/>
        <w:jc w:val="both"/>
        <w:rPr>
          <w:rFonts w:ascii="Times New Roman" w:hAnsi="Times New Roman" w:cs="Times New Roman"/>
          <w:sz w:val="24"/>
          <w:szCs w:val="24"/>
        </w:rPr>
      </w:pPr>
    </w:p>
    <w:p w14:paraId="5EF5288B" w14:textId="6161ED15" w:rsidR="00342DFF" w:rsidRPr="00342DFF" w:rsidRDefault="00342DFF" w:rsidP="00342DFF">
      <w:pPr>
        <w:spacing w:after="0" w:line="360" w:lineRule="auto"/>
        <w:jc w:val="both"/>
        <w:rPr>
          <w:rFonts w:ascii="Times New Roman" w:hAnsi="Times New Roman" w:cs="Times New Roman"/>
          <w:b/>
          <w:bCs/>
          <w:i/>
          <w:iCs/>
          <w:sz w:val="24"/>
          <w:szCs w:val="24"/>
        </w:rPr>
      </w:pPr>
      <w:r w:rsidRPr="00342DFF">
        <w:rPr>
          <w:rFonts w:ascii="Times New Roman" w:hAnsi="Times New Roman" w:cs="Times New Roman"/>
          <w:b/>
          <w:bCs/>
          <w:i/>
          <w:iCs/>
          <w:sz w:val="24"/>
          <w:szCs w:val="24"/>
        </w:rPr>
        <w:lastRenderedPageBreak/>
        <w:t xml:space="preserve">Whether the plaintiff’s claim is competent </w:t>
      </w:r>
    </w:p>
    <w:p w14:paraId="7A2C26BC" w14:textId="18864B35" w:rsidR="009A6C8B" w:rsidRDefault="005D1173" w:rsidP="004674FB">
      <w:pPr>
        <w:spacing w:after="0" w:line="360" w:lineRule="auto"/>
        <w:ind w:firstLine="720"/>
        <w:jc w:val="both"/>
        <w:rPr>
          <w:rFonts w:ascii="Times New Roman" w:hAnsi="Times New Roman" w:cs="Times New Roman"/>
          <w:sz w:val="24"/>
          <w:szCs w:val="24"/>
        </w:rPr>
      </w:pPr>
      <w:r w:rsidRPr="005D1173">
        <w:rPr>
          <w:rFonts w:ascii="Times New Roman" w:hAnsi="Times New Roman" w:cs="Times New Roman"/>
          <w:sz w:val="24"/>
          <w:szCs w:val="24"/>
        </w:rPr>
        <w:t xml:space="preserve">It is critical to decide at the outset whether the </w:t>
      </w:r>
      <w:r w:rsidR="00F82947">
        <w:rPr>
          <w:rFonts w:ascii="Times New Roman" w:hAnsi="Times New Roman" w:cs="Times New Roman"/>
          <w:sz w:val="24"/>
          <w:szCs w:val="24"/>
        </w:rPr>
        <w:t>amendment</w:t>
      </w:r>
      <w:r w:rsidR="00C72C68">
        <w:rPr>
          <w:rFonts w:ascii="Times New Roman" w:hAnsi="Times New Roman" w:cs="Times New Roman"/>
          <w:sz w:val="24"/>
          <w:szCs w:val="24"/>
        </w:rPr>
        <w:t>s alleg</w:t>
      </w:r>
      <w:r w:rsidR="00F82947">
        <w:rPr>
          <w:rFonts w:ascii="Times New Roman" w:hAnsi="Times New Roman" w:cs="Times New Roman"/>
          <w:sz w:val="24"/>
          <w:szCs w:val="24"/>
        </w:rPr>
        <w:t>edly made by the plaintiff to its claim w</w:t>
      </w:r>
      <w:r w:rsidR="00C72C68">
        <w:rPr>
          <w:rFonts w:ascii="Times New Roman" w:hAnsi="Times New Roman" w:cs="Times New Roman"/>
          <w:sz w:val="24"/>
          <w:szCs w:val="24"/>
        </w:rPr>
        <w:t xml:space="preserve">ere </w:t>
      </w:r>
      <w:r w:rsidR="00F82947">
        <w:rPr>
          <w:rFonts w:ascii="Times New Roman" w:hAnsi="Times New Roman" w:cs="Times New Roman"/>
          <w:sz w:val="24"/>
          <w:szCs w:val="24"/>
        </w:rPr>
        <w:t xml:space="preserve">properly made as </w:t>
      </w:r>
      <w:r w:rsidR="00C72C68">
        <w:rPr>
          <w:rFonts w:ascii="Times New Roman" w:hAnsi="Times New Roman" w:cs="Times New Roman"/>
          <w:sz w:val="24"/>
          <w:szCs w:val="24"/>
        </w:rPr>
        <w:t xml:space="preserve">this </w:t>
      </w:r>
      <w:r w:rsidR="00F82947">
        <w:rPr>
          <w:rFonts w:ascii="Times New Roman" w:hAnsi="Times New Roman" w:cs="Times New Roman"/>
          <w:sz w:val="24"/>
          <w:szCs w:val="24"/>
        </w:rPr>
        <w:t>has a bearing on th</w:t>
      </w:r>
      <w:r w:rsidR="00AD029C">
        <w:rPr>
          <w:rFonts w:ascii="Times New Roman" w:hAnsi="Times New Roman" w:cs="Times New Roman"/>
          <w:sz w:val="24"/>
          <w:szCs w:val="24"/>
        </w:rPr>
        <w:t>is</w:t>
      </w:r>
      <w:r w:rsidR="00F82947">
        <w:rPr>
          <w:rFonts w:ascii="Times New Roman" w:hAnsi="Times New Roman" w:cs="Times New Roman"/>
          <w:sz w:val="24"/>
          <w:szCs w:val="24"/>
        </w:rPr>
        <w:t xml:space="preserve"> preliminary point. </w:t>
      </w:r>
      <w:r w:rsidR="006243F9">
        <w:rPr>
          <w:rFonts w:ascii="Times New Roman" w:hAnsi="Times New Roman" w:cs="Times New Roman"/>
          <w:sz w:val="24"/>
          <w:szCs w:val="24"/>
        </w:rPr>
        <w:t>Rule 41 of the High Court rules deals with the amendment of pleadings and matters arising pending action. Rules 1 to 5 are relevant to the determination of this issue. They provide as follows:</w:t>
      </w:r>
    </w:p>
    <w:p w14:paraId="7511EB2A" w14:textId="11BC3B71" w:rsidR="006243F9" w:rsidRPr="006243F9" w:rsidRDefault="006243F9" w:rsidP="006243F9">
      <w:pPr>
        <w:spacing w:after="0" w:line="240" w:lineRule="auto"/>
        <w:jc w:val="both"/>
        <w:rPr>
          <w:rFonts w:ascii="Times New Roman" w:hAnsi="Times New Roman" w:cs="Times New Roman"/>
        </w:rPr>
      </w:pPr>
      <w:r>
        <w:rPr>
          <w:rFonts w:ascii="Times New Roman" w:hAnsi="Times New Roman" w:cs="Times New Roman"/>
          <w:sz w:val="24"/>
          <w:szCs w:val="24"/>
        </w:rPr>
        <w:tab/>
      </w:r>
      <w:r w:rsidRPr="006243F9">
        <w:rPr>
          <w:rFonts w:ascii="Times New Roman" w:hAnsi="Times New Roman" w:cs="Times New Roman"/>
        </w:rPr>
        <w:t>“41. Amendment of pleadings and matters arising pending action</w:t>
      </w:r>
    </w:p>
    <w:p w14:paraId="05664EF3" w14:textId="2090A083" w:rsidR="006243F9" w:rsidRPr="006243F9" w:rsidRDefault="006243F9" w:rsidP="006243F9">
      <w:pPr>
        <w:spacing w:after="0" w:line="240" w:lineRule="auto"/>
        <w:ind w:left="720"/>
        <w:jc w:val="both"/>
        <w:rPr>
          <w:rFonts w:ascii="Times New Roman" w:hAnsi="Times New Roman" w:cs="Times New Roman"/>
        </w:rPr>
      </w:pPr>
      <w:r w:rsidRPr="006243F9">
        <w:rPr>
          <w:rFonts w:ascii="Times New Roman" w:hAnsi="Times New Roman" w:cs="Times New Roman"/>
        </w:rPr>
        <w:t>(1) Any party wishing to amend a pleading or document other than a sworn statement, filed in connection with any proceedings shall, notify all other parties of his or her intention to amend and shall furnish particulars of the amendment.</w:t>
      </w:r>
    </w:p>
    <w:p w14:paraId="03363964" w14:textId="10A65ACD" w:rsidR="006243F9" w:rsidRPr="006243F9" w:rsidRDefault="006243F9" w:rsidP="006243F9">
      <w:pPr>
        <w:spacing w:after="0" w:line="240" w:lineRule="auto"/>
        <w:ind w:left="720"/>
        <w:jc w:val="both"/>
        <w:rPr>
          <w:rFonts w:ascii="Times New Roman" w:hAnsi="Times New Roman" w:cs="Times New Roman"/>
        </w:rPr>
      </w:pPr>
      <w:r w:rsidRPr="006243F9">
        <w:rPr>
          <w:rFonts w:ascii="Times New Roman" w:hAnsi="Times New Roman" w:cs="Times New Roman"/>
        </w:rPr>
        <w:t>(2) The notice referred to in subrule (1) shall state that unless written objection to the proposed amendment is filed and delivered within ten days of delivery of the notice, the amendment will be effected.</w:t>
      </w:r>
    </w:p>
    <w:p w14:paraId="2318B8D1" w14:textId="751B829E" w:rsidR="006243F9" w:rsidRPr="006243F9" w:rsidRDefault="006243F9" w:rsidP="006243F9">
      <w:pPr>
        <w:spacing w:after="0" w:line="240" w:lineRule="auto"/>
        <w:ind w:left="720"/>
        <w:jc w:val="both"/>
        <w:rPr>
          <w:rFonts w:ascii="Times New Roman" w:hAnsi="Times New Roman" w:cs="Times New Roman"/>
        </w:rPr>
      </w:pPr>
      <w:r w:rsidRPr="006243F9">
        <w:rPr>
          <w:rFonts w:ascii="Times New Roman" w:hAnsi="Times New Roman" w:cs="Times New Roman"/>
        </w:rPr>
        <w:t>(3) An objection to a proposed amendment shall state clearly and concisely the grounds upon which the objection is based.</w:t>
      </w:r>
    </w:p>
    <w:p w14:paraId="4D466461" w14:textId="0AD5412E" w:rsidR="006243F9" w:rsidRPr="006243F9" w:rsidRDefault="006243F9" w:rsidP="006243F9">
      <w:pPr>
        <w:spacing w:after="0" w:line="240" w:lineRule="auto"/>
        <w:ind w:left="720"/>
        <w:jc w:val="both"/>
        <w:rPr>
          <w:rFonts w:ascii="Times New Roman" w:hAnsi="Times New Roman" w:cs="Times New Roman"/>
        </w:rPr>
      </w:pPr>
      <w:r w:rsidRPr="006243F9">
        <w:rPr>
          <w:rFonts w:ascii="Times New Roman" w:hAnsi="Times New Roman" w:cs="Times New Roman"/>
        </w:rPr>
        <w:t>(4) If an objection which complies with subrule (3) is filed within the period set out in subrule (2), the party desiring to amend may, within ten days, lodge an application for leave to amend.</w:t>
      </w:r>
    </w:p>
    <w:p w14:paraId="29465E95" w14:textId="2A712F22" w:rsidR="006243F9" w:rsidRPr="006243F9" w:rsidRDefault="006243F9" w:rsidP="00812DAA">
      <w:pPr>
        <w:spacing w:line="240" w:lineRule="auto"/>
        <w:ind w:left="720"/>
        <w:jc w:val="both"/>
        <w:rPr>
          <w:rFonts w:ascii="Times New Roman" w:hAnsi="Times New Roman" w:cs="Times New Roman"/>
        </w:rPr>
      </w:pPr>
      <w:r w:rsidRPr="006243F9">
        <w:rPr>
          <w:rFonts w:ascii="Times New Roman" w:hAnsi="Times New Roman" w:cs="Times New Roman"/>
        </w:rPr>
        <w:t>(5) Where no objection contemplated in subrule (4) is filed, every party who received notice of the proposed amendment shall be deemed to have consented to the amendment and the party who gave notice of the proposed amendment may, within ten days after the expiration of the period mentioned in subrule (2) effect the amendment as contemplated in subrule (7).</w:t>
      </w:r>
      <w:r>
        <w:rPr>
          <w:rFonts w:ascii="Times New Roman" w:hAnsi="Times New Roman" w:cs="Times New Roman"/>
        </w:rPr>
        <w:t>”</w:t>
      </w:r>
    </w:p>
    <w:p w14:paraId="6F809EFC" w14:textId="75F613B0" w:rsidR="0027469F" w:rsidRDefault="00F560E1" w:rsidP="00812D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12DAA">
        <w:rPr>
          <w:rFonts w:ascii="Times New Roman" w:hAnsi="Times New Roman" w:cs="Times New Roman"/>
          <w:sz w:val="24"/>
          <w:szCs w:val="24"/>
        </w:rPr>
        <w:t xml:space="preserve">notice </w:t>
      </w:r>
      <w:r>
        <w:rPr>
          <w:rFonts w:ascii="Times New Roman" w:hAnsi="Times New Roman" w:cs="Times New Roman"/>
          <w:sz w:val="24"/>
          <w:szCs w:val="24"/>
        </w:rPr>
        <w:t xml:space="preserve">of the intention to amend the summons and declaration was </w:t>
      </w:r>
      <w:r w:rsidR="00812DAA">
        <w:rPr>
          <w:rFonts w:ascii="Times New Roman" w:hAnsi="Times New Roman" w:cs="Times New Roman"/>
          <w:sz w:val="24"/>
          <w:szCs w:val="24"/>
        </w:rPr>
        <w:t xml:space="preserve">supposed </w:t>
      </w:r>
      <w:r>
        <w:rPr>
          <w:rFonts w:ascii="Times New Roman" w:hAnsi="Times New Roman" w:cs="Times New Roman"/>
          <w:sz w:val="24"/>
          <w:szCs w:val="24"/>
        </w:rPr>
        <w:t>to give the defendant ten days within which to make a written objection to the proposed amendment. The notice herein did</w:t>
      </w:r>
      <w:r w:rsidR="00812DAA">
        <w:rPr>
          <w:rFonts w:ascii="Times New Roman" w:hAnsi="Times New Roman" w:cs="Times New Roman"/>
          <w:sz w:val="24"/>
          <w:szCs w:val="24"/>
        </w:rPr>
        <w:t xml:space="preserve"> not</w:t>
      </w:r>
      <w:r>
        <w:rPr>
          <w:rFonts w:ascii="Times New Roman" w:hAnsi="Times New Roman" w:cs="Times New Roman"/>
          <w:sz w:val="24"/>
          <w:szCs w:val="24"/>
        </w:rPr>
        <w:t xml:space="preserve"> invite the defendant to make such objections as required by the rules. </w:t>
      </w:r>
      <w:r w:rsidR="00043B82">
        <w:rPr>
          <w:rFonts w:ascii="Times New Roman" w:hAnsi="Times New Roman" w:cs="Times New Roman"/>
          <w:sz w:val="24"/>
          <w:szCs w:val="24"/>
        </w:rPr>
        <w:t>If</w:t>
      </w:r>
      <w:r>
        <w:rPr>
          <w:rFonts w:ascii="Times New Roman" w:hAnsi="Times New Roman" w:cs="Times New Roman"/>
          <w:sz w:val="24"/>
          <w:szCs w:val="24"/>
        </w:rPr>
        <w:t xml:space="preserve"> no such objection was made to the proposed amendments, then the defendant would be presumed to have</w:t>
      </w:r>
      <w:r w:rsidR="00043B82">
        <w:rPr>
          <w:rFonts w:ascii="Times New Roman" w:hAnsi="Times New Roman" w:cs="Times New Roman"/>
          <w:sz w:val="24"/>
          <w:szCs w:val="24"/>
        </w:rPr>
        <w:t xml:space="preserve"> consented to the amendment.</w:t>
      </w:r>
      <w:r>
        <w:rPr>
          <w:rFonts w:ascii="Times New Roman" w:hAnsi="Times New Roman" w:cs="Times New Roman"/>
          <w:sz w:val="24"/>
          <w:szCs w:val="24"/>
        </w:rPr>
        <w:t xml:space="preserve"> The party </w:t>
      </w:r>
      <w:r w:rsidR="00CC2B20">
        <w:rPr>
          <w:rFonts w:ascii="Times New Roman" w:hAnsi="Times New Roman" w:cs="Times New Roman"/>
          <w:sz w:val="24"/>
          <w:szCs w:val="24"/>
        </w:rPr>
        <w:t xml:space="preserve">who gave notice of the proposed amendment may within ten days after the expiration of the period within which an objection to the proposed amendment ought to have been made, effect the amendment in terms of subrule 7. </w:t>
      </w:r>
      <w:r w:rsidR="009A6A96">
        <w:rPr>
          <w:rFonts w:ascii="Times New Roman" w:hAnsi="Times New Roman" w:cs="Times New Roman"/>
          <w:sz w:val="24"/>
          <w:szCs w:val="24"/>
        </w:rPr>
        <w:t xml:space="preserve"> </w:t>
      </w:r>
      <w:r w:rsidR="0027469F">
        <w:rPr>
          <w:rFonts w:ascii="Times New Roman" w:hAnsi="Times New Roman" w:cs="Times New Roman"/>
          <w:sz w:val="24"/>
          <w:szCs w:val="24"/>
        </w:rPr>
        <w:t>Sub rule 7 states that:</w:t>
      </w:r>
    </w:p>
    <w:p w14:paraId="69A7C813" w14:textId="604AB89C" w:rsidR="0027469F" w:rsidRPr="0027469F" w:rsidRDefault="0027469F" w:rsidP="0027469F">
      <w:pPr>
        <w:spacing w:after="0" w:line="240" w:lineRule="auto"/>
        <w:ind w:left="720"/>
        <w:jc w:val="both"/>
        <w:rPr>
          <w:rFonts w:ascii="Times New Roman" w:hAnsi="Times New Roman" w:cs="Times New Roman"/>
        </w:rPr>
      </w:pPr>
      <w:r>
        <w:rPr>
          <w:rFonts w:ascii="Times New Roman" w:hAnsi="Times New Roman" w:cs="Times New Roman"/>
        </w:rPr>
        <w:t>“</w:t>
      </w:r>
      <w:r w:rsidRPr="0027469F">
        <w:rPr>
          <w:rFonts w:ascii="Times New Roman" w:hAnsi="Times New Roman" w:cs="Times New Roman"/>
        </w:rPr>
        <w:t xml:space="preserve">(7) Unless the court otherwise directs, a party who is entitled to amend shall effect the amendment by filing each relevant page in its amended form: </w:t>
      </w:r>
    </w:p>
    <w:p w14:paraId="1F8BBA24" w14:textId="4B80B773" w:rsidR="00F560E1" w:rsidRDefault="0027469F" w:rsidP="0027469F">
      <w:pPr>
        <w:spacing w:after="0" w:line="240" w:lineRule="auto"/>
        <w:ind w:left="720"/>
        <w:jc w:val="both"/>
        <w:rPr>
          <w:rFonts w:ascii="Times New Roman" w:hAnsi="Times New Roman" w:cs="Times New Roman"/>
          <w:sz w:val="24"/>
          <w:szCs w:val="24"/>
        </w:rPr>
      </w:pPr>
      <w:r w:rsidRPr="0027469F">
        <w:rPr>
          <w:rFonts w:ascii="Times New Roman" w:hAnsi="Times New Roman" w:cs="Times New Roman"/>
        </w:rPr>
        <w:t>Provided that, where the amendments are so numerous or of such a nature that the making of them in writing would render the document difficult or inconvenient to read, copies of the pleadings as amended shall be filed</w:t>
      </w:r>
      <w:r>
        <w:rPr>
          <w:rFonts w:ascii="Times New Roman" w:hAnsi="Times New Roman" w:cs="Times New Roman"/>
          <w:sz w:val="24"/>
          <w:szCs w:val="24"/>
        </w:rPr>
        <w:t>.”</w:t>
      </w:r>
    </w:p>
    <w:p w14:paraId="464658F5" w14:textId="77777777" w:rsidR="0027469F" w:rsidRPr="00586DDA" w:rsidRDefault="0027469F" w:rsidP="0027469F">
      <w:pPr>
        <w:spacing w:after="0" w:line="240" w:lineRule="auto"/>
        <w:ind w:left="720"/>
        <w:jc w:val="both"/>
        <w:rPr>
          <w:rFonts w:ascii="Times New Roman" w:hAnsi="Times New Roman" w:cs="Times New Roman"/>
          <w:sz w:val="24"/>
          <w:szCs w:val="24"/>
        </w:rPr>
      </w:pPr>
    </w:p>
    <w:p w14:paraId="1991115D" w14:textId="204169A6" w:rsidR="0027469F" w:rsidRDefault="00166F81" w:rsidP="00166F8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my view, sub rule (5) must be read together with sub rule (7). In other words, where no objections to the proposed amendment have been received, the party that wishes to </w:t>
      </w:r>
      <w:r w:rsidR="007022AC">
        <w:rPr>
          <w:rFonts w:ascii="Times New Roman" w:hAnsi="Times New Roman" w:cs="Times New Roman"/>
          <w:bCs/>
          <w:sz w:val="24"/>
          <w:szCs w:val="24"/>
        </w:rPr>
        <w:t>e</w:t>
      </w:r>
      <w:r>
        <w:rPr>
          <w:rFonts w:ascii="Times New Roman" w:hAnsi="Times New Roman" w:cs="Times New Roman"/>
          <w:bCs/>
          <w:sz w:val="24"/>
          <w:szCs w:val="24"/>
        </w:rPr>
        <w:t xml:space="preserve">ffect that proposed amendment must still comply with subrule (7). From my reading of the said provisions, a proposed amendment does </w:t>
      </w:r>
      <w:r w:rsidR="007022AC">
        <w:rPr>
          <w:rFonts w:ascii="Times New Roman" w:hAnsi="Times New Roman" w:cs="Times New Roman"/>
          <w:bCs/>
          <w:sz w:val="24"/>
          <w:szCs w:val="24"/>
        </w:rPr>
        <w:t xml:space="preserve">not </w:t>
      </w:r>
      <w:r>
        <w:rPr>
          <w:rFonts w:ascii="Times New Roman" w:hAnsi="Times New Roman" w:cs="Times New Roman"/>
          <w:bCs/>
          <w:sz w:val="24"/>
          <w:szCs w:val="24"/>
        </w:rPr>
        <w:t xml:space="preserve">just end with the service of the notice of the proposed amendment </w:t>
      </w:r>
      <w:r>
        <w:rPr>
          <w:rFonts w:ascii="Times New Roman" w:hAnsi="Times New Roman" w:cs="Times New Roman"/>
          <w:bCs/>
          <w:sz w:val="24"/>
          <w:szCs w:val="24"/>
        </w:rPr>
        <w:lastRenderedPageBreak/>
        <w:t xml:space="preserve">on a party. That process must be completed with the making of the amendment in the manner set out in sub rule 7. I therefore find merit in the defendant’s submission that no amendment was made to the summons and declaration. </w:t>
      </w:r>
    </w:p>
    <w:p w14:paraId="74A82FDB" w14:textId="0E633850" w:rsidR="00166F81" w:rsidRDefault="00E472A8" w:rsidP="00166F8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occurs to me that the proposed amendment may have been an afterthought by the plaintiff. This is because the defendant’s plea was issued and filed on 25 November 2021. The defendant’s heads of argument were issued and filed on 8 December 2021. Both the plea and the heads of argument raised the issue of the impropriety of denominating the claim in the United States dollar currency. </w:t>
      </w:r>
      <w:r w:rsidR="00043B82">
        <w:rPr>
          <w:rFonts w:ascii="Times New Roman" w:hAnsi="Times New Roman" w:cs="Times New Roman"/>
          <w:bCs/>
          <w:sz w:val="24"/>
          <w:szCs w:val="24"/>
        </w:rPr>
        <w:t xml:space="preserve">The plaintiff’s notice of amendment, the replication and the heads of argument were all issued and filed on the same day on 20 December 2021. </w:t>
      </w:r>
      <w:r>
        <w:rPr>
          <w:rFonts w:ascii="Times New Roman" w:hAnsi="Times New Roman" w:cs="Times New Roman"/>
          <w:bCs/>
          <w:sz w:val="24"/>
          <w:szCs w:val="24"/>
        </w:rPr>
        <w:t xml:space="preserve">If the plaintiff was indeed serious about making the amendment to its claim, then it should not have waited to do so on the same day it filed its </w:t>
      </w:r>
      <w:r w:rsidR="00043B82">
        <w:rPr>
          <w:rFonts w:ascii="Times New Roman" w:hAnsi="Times New Roman" w:cs="Times New Roman"/>
          <w:bCs/>
          <w:sz w:val="24"/>
          <w:szCs w:val="24"/>
        </w:rPr>
        <w:t xml:space="preserve">replication and </w:t>
      </w:r>
      <w:r>
        <w:rPr>
          <w:rFonts w:ascii="Times New Roman" w:hAnsi="Times New Roman" w:cs="Times New Roman"/>
          <w:bCs/>
          <w:sz w:val="24"/>
          <w:szCs w:val="24"/>
        </w:rPr>
        <w:t xml:space="preserve">heads of argument. </w:t>
      </w:r>
    </w:p>
    <w:p w14:paraId="2D582239" w14:textId="1A85D676" w:rsidR="008A60DE" w:rsidRDefault="00B41CCF" w:rsidP="008C00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next issue is whether it was improper for the plaintiff to denominate its claim in the United States dollar currency. </w:t>
      </w:r>
      <w:r w:rsidR="008C0095">
        <w:rPr>
          <w:rFonts w:ascii="Times New Roman" w:hAnsi="Times New Roman" w:cs="Times New Roman"/>
          <w:bCs/>
          <w:sz w:val="24"/>
          <w:szCs w:val="24"/>
        </w:rPr>
        <w:t xml:space="preserve">The court’s attention was drawn to the provisions of the </w:t>
      </w:r>
      <w:r w:rsidR="008C0095" w:rsidRPr="008C0095">
        <w:rPr>
          <w:rFonts w:ascii="Times New Roman" w:hAnsi="Times New Roman" w:cs="Times New Roman"/>
          <w:bCs/>
          <w:sz w:val="24"/>
          <w:szCs w:val="24"/>
        </w:rPr>
        <w:t>Exchange Control (Exclusive Use of Zimbabwe Dollar for</w:t>
      </w:r>
      <w:r w:rsidR="008C0095">
        <w:rPr>
          <w:rFonts w:ascii="Times New Roman" w:hAnsi="Times New Roman" w:cs="Times New Roman"/>
          <w:bCs/>
          <w:sz w:val="24"/>
          <w:szCs w:val="24"/>
        </w:rPr>
        <w:t xml:space="preserve"> </w:t>
      </w:r>
      <w:r w:rsidR="008C0095" w:rsidRPr="008C0095">
        <w:rPr>
          <w:rFonts w:ascii="Times New Roman" w:hAnsi="Times New Roman" w:cs="Times New Roman"/>
          <w:bCs/>
          <w:sz w:val="24"/>
          <w:szCs w:val="24"/>
        </w:rPr>
        <w:t>Domestic Transactions) Regulations, 2019</w:t>
      </w:r>
      <w:r w:rsidR="008C0095">
        <w:rPr>
          <w:rFonts w:ascii="Times New Roman" w:hAnsi="Times New Roman" w:cs="Times New Roman"/>
          <w:bCs/>
          <w:sz w:val="24"/>
          <w:szCs w:val="24"/>
        </w:rPr>
        <w:t xml:space="preserve">, promulgated as Statutory 212 of 2019. </w:t>
      </w:r>
      <w:r>
        <w:rPr>
          <w:rFonts w:ascii="Times New Roman" w:hAnsi="Times New Roman" w:cs="Times New Roman"/>
          <w:bCs/>
          <w:sz w:val="24"/>
          <w:szCs w:val="24"/>
        </w:rPr>
        <w:t xml:space="preserve"> </w:t>
      </w:r>
      <w:r w:rsidR="008A60DE">
        <w:rPr>
          <w:rFonts w:ascii="Times New Roman" w:hAnsi="Times New Roman" w:cs="Times New Roman"/>
          <w:bCs/>
          <w:sz w:val="24"/>
          <w:szCs w:val="24"/>
        </w:rPr>
        <w:t xml:space="preserve">It is instructive for me to reproduce the provisions of the said instrument that were cited by the defendant’s counsel. Section </w:t>
      </w:r>
      <w:r w:rsidR="001828E3">
        <w:rPr>
          <w:rFonts w:ascii="Times New Roman" w:hAnsi="Times New Roman" w:cs="Times New Roman"/>
          <w:bCs/>
          <w:sz w:val="24"/>
          <w:szCs w:val="24"/>
        </w:rPr>
        <w:t>3 (1) states as follows:</w:t>
      </w:r>
    </w:p>
    <w:p w14:paraId="48682056" w14:textId="48A61C1B" w:rsidR="008A60DE" w:rsidRPr="00342DFF" w:rsidRDefault="001828E3" w:rsidP="00342DFF">
      <w:pPr>
        <w:spacing w:after="0" w:line="240" w:lineRule="auto"/>
        <w:ind w:firstLine="720"/>
        <w:jc w:val="both"/>
        <w:rPr>
          <w:rFonts w:ascii="Times New Roman" w:hAnsi="Times New Roman" w:cs="Times New Roman"/>
          <w:bCs/>
        </w:rPr>
      </w:pPr>
      <w:r w:rsidRPr="00342DFF">
        <w:rPr>
          <w:rFonts w:ascii="Times New Roman" w:hAnsi="Times New Roman" w:cs="Times New Roman"/>
          <w:bCs/>
        </w:rPr>
        <w:t>“</w:t>
      </w:r>
      <w:r w:rsidR="008A60DE" w:rsidRPr="00342DFF">
        <w:rPr>
          <w:rFonts w:ascii="Times New Roman" w:hAnsi="Times New Roman" w:cs="Times New Roman"/>
          <w:bCs/>
        </w:rPr>
        <w:t>Exclusive use of Zimbabwean currency for domestic transactions</w:t>
      </w:r>
    </w:p>
    <w:p w14:paraId="248B0662" w14:textId="735DA4BD" w:rsidR="008A60DE" w:rsidRDefault="008A60DE" w:rsidP="00342DFF">
      <w:pPr>
        <w:spacing w:after="0" w:line="240" w:lineRule="auto"/>
        <w:ind w:left="720"/>
        <w:jc w:val="both"/>
        <w:rPr>
          <w:rFonts w:ascii="Times New Roman" w:hAnsi="Times New Roman" w:cs="Times New Roman"/>
          <w:bCs/>
        </w:rPr>
      </w:pPr>
      <w:r w:rsidRPr="00342DFF">
        <w:rPr>
          <w:rFonts w:ascii="Times New Roman" w:hAnsi="Times New Roman" w:cs="Times New Roman"/>
          <w:bCs/>
        </w:rPr>
        <w:t>3. (1) Subject to section 4, no person who is a party to a domestic transaction shall pay or receive as the price or the value of any consideration payable or receivable in respect of such transaction any currency other than the Zimbabwean dollar</w:t>
      </w:r>
      <w:r w:rsidR="001828E3" w:rsidRPr="00342DFF">
        <w:rPr>
          <w:rFonts w:ascii="Times New Roman" w:hAnsi="Times New Roman" w:cs="Times New Roman"/>
          <w:bCs/>
        </w:rPr>
        <w:t>”</w:t>
      </w:r>
    </w:p>
    <w:p w14:paraId="5365EF95" w14:textId="77777777" w:rsidR="00342DFF" w:rsidRPr="00342DFF" w:rsidRDefault="00342DFF" w:rsidP="00342DFF">
      <w:pPr>
        <w:spacing w:after="0" w:line="240" w:lineRule="auto"/>
        <w:ind w:left="720"/>
        <w:jc w:val="both"/>
        <w:rPr>
          <w:rFonts w:ascii="Times New Roman" w:hAnsi="Times New Roman" w:cs="Times New Roman"/>
          <w:bCs/>
        </w:rPr>
      </w:pPr>
    </w:p>
    <w:p w14:paraId="58621349" w14:textId="2DE67F31" w:rsidR="008A60DE" w:rsidRDefault="001828E3" w:rsidP="00C07425">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As already noted, the instrument de</w:t>
      </w:r>
      <w:r>
        <w:rPr>
          <w:rFonts w:ascii="Times New Roman" w:hAnsi="Times New Roman" w:cs="Times New Roman"/>
          <w:sz w:val="24"/>
          <w:szCs w:val="24"/>
        </w:rPr>
        <w:t xml:space="preserve">fines domestic transaction to include any transaction within Zimbabwe whereby goods or services are offered for sale or attempted to be offered for sale. The nature of the transaction between the </w:t>
      </w:r>
      <w:r w:rsidR="0028313C">
        <w:rPr>
          <w:rFonts w:ascii="Times New Roman" w:hAnsi="Times New Roman" w:cs="Times New Roman"/>
          <w:sz w:val="24"/>
          <w:szCs w:val="24"/>
        </w:rPr>
        <w:t xml:space="preserve">plaintiff and the defendant </w:t>
      </w:r>
      <w:r>
        <w:rPr>
          <w:rFonts w:ascii="Times New Roman" w:hAnsi="Times New Roman" w:cs="Times New Roman"/>
          <w:sz w:val="24"/>
          <w:szCs w:val="24"/>
        </w:rPr>
        <w:t xml:space="preserve">is not one of those excluded from the scope of domestic transactions in terms of s 4 of the instrument. In the </w:t>
      </w:r>
      <w:r w:rsidRPr="001828E3">
        <w:rPr>
          <w:rFonts w:ascii="Times New Roman" w:hAnsi="Times New Roman" w:cs="Times New Roman"/>
          <w:i/>
          <w:iCs/>
          <w:sz w:val="24"/>
          <w:szCs w:val="24"/>
        </w:rPr>
        <w:t xml:space="preserve">Breastplate Service (Private) Limited </w:t>
      </w:r>
      <w:r w:rsidRPr="009A6A96">
        <w:rPr>
          <w:rFonts w:ascii="Times New Roman" w:hAnsi="Times New Roman" w:cs="Times New Roman"/>
          <w:sz w:val="24"/>
          <w:szCs w:val="24"/>
        </w:rPr>
        <w:t>v</w:t>
      </w:r>
      <w:r w:rsidRPr="001828E3">
        <w:rPr>
          <w:rFonts w:ascii="Times New Roman" w:hAnsi="Times New Roman" w:cs="Times New Roman"/>
          <w:i/>
          <w:iCs/>
          <w:sz w:val="24"/>
          <w:szCs w:val="24"/>
        </w:rPr>
        <w:t xml:space="preserve"> Cambria </w:t>
      </w:r>
      <w:r>
        <w:rPr>
          <w:rFonts w:ascii="Times New Roman" w:hAnsi="Times New Roman" w:cs="Times New Roman"/>
          <w:sz w:val="24"/>
          <w:szCs w:val="24"/>
        </w:rPr>
        <w:t>matter the Supreme Court made the following comments on the said instrument:</w:t>
      </w:r>
    </w:p>
    <w:p w14:paraId="01884876" w14:textId="43D6F020" w:rsidR="001828E3" w:rsidRDefault="001828E3" w:rsidP="001828E3">
      <w:pPr>
        <w:spacing w:after="0" w:line="240" w:lineRule="auto"/>
        <w:ind w:left="720"/>
        <w:jc w:val="both"/>
        <w:rPr>
          <w:rFonts w:ascii="Times New Roman" w:hAnsi="Times New Roman" w:cs="Times New Roman"/>
        </w:rPr>
      </w:pPr>
      <w:r w:rsidRPr="001828E3">
        <w:rPr>
          <w:rFonts w:ascii="Times New Roman" w:hAnsi="Times New Roman" w:cs="Times New Roman"/>
        </w:rPr>
        <w:t>“The term “domestic transaction” is very broadly defined in s 2(1) of the Regulations, subject to s</w:t>
      </w:r>
      <w:r w:rsidR="009A6A96">
        <w:rPr>
          <w:rFonts w:ascii="Times New Roman" w:hAnsi="Times New Roman" w:cs="Times New Roman"/>
        </w:rPr>
        <w:t> </w:t>
      </w:r>
      <w:r w:rsidRPr="001828E3">
        <w:rPr>
          <w:rFonts w:ascii="Times New Roman" w:hAnsi="Times New Roman" w:cs="Times New Roman"/>
        </w:rPr>
        <w:t>4, to encompass virtually every conceivable commercial transaction within Zimbabwe. Section 3(1), which is also subject to s 4, expressly prohibits the payment or receipt of any currency other than the Zimbabwe dollar, as the price or consideration payable or receivable in respect of any domestic transaction. Section 4 enumerates those transactions which are excluded from the scope of the definition of “domestic transaction”.</w:t>
      </w:r>
    </w:p>
    <w:p w14:paraId="2484C514" w14:textId="77777777" w:rsidR="001828E3" w:rsidRPr="001828E3" w:rsidRDefault="001828E3" w:rsidP="001828E3">
      <w:pPr>
        <w:spacing w:after="0" w:line="240" w:lineRule="auto"/>
        <w:ind w:left="720"/>
        <w:jc w:val="both"/>
        <w:rPr>
          <w:rFonts w:ascii="Times New Roman" w:hAnsi="Times New Roman" w:cs="Times New Roman"/>
          <w:bCs/>
        </w:rPr>
      </w:pPr>
    </w:p>
    <w:p w14:paraId="02D5C489" w14:textId="0BE94C3F" w:rsidR="004674FB" w:rsidRDefault="001828E3" w:rsidP="0032191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plaintiff’s claim as presently couched would fall foul of </w:t>
      </w:r>
      <w:r w:rsidR="0032191B">
        <w:rPr>
          <w:rFonts w:ascii="Times New Roman" w:hAnsi="Times New Roman" w:cs="Times New Roman"/>
          <w:bCs/>
          <w:sz w:val="24"/>
          <w:szCs w:val="24"/>
        </w:rPr>
        <w:t xml:space="preserve">s 3 of the Instrument as read with the definition of domestic transaction in s 2(1) thereof. Section 3(3) of the Instrument makes it an offence for one to contravene s 3(1). The plaintiff’s claim makes it clear that the sum of US$36 660.00 was the contract price for the remaining six sites for a period of twelve months. </w:t>
      </w:r>
      <w:r w:rsidR="005023B3">
        <w:rPr>
          <w:rFonts w:ascii="Times New Roman" w:hAnsi="Times New Roman" w:cs="Times New Roman"/>
          <w:bCs/>
          <w:sz w:val="24"/>
          <w:szCs w:val="24"/>
        </w:rPr>
        <w:t xml:space="preserve">The amendments that the plaintiff sought to make had the effect of adding the words “payable at the prevailing interbank rate” to part (a) </w:t>
      </w:r>
      <w:r w:rsidR="007022AC">
        <w:rPr>
          <w:rFonts w:ascii="Times New Roman" w:hAnsi="Times New Roman" w:cs="Times New Roman"/>
          <w:bCs/>
          <w:sz w:val="24"/>
          <w:szCs w:val="24"/>
        </w:rPr>
        <w:t>of</w:t>
      </w:r>
      <w:r w:rsidR="005023B3">
        <w:rPr>
          <w:rFonts w:ascii="Times New Roman" w:hAnsi="Times New Roman" w:cs="Times New Roman"/>
          <w:bCs/>
          <w:sz w:val="24"/>
          <w:szCs w:val="24"/>
        </w:rPr>
        <w:t xml:space="preserve"> the plaintiff’s claim on the summons and to part (a) of the prayer to the declaration. </w:t>
      </w:r>
      <w:r w:rsidR="004674FB">
        <w:rPr>
          <w:rFonts w:ascii="Times New Roman" w:hAnsi="Times New Roman" w:cs="Times New Roman"/>
          <w:bCs/>
          <w:sz w:val="24"/>
          <w:szCs w:val="24"/>
        </w:rPr>
        <w:t xml:space="preserve">I can only assume that the proposed amendment was triggered by the realization that the claim as presently pleaded in the </w:t>
      </w:r>
      <w:r w:rsidR="00342DFF">
        <w:rPr>
          <w:rFonts w:ascii="Times New Roman" w:hAnsi="Times New Roman" w:cs="Times New Roman"/>
          <w:bCs/>
          <w:sz w:val="24"/>
          <w:szCs w:val="24"/>
        </w:rPr>
        <w:t>summons and</w:t>
      </w:r>
      <w:r w:rsidR="004674FB">
        <w:rPr>
          <w:rFonts w:ascii="Times New Roman" w:hAnsi="Times New Roman" w:cs="Times New Roman"/>
          <w:bCs/>
          <w:sz w:val="24"/>
          <w:szCs w:val="24"/>
        </w:rPr>
        <w:t xml:space="preserve"> declaration was not competent in view of the provisions of the Instrument. </w:t>
      </w:r>
    </w:p>
    <w:p w14:paraId="17A95D4F" w14:textId="26E99722" w:rsidR="00A53E83" w:rsidRDefault="004674FB" w:rsidP="0032191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for the foregoing reasons that I determine that there is merit in the </w:t>
      </w:r>
      <w:r w:rsidR="000D7228">
        <w:rPr>
          <w:rFonts w:ascii="Times New Roman" w:hAnsi="Times New Roman" w:cs="Times New Roman"/>
          <w:bCs/>
          <w:sz w:val="24"/>
          <w:szCs w:val="24"/>
        </w:rPr>
        <w:t>defendant</w:t>
      </w:r>
      <w:r>
        <w:rPr>
          <w:rFonts w:ascii="Times New Roman" w:hAnsi="Times New Roman" w:cs="Times New Roman"/>
          <w:bCs/>
          <w:sz w:val="24"/>
          <w:szCs w:val="24"/>
        </w:rPr>
        <w:t xml:space="preserve">’s preliminary point. </w:t>
      </w:r>
      <w:r w:rsidR="00D73269">
        <w:rPr>
          <w:rFonts w:ascii="Times New Roman" w:hAnsi="Times New Roman" w:cs="Times New Roman"/>
          <w:bCs/>
          <w:sz w:val="24"/>
          <w:szCs w:val="24"/>
        </w:rPr>
        <w:t xml:space="preserve">The plaintiff’s claim is not properly before the court and must be struck off. </w:t>
      </w:r>
      <w:r>
        <w:rPr>
          <w:rFonts w:ascii="Times New Roman" w:hAnsi="Times New Roman" w:cs="Times New Roman"/>
          <w:bCs/>
          <w:sz w:val="24"/>
          <w:szCs w:val="24"/>
        </w:rPr>
        <w:t xml:space="preserve">That being the case it becomes needless to traverse the merits of the matter.  </w:t>
      </w:r>
    </w:p>
    <w:p w14:paraId="22577ABF" w14:textId="0465A672" w:rsidR="001828E3" w:rsidRDefault="00A53E83" w:rsidP="00A53E83">
      <w:pPr>
        <w:spacing w:after="0" w:line="360" w:lineRule="auto"/>
        <w:jc w:val="both"/>
        <w:rPr>
          <w:rFonts w:ascii="Times New Roman" w:hAnsi="Times New Roman" w:cs="Times New Roman"/>
          <w:b/>
          <w:sz w:val="24"/>
          <w:szCs w:val="24"/>
        </w:rPr>
      </w:pPr>
      <w:r w:rsidRPr="00A53E83">
        <w:rPr>
          <w:rFonts w:ascii="Times New Roman" w:hAnsi="Times New Roman" w:cs="Times New Roman"/>
          <w:b/>
          <w:sz w:val="24"/>
          <w:szCs w:val="24"/>
        </w:rPr>
        <w:t>COSTS</w:t>
      </w:r>
      <w:r w:rsidR="004674FB" w:rsidRPr="00A53E83">
        <w:rPr>
          <w:rFonts w:ascii="Times New Roman" w:hAnsi="Times New Roman" w:cs="Times New Roman"/>
          <w:b/>
          <w:sz w:val="24"/>
          <w:szCs w:val="24"/>
        </w:rPr>
        <w:t xml:space="preserve"> </w:t>
      </w:r>
    </w:p>
    <w:p w14:paraId="62B7D6F1" w14:textId="27C6C73B" w:rsidR="00D73269" w:rsidRPr="009A6A96" w:rsidRDefault="00D73269" w:rsidP="009A6A96">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D73269">
        <w:rPr>
          <w:rFonts w:ascii="Times New Roman" w:hAnsi="Times New Roman" w:cs="Times New Roman"/>
          <w:bCs/>
          <w:sz w:val="24"/>
          <w:szCs w:val="24"/>
        </w:rPr>
        <w:t xml:space="preserve">The defendant’s counsel urged the court to dismiss the plaintiff’s claim with costs on the punitive scale in the event of the court finding in favour of the defendant. </w:t>
      </w:r>
      <w:r>
        <w:rPr>
          <w:rFonts w:ascii="Times New Roman" w:hAnsi="Times New Roman" w:cs="Times New Roman"/>
          <w:bCs/>
          <w:sz w:val="24"/>
          <w:szCs w:val="24"/>
        </w:rPr>
        <w:t xml:space="preserve">Punitive costs are awarded in exceptional circumstances where the conduct of the parties or the way in which litigation was conducted calls for the censure of a litigant through an award of costs on the punitive scale. The circumstances of this case do not justify an award of costs at that scale. </w:t>
      </w:r>
    </w:p>
    <w:p w14:paraId="6A850EE7" w14:textId="0645D867" w:rsidR="009459A6" w:rsidRPr="00D73269" w:rsidRDefault="009459A6" w:rsidP="009A6A96">
      <w:pPr>
        <w:spacing w:after="0"/>
        <w:ind w:firstLine="720"/>
        <w:jc w:val="both"/>
        <w:rPr>
          <w:rFonts w:ascii="Times New Roman" w:hAnsi="Times New Roman" w:cs="Times New Roman"/>
          <w:b/>
          <w:bCs/>
          <w:sz w:val="24"/>
          <w:szCs w:val="24"/>
        </w:rPr>
      </w:pPr>
      <w:r w:rsidRPr="00D73269">
        <w:rPr>
          <w:rFonts w:ascii="Times New Roman" w:hAnsi="Times New Roman" w:cs="Times New Roman"/>
          <w:b/>
          <w:bCs/>
          <w:sz w:val="24"/>
          <w:szCs w:val="24"/>
        </w:rPr>
        <w:t>Resultantly</w:t>
      </w:r>
      <w:r w:rsidR="009A6A96">
        <w:rPr>
          <w:rFonts w:ascii="Times New Roman" w:hAnsi="Times New Roman" w:cs="Times New Roman"/>
          <w:b/>
          <w:bCs/>
          <w:sz w:val="24"/>
          <w:szCs w:val="24"/>
        </w:rPr>
        <w:t>,</w:t>
      </w:r>
      <w:r w:rsidRPr="00D73269">
        <w:rPr>
          <w:rFonts w:ascii="Times New Roman" w:hAnsi="Times New Roman" w:cs="Times New Roman"/>
          <w:b/>
          <w:bCs/>
          <w:sz w:val="24"/>
          <w:szCs w:val="24"/>
        </w:rPr>
        <w:t xml:space="preserve"> </w:t>
      </w:r>
      <w:r w:rsidR="009A6A96" w:rsidRPr="00D73269">
        <w:rPr>
          <w:rFonts w:ascii="Times New Roman" w:hAnsi="Times New Roman" w:cs="Times New Roman"/>
          <w:b/>
          <w:bCs/>
          <w:sz w:val="24"/>
          <w:szCs w:val="24"/>
        </w:rPr>
        <w:t>IT IS ORDERED THAT:</w:t>
      </w:r>
    </w:p>
    <w:p w14:paraId="0D999494" w14:textId="77777777" w:rsidR="009459A6" w:rsidRPr="00DC6DE7" w:rsidRDefault="009459A6" w:rsidP="009459A6">
      <w:pPr>
        <w:spacing w:after="0"/>
        <w:jc w:val="both"/>
        <w:rPr>
          <w:rFonts w:ascii="Times New Roman" w:hAnsi="Times New Roman" w:cs="Times New Roman"/>
          <w:sz w:val="24"/>
          <w:szCs w:val="24"/>
        </w:rPr>
      </w:pPr>
    </w:p>
    <w:p w14:paraId="57E5B161" w14:textId="41912108" w:rsidR="009459A6" w:rsidRDefault="009459A6" w:rsidP="009459A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73269">
        <w:rPr>
          <w:rFonts w:ascii="Times New Roman" w:hAnsi="Times New Roman" w:cs="Times New Roman"/>
          <w:sz w:val="24"/>
          <w:szCs w:val="24"/>
        </w:rPr>
        <w:t xml:space="preserve">plaintiff’s claim is hereby struck off the roll. </w:t>
      </w:r>
    </w:p>
    <w:p w14:paraId="21D2B83F" w14:textId="14D05A1A" w:rsidR="009459A6" w:rsidRPr="009459A6" w:rsidRDefault="00D73269" w:rsidP="009459A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the defendant’s costs of suit.</w:t>
      </w:r>
      <w:r w:rsidR="009459A6">
        <w:rPr>
          <w:rFonts w:ascii="Times New Roman" w:hAnsi="Times New Roman" w:cs="Times New Roman"/>
          <w:sz w:val="24"/>
          <w:szCs w:val="24"/>
        </w:rPr>
        <w:t xml:space="preserve"> </w:t>
      </w:r>
    </w:p>
    <w:p w14:paraId="2BF312D8" w14:textId="77777777" w:rsidR="000004FE" w:rsidRDefault="000004FE" w:rsidP="006C05BB">
      <w:pPr>
        <w:spacing w:after="0" w:line="360" w:lineRule="auto"/>
        <w:ind w:firstLine="720"/>
        <w:jc w:val="both"/>
        <w:rPr>
          <w:rFonts w:ascii="Times New Roman" w:hAnsi="Times New Roman" w:cs="Times New Roman"/>
          <w:sz w:val="24"/>
          <w:szCs w:val="24"/>
        </w:rPr>
      </w:pPr>
    </w:p>
    <w:p w14:paraId="2726A6A9" w14:textId="77777777" w:rsidR="000004FE" w:rsidRDefault="000004FE" w:rsidP="006C05BB">
      <w:pPr>
        <w:spacing w:after="0" w:line="360" w:lineRule="auto"/>
        <w:ind w:firstLine="720"/>
        <w:jc w:val="both"/>
        <w:rPr>
          <w:rFonts w:ascii="Times New Roman" w:hAnsi="Times New Roman" w:cs="Times New Roman"/>
          <w:sz w:val="24"/>
          <w:szCs w:val="24"/>
        </w:rPr>
      </w:pPr>
    </w:p>
    <w:p w14:paraId="10D47218" w14:textId="77777777" w:rsidR="004B3975" w:rsidRDefault="004B3975" w:rsidP="006C05BB">
      <w:pPr>
        <w:spacing w:after="0" w:line="360" w:lineRule="auto"/>
        <w:ind w:firstLine="720"/>
        <w:jc w:val="both"/>
        <w:rPr>
          <w:rFonts w:ascii="Times New Roman" w:hAnsi="Times New Roman" w:cs="Times New Roman"/>
          <w:sz w:val="24"/>
          <w:szCs w:val="24"/>
        </w:rPr>
      </w:pPr>
    </w:p>
    <w:p w14:paraId="4129CE3F" w14:textId="54F6B46E" w:rsidR="00B10942" w:rsidRDefault="00FE422D" w:rsidP="00DD0CAF">
      <w:pPr>
        <w:spacing w:after="0"/>
        <w:jc w:val="both"/>
        <w:rPr>
          <w:rFonts w:ascii="Times New Roman" w:hAnsi="Times New Roman" w:cs="Times New Roman"/>
          <w:sz w:val="24"/>
          <w:szCs w:val="24"/>
        </w:rPr>
      </w:pPr>
      <w:r>
        <w:rPr>
          <w:rFonts w:ascii="Times New Roman" w:hAnsi="Times New Roman" w:cs="Times New Roman"/>
          <w:i/>
          <w:sz w:val="24"/>
          <w:szCs w:val="24"/>
        </w:rPr>
        <w:t>Thondhlanga &amp; Associates</w:t>
      </w:r>
      <w:r w:rsidR="00B10942">
        <w:rPr>
          <w:rFonts w:ascii="Times New Roman" w:hAnsi="Times New Roman" w:cs="Times New Roman"/>
          <w:sz w:val="24"/>
          <w:szCs w:val="24"/>
        </w:rPr>
        <w:t xml:space="preserve">, </w:t>
      </w:r>
      <w:r w:rsidR="00FB7BA4">
        <w:rPr>
          <w:rFonts w:ascii="Times New Roman" w:hAnsi="Times New Roman" w:cs="Times New Roman"/>
          <w:sz w:val="24"/>
          <w:szCs w:val="24"/>
        </w:rPr>
        <w:t xml:space="preserve">plaintiff’s </w:t>
      </w:r>
      <w:r w:rsidR="00B10942">
        <w:rPr>
          <w:rFonts w:ascii="Times New Roman" w:hAnsi="Times New Roman" w:cs="Times New Roman"/>
          <w:sz w:val="24"/>
          <w:szCs w:val="24"/>
        </w:rPr>
        <w:t>legal practitioners</w:t>
      </w:r>
    </w:p>
    <w:p w14:paraId="7BDA2452" w14:textId="32BBABE1" w:rsidR="00B10942" w:rsidRDefault="00FE422D" w:rsidP="00FE422D">
      <w:pPr>
        <w:pStyle w:val="ListParagraph"/>
        <w:tabs>
          <w:tab w:val="left" w:pos="7938"/>
        </w:tabs>
        <w:spacing w:after="0"/>
        <w:ind w:left="0"/>
        <w:jc w:val="both"/>
        <w:rPr>
          <w:rFonts w:ascii="Times New Roman" w:hAnsi="Times New Roman" w:cs="Times New Roman"/>
          <w:sz w:val="24"/>
          <w:szCs w:val="24"/>
        </w:rPr>
      </w:pPr>
      <w:r>
        <w:rPr>
          <w:rFonts w:ascii="Times New Roman" w:hAnsi="Times New Roman" w:cs="Times New Roman"/>
          <w:i/>
          <w:sz w:val="24"/>
          <w:szCs w:val="24"/>
        </w:rPr>
        <w:t xml:space="preserve">Muvingi </w:t>
      </w:r>
      <w:r w:rsidR="00FB7BA4">
        <w:rPr>
          <w:rFonts w:ascii="Times New Roman" w:hAnsi="Times New Roman" w:cs="Times New Roman"/>
          <w:i/>
          <w:sz w:val="24"/>
          <w:szCs w:val="24"/>
        </w:rPr>
        <w:t xml:space="preserve">&amp; </w:t>
      </w:r>
      <w:r>
        <w:rPr>
          <w:rFonts w:ascii="Times New Roman" w:hAnsi="Times New Roman" w:cs="Times New Roman"/>
          <w:i/>
          <w:sz w:val="24"/>
          <w:szCs w:val="24"/>
        </w:rPr>
        <w:t>Mugadza</w:t>
      </w:r>
      <w:r w:rsidR="00FB7BA4">
        <w:rPr>
          <w:rFonts w:ascii="Times New Roman" w:hAnsi="Times New Roman" w:cs="Times New Roman"/>
          <w:i/>
          <w:sz w:val="24"/>
          <w:szCs w:val="24"/>
        </w:rPr>
        <w:t xml:space="preserve">, </w:t>
      </w:r>
      <w:r w:rsidR="00FB7BA4">
        <w:rPr>
          <w:rFonts w:ascii="Times New Roman" w:hAnsi="Times New Roman" w:cs="Times New Roman"/>
          <w:sz w:val="24"/>
          <w:szCs w:val="24"/>
        </w:rPr>
        <w:t>defendant</w:t>
      </w:r>
      <w:r w:rsidR="00B10942">
        <w:rPr>
          <w:rFonts w:ascii="Times New Roman" w:hAnsi="Times New Roman" w:cs="Times New Roman"/>
          <w:sz w:val="24"/>
          <w:szCs w:val="24"/>
        </w:rPr>
        <w:t>’s legal practitioners</w:t>
      </w:r>
    </w:p>
    <w:sectPr w:rsidR="00B10942" w:rsidSect="00C732EA">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8BA2B" w14:textId="77777777" w:rsidR="00072580" w:rsidRDefault="00072580" w:rsidP="0000054D">
      <w:pPr>
        <w:spacing w:after="0" w:line="240" w:lineRule="auto"/>
      </w:pPr>
      <w:r>
        <w:separator/>
      </w:r>
    </w:p>
  </w:endnote>
  <w:endnote w:type="continuationSeparator" w:id="0">
    <w:p w14:paraId="39C7FA56" w14:textId="77777777" w:rsidR="00072580" w:rsidRDefault="00072580"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9F94D" w14:textId="77777777" w:rsidR="00072580" w:rsidRDefault="00072580" w:rsidP="0000054D">
      <w:pPr>
        <w:spacing w:after="0" w:line="240" w:lineRule="auto"/>
      </w:pPr>
      <w:r>
        <w:separator/>
      </w:r>
    </w:p>
  </w:footnote>
  <w:footnote w:type="continuationSeparator" w:id="0">
    <w:p w14:paraId="7F55F3AE" w14:textId="77777777" w:rsidR="00072580" w:rsidRDefault="00072580" w:rsidP="0000054D">
      <w:pPr>
        <w:spacing w:after="0" w:line="240" w:lineRule="auto"/>
      </w:pPr>
      <w:r>
        <w:continuationSeparator/>
      </w:r>
    </w:p>
  </w:footnote>
  <w:footnote w:id="1">
    <w:p w14:paraId="211D8BB4" w14:textId="24A279BB" w:rsidR="008E137A" w:rsidRPr="008E137A" w:rsidRDefault="008E137A">
      <w:pPr>
        <w:pStyle w:val="FootnoteText"/>
        <w:rPr>
          <w:rFonts w:ascii="Times New Roman" w:hAnsi="Times New Roman" w:cs="Times New Roman"/>
        </w:rPr>
      </w:pPr>
      <w:r w:rsidRPr="008E137A">
        <w:rPr>
          <w:rStyle w:val="FootnoteReference"/>
          <w:rFonts w:ascii="Times New Roman" w:hAnsi="Times New Roman" w:cs="Times New Roman"/>
        </w:rPr>
        <w:footnoteRef/>
      </w:r>
      <w:r w:rsidRPr="008E137A">
        <w:rPr>
          <w:rFonts w:ascii="Times New Roman" w:hAnsi="Times New Roman" w:cs="Times New Roman"/>
        </w:rPr>
        <w:t xml:space="preserve"> HH 529/15</w:t>
      </w:r>
    </w:p>
  </w:footnote>
  <w:footnote w:id="2">
    <w:p w14:paraId="5BF34607" w14:textId="0BBF2C20" w:rsidR="0069019D" w:rsidRPr="00665415" w:rsidRDefault="0069019D">
      <w:pPr>
        <w:pStyle w:val="FootnoteText"/>
        <w:rPr>
          <w:rFonts w:ascii="Times New Roman" w:hAnsi="Times New Roman" w:cs="Times New Roman"/>
        </w:rPr>
      </w:pPr>
      <w:r w:rsidRPr="00665415">
        <w:rPr>
          <w:rStyle w:val="FootnoteReference"/>
          <w:rFonts w:ascii="Times New Roman" w:hAnsi="Times New Roman" w:cs="Times New Roman"/>
        </w:rPr>
        <w:footnoteRef/>
      </w:r>
      <w:r w:rsidRPr="00665415">
        <w:rPr>
          <w:rFonts w:ascii="Times New Roman" w:hAnsi="Times New Roman" w:cs="Times New Roman"/>
        </w:rPr>
        <w:t xml:space="preserve"> [</w:t>
      </w:r>
      <w:r w:rsidRPr="00665415">
        <w:rPr>
          <w:rFonts w:ascii="Times New Roman" w:hAnsi="Times New Roman" w:cs="Times New Roman"/>
          <w:i/>
          <w:iCs/>
        </w:rPr>
        <w:t>Chapter 7:15</w:t>
      </w:r>
      <w:r w:rsidRPr="00665415">
        <w:rPr>
          <w:rFonts w:ascii="Times New Roman" w:hAnsi="Times New Roman" w:cs="Times New Roman"/>
        </w:rPr>
        <w:t>]</w:t>
      </w:r>
    </w:p>
  </w:footnote>
  <w:footnote w:id="3">
    <w:p w14:paraId="4200E961" w14:textId="74F076DE" w:rsidR="00665415" w:rsidRPr="00665415" w:rsidRDefault="00665415">
      <w:pPr>
        <w:pStyle w:val="FootnoteText"/>
        <w:rPr>
          <w:rFonts w:ascii="Times New Roman" w:hAnsi="Times New Roman" w:cs="Times New Roman"/>
        </w:rPr>
      </w:pPr>
      <w:r w:rsidRPr="00665415">
        <w:rPr>
          <w:rStyle w:val="FootnoteReference"/>
          <w:rFonts w:ascii="Times New Roman" w:hAnsi="Times New Roman" w:cs="Times New Roman"/>
        </w:rPr>
        <w:footnoteRef/>
      </w:r>
      <w:r w:rsidRPr="00665415">
        <w:rPr>
          <w:rFonts w:ascii="Times New Roman" w:hAnsi="Times New Roman" w:cs="Times New Roman"/>
        </w:rPr>
        <w:t xml:space="preserve"> See s 174 (1)(d) of the Constitution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0772D6A0" w14:textId="2165D344" w:rsidR="003C516F" w:rsidRDefault="003C516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EA0882">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0A28C077" w14:textId="484F3167" w:rsidR="009A6A96" w:rsidRDefault="005E0C40">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9A6A96">
          <w:rPr>
            <w:rFonts w:ascii="Times New Roman" w:hAnsi="Times New Roman" w:cs="Times New Roman"/>
            <w:noProof/>
            <w:sz w:val="24"/>
            <w:szCs w:val="24"/>
          </w:rPr>
          <w:t xml:space="preserve"> </w:t>
        </w:r>
        <w:r w:rsidR="00094DCF">
          <w:rPr>
            <w:rFonts w:ascii="Times New Roman" w:hAnsi="Times New Roman" w:cs="Times New Roman"/>
            <w:noProof/>
            <w:sz w:val="24"/>
            <w:szCs w:val="24"/>
          </w:rPr>
          <w:t>18-24</w:t>
        </w:r>
      </w:p>
      <w:p w14:paraId="36664C6F" w14:textId="3E9E90F9" w:rsidR="003C516F" w:rsidRPr="0000054D" w:rsidRDefault="009A6A96">
        <w:pPr>
          <w:pStyle w:val="Header"/>
          <w:jc w:val="right"/>
          <w:rPr>
            <w:rFonts w:ascii="Times New Roman" w:hAnsi="Times New Roman" w:cs="Times New Roman"/>
            <w:sz w:val="24"/>
            <w:szCs w:val="24"/>
          </w:rPr>
        </w:pPr>
        <w:r>
          <w:rPr>
            <w:rFonts w:ascii="Times New Roman" w:hAnsi="Times New Roman" w:cs="Times New Roman"/>
            <w:noProof/>
            <w:sz w:val="24"/>
            <w:szCs w:val="24"/>
          </w:rPr>
          <w:t>H</w:t>
        </w:r>
        <w:r w:rsidR="003C516F" w:rsidRPr="0000054D">
          <w:rPr>
            <w:rFonts w:ascii="Times New Roman" w:hAnsi="Times New Roman" w:cs="Times New Roman"/>
            <w:noProof/>
            <w:sz w:val="24"/>
            <w:szCs w:val="24"/>
          </w:rPr>
          <w:t xml:space="preserve">C </w:t>
        </w:r>
        <w:r w:rsidR="00FE422D">
          <w:rPr>
            <w:rFonts w:ascii="Times New Roman" w:hAnsi="Times New Roman" w:cs="Times New Roman"/>
            <w:noProof/>
            <w:sz w:val="24"/>
            <w:szCs w:val="24"/>
          </w:rPr>
          <w:t>6103</w:t>
        </w:r>
        <w:r w:rsidR="00281CD5">
          <w:rPr>
            <w:rFonts w:ascii="Times New Roman" w:hAnsi="Times New Roman" w:cs="Times New Roman"/>
            <w:noProof/>
            <w:sz w:val="24"/>
            <w:szCs w:val="24"/>
          </w:rPr>
          <w:t>/21</w:t>
        </w:r>
      </w:p>
    </w:sdtContent>
  </w:sdt>
  <w:p w14:paraId="0D8F1458" w14:textId="77777777"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5137"/>
    <w:multiLevelType w:val="hybridMultilevel"/>
    <w:tmpl w:val="33F239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0741F"/>
    <w:rsid w:val="0001570C"/>
    <w:rsid w:val="00023780"/>
    <w:rsid w:val="00025AE8"/>
    <w:rsid w:val="00027BFD"/>
    <w:rsid w:val="0003549B"/>
    <w:rsid w:val="0003558C"/>
    <w:rsid w:val="00037A47"/>
    <w:rsid w:val="00043B82"/>
    <w:rsid w:val="00055F45"/>
    <w:rsid w:val="000640E1"/>
    <w:rsid w:val="000652A4"/>
    <w:rsid w:val="00065491"/>
    <w:rsid w:val="00072580"/>
    <w:rsid w:val="00073D80"/>
    <w:rsid w:val="00090D46"/>
    <w:rsid w:val="000930C5"/>
    <w:rsid w:val="00094AC3"/>
    <w:rsid w:val="00094B58"/>
    <w:rsid w:val="00094DCF"/>
    <w:rsid w:val="000957F3"/>
    <w:rsid w:val="000A0D81"/>
    <w:rsid w:val="000A289D"/>
    <w:rsid w:val="000A3B63"/>
    <w:rsid w:val="000A4FC9"/>
    <w:rsid w:val="000A74E3"/>
    <w:rsid w:val="000B2FB8"/>
    <w:rsid w:val="000B3FE5"/>
    <w:rsid w:val="000C297E"/>
    <w:rsid w:val="000C3843"/>
    <w:rsid w:val="000C50D1"/>
    <w:rsid w:val="000D0383"/>
    <w:rsid w:val="000D7228"/>
    <w:rsid w:val="000F4340"/>
    <w:rsid w:val="000F4E18"/>
    <w:rsid w:val="00116491"/>
    <w:rsid w:val="00127892"/>
    <w:rsid w:val="00130D2A"/>
    <w:rsid w:val="0013367D"/>
    <w:rsid w:val="001420E9"/>
    <w:rsid w:val="001450D7"/>
    <w:rsid w:val="00145764"/>
    <w:rsid w:val="00164780"/>
    <w:rsid w:val="00166F81"/>
    <w:rsid w:val="001828E3"/>
    <w:rsid w:val="0019274C"/>
    <w:rsid w:val="0019720D"/>
    <w:rsid w:val="001A1A3C"/>
    <w:rsid w:val="001B53E2"/>
    <w:rsid w:val="001C7893"/>
    <w:rsid w:val="001D0EE8"/>
    <w:rsid w:val="001E4B97"/>
    <w:rsid w:val="001E570C"/>
    <w:rsid w:val="001F4B18"/>
    <w:rsid w:val="001F50F0"/>
    <w:rsid w:val="00212B74"/>
    <w:rsid w:val="002225DD"/>
    <w:rsid w:val="00234150"/>
    <w:rsid w:val="002407FA"/>
    <w:rsid w:val="00257C62"/>
    <w:rsid w:val="00260B29"/>
    <w:rsid w:val="00270501"/>
    <w:rsid w:val="002712C6"/>
    <w:rsid w:val="0027469F"/>
    <w:rsid w:val="0027560A"/>
    <w:rsid w:val="00281CD5"/>
    <w:rsid w:val="002824F6"/>
    <w:rsid w:val="0028313C"/>
    <w:rsid w:val="00283F43"/>
    <w:rsid w:val="0028687B"/>
    <w:rsid w:val="002A3F70"/>
    <w:rsid w:val="002A4723"/>
    <w:rsid w:val="002A605C"/>
    <w:rsid w:val="002A7795"/>
    <w:rsid w:val="002B6160"/>
    <w:rsid w:val="002C013C"/>
    <w:rsid w:val="002C122C"/>
    <w:rsid w:val="002D3139"/>
    <w:rsid w:val="002D6688"/>
    <w:rsid w:val="002E5D6E"/>
    <w:rsid w:val="002F6C07"/>
    <w:rsid w:val="003002AE"/>
    <w:rsid w:val="0030438A"/>
    <w:rsid w:val="0032191B"/>
    <w:rsid w:val="00325BC4"/>
    <w:rsid w:val="00327C6B"/>
    <w:rsid w:val="003323F5"/>
    <w:rsid w:val="003327A3"/>
    <w:rsid w:val="00332E79"/>
    <w:rsid w:val="00333687"/>
    <w:rsid w:val="0033379E"/>
    <w:rsid w:val="00334F23"/>
    <w:rsid w:val="00342DFF"/>
    <w:rsid w:val="00342E9B"/>
    <w:rsid w:val="003435A7"/>
    <w:rsid w:val="00360A4C"/>
    <w:rsid w:val="0036317F"/>
    <w:rsid w:val="00363772"/>
    <w:rsid w:val="0036591E"/>
    <w:rsid w:val="003665DD"/>
    <w:rsid w:val="00375251"/>
    <w:rsid w:val="003923DE"/>
    <w:rsid w:val="003A3241"/>
    <w:rsid w:val="003B1446"/>
    <w:rsid w:val="003B5E28"/>
    <w:rsid w:val="003C3C04"/>
    <w:rsid w:val="003C4CF6"/>
    <w:rsid w:val="003C516F"/>
    <w:rsid w:val="003C6B3C"/>
    <w:rsid w:val="003D2216"/>
    <w:rsid w:val="003E4192"/>
    <w:rsid w:val="003F584D"/>
    <w:rsid w:val="003F738A"/>
    <w:rsid w:val="00402393"/>
    <w:rsid w:val="00402B2E"/>
    <w:rsid w:val="004039C2"/>
    <w:rsid w:val="004050D4"/>
    <w:rsid w:val="00412CD3"/>
    <w:rsid w:val="00415265"/>
    <w:rsid w:val="004158CE"/>
    <w:rsid w:val="00420B52"/>
    <w:rsid w:val="00424BF0"/>
    <w:rsid w:val="00427D93"/>
    <w:rsid w:val="0043205B"/>
    <w:rsid w:val="00434061"/>
    <w:rsid w:val="00441C59"/>
    <w:rsid w:val="0045183E"/>
    <w:rsid w:val="00454E3E"/>
    <w:rsid w:val="00456F82"/>
    <w:rsid w:val="00463259"/>
    <w:rsid w:val="004674FB"/>
    <w:rsid w:val="004706E4"/>
    <w:rsid w:val="00473957"/>
    <w:rsid w:val="00480946"/>
    <w:rsid w:val="00490199"/>
    <w:rsid w:val="00497B15"/>
    <w:rsid w:val="004A15EC"/>
    <w:rsid w:val="004A7D9D"/>
    <w:rsid w:val="004B0384"/>
    <w:rsid w:val="004B3975"/>
    <w:rsid w:val="004B7A0C"/>
    <w:rsid w:val="004C1275"/>
    <w:rsid w:val="004C5DA4"/>
    <w:rsid w:val="004D0C89"/>
    <w:rsid w:val="004D169D"/>
    <w:rsid w:val="004E1E32"/>
    <w:rsid w:val="004F4536"/>
    <w:rsid w:val="005023B3"/>
    <w:rsid w:val="005025C9"/>
    <w:rsid w:val="00503B3E"/>
    <w:rsid w:val="0051174E"/>
    <w:rsid w:val="0052139E"/>
    <w:rsid w:val="00546827"/>
    <w:rsid w:val="0055552E"/>
    <w:rsid w:val="00560B87"/>
    <w:rsid w:val="005805AC"/>
    <w:rsid w:val="00586DDA"/>
    <w:rsid w:val="00595C10"/>
    <w:rsid w:val="005A0198"/>
    <w:rsid w:val="005B1604"/>
    <w:rsid w:val="005B58E8"/>
    <w:rsid w:val="005C52AD"/>
    <w:rsid w:val="005D03FE"/>
    <w:rsid w:val="005D046D"/>
    <w:rsid w:val="005D1173"/>
    <w:rsid w:val="005D7A59"/>
    <w:rsid w:val="005E09DD"/>
    <w:rsid w:val="005E0C40"/>
    <w:rsid w:val="005F06C3"/>
    <w:rsid w:val="0060607A"/>
    <w:rsid w:val="006243F9"/>
    <w:rsid w:val="00637E4D"/>
    <w:rsid w:val="006509F7"/>
    <w:rsid w:val="006640C4"/>
    <w:rsid w:val="00665415"/>
    <w:rsid w:val="00665D1B"/>
    <w:rsid w:val="006673CE"/>
    <w:rsid w:val="006740FA"/>
    <w:rsid w:val="00681DDB"/>
    <w:rsid w:val="00682FC0"/>
    <w:rsid w:val="0069019D"/>
    <w:rsid w:val="006911DA"/>
    <w:rsid w:val="006972FE"/>
    <w:rsid w:val="006A1B17"/>
    <w:rsid w:val="006C05BB"/>
    <w:rsid w:val="006C3A66"/>
    <w:rsid w:val="006D1A02"/>
    <w:rsid w:val="006E0E40"/>
    <w:rsid w:val="006E3AFB"/>
    <w:rsid w:val="006E4263"/>
    <w:rsid w:val="006F1E5E"/>
    <w:rsid w:val="006F55B6"/>
    <w:rsid w:val="006F7FB0"/>
    <w:rsid w:val="007022AC"/>
    <w:rsid w:val="00704B5F"/>
    <w:rsid w:val="007056C8"/>
    <w:rsid w:val="00714DA1"/>
    <w:rsid w:val="00715A64"/>
    <w:rsid w:val="00723499"/>
    <w:rsid w:val="0074061E"/>
    <w:rsid w:val="007640C9"/>
    <w:rsid w:val="007704E4"/>
    <w:rsid w:val="007711BE"/>
    <w:rsid w:val="00772ADF"/>
    <w:rsid w:val="00772DCA"/>
    <w:rsid w:val="0077616D"/>
    <w:rsid w:val="00786F3E"/>
    <w:rsid w:val="007877DA"/>
    <w:rsid w:val="00793C03"/>
    <w:rsid w:val="00793E2D"/>
    <w:rsid w:val="007A0D14"/>
    <w:rsid w:val="007B2651"/>
    <w:rsid w:val="007B290A"/>
    <w:rsid w:val="007C47BF"/>
    <w:rsid w:val="007E08E5"/>
    <w:rsid w:val="007E5891"/>
    <w:rsid w:val="007F03C7"/>
    <w:rsid w:val="007F5C6C"/>
    <w:rsid w:val="007F7A46"/>
    <w:rsid w:val="00812DAA"/>
    <w:rsid w:val="0081305E"/>
    <w:rsid w:val="00822139"/>
    <w:rsid w:val="00823504"/>
    <w:rsid w:val="0082391F"/>
    <w:rsid w:val="0082508C"/>
    <w:rsid w:val="008303E3"/>
    <w:rsid w:val="008308B0"/>
    <w:rsid w:val="008411BD"/>
    <w:rsid w:val="008446E8"/>
    <w:rsid w:val="00846BD7"/>
    <w:rsid w:val="00850812"/>
    <w:rsid w:val="00865B82"/>
    <w:rsid w:val="00876CBD"/>
    <w:rsid w:val="00876FAA"/>
    <w:rsid w:val="00885FC0"/>
    <w:rsid w:val="00886449"/>
    <w:rsid w:val="008A4812"/>
    <w:rsid w:val="008A60DE"/>
    <w:rsid w:val="008C0095"/>
    <w:rsid w:val="008C0F1C"/>
    <w:rsid w:val="008D1306"/>
    <w:rsid w:val="008D6105"/>
    <w:rsid w:val="008E137A"/>
    <w:rsid w:val="008E542A"/>
    <w:rsid w:val="008E7948"/>
    <w:rsid w:val="008F27E5"/>
    <w:rsid w:val="008F323D"/>
    <w:rsid w:val="008F3572"/>
    <w:rsid w:val="009075B4"/>
    <w:rsid w:val="00911DA2"/>
    <w:rsid w:val="00932E6F"/>
    <w:rsid w:val="009361AD"/>
    <w:rsid w:val="009459A6"/>
    <w:rsid w:val="00955BB1"/>
    <w:rsid w:val="00970438"/>
    <w:rsid w:val="00974E4B"/>
    <w:rsid w:val="0097743A"/>
    <w:rsid w:val="009803AC"/>
    <w:rsid w:val="009A0216"/>
    <w:rsid w:val="009A0AA1"/>
    <w:rsid w:val="009A46AA"/>
    <w:rsid w:val="009A6A96"/>
    <w:rsid w:val="009A6C8B"/>
    <w:rsid w:val="009C0A5E"/>
    <w:rsid w:val="009C480E"/>
    <w:rsid w:val="009C77B2"/>
    <w:rsid w:val="009D716A"/>
    <w:rsid w:val="009E0397"/>
    <w:rsid w:val="009E1418"/>
    <w:rsid w:val="009E1C83"/>
    <w:rsid w:val="009E3A23"/>
    <w:rsid w:val="009E42EB"/>
    <w:rsid w:val="009F57AD"/>
    <w:rsid w:val="00A01289"/>
    <w:rsid w:val="00A15094"/>
    <w:rsid w:val="00A173E0"/>
    <w:rsid w:val="00A21D27"/>
    <w:rsid w:val="00A31347"/>
    <w:rsid w:val="00A34A12"/>
    <w:rsid w:val="00A41366"/>
    <w:rsid w:val="00A53E83"/>
    <w:rsid w:val="00A625C9"/>
    <w:rsid w:val="00A74409"/>
    <w:rsid w:val="00A77B55"/>
    <w:rsid w:val="00A80A06"/>
    <w:rsid w:val="00A82EF8"/>
    <w:rsid w:val="00A840F8"/>
    <w:rsid w:val="00A93F20"/>
    <w:rsid w:val="00A941C0"/>
    <w:rsid w:val="00AA22CF"/>
    <w:rsid w:val="00AA32B1"/>
    <w:rsid w:val="00AB3ABB"/>
    <w:rsid w:val="00AC7B38"/>
    <w:rsid w:val="00AD029C"/>
    <w:rsid w:val="00AD033C"/>
    <w:rsid w:val="00AE5116"/>
    <w:rsid w:val="00AE5E9F"/>
    <w:rsid w:val="00AE620C"/>
    <w:rsid w:val="00AE6DFD"/>
    <w:rsid w:val="00AF1B2D"/>
    <w:rsid w:val="00AF7640"/>
    <w:rsid w:val="00B01181"/>
    <w:rsid w:val="00B04E76"/>
    <w:rsid w:val="00B06735"/>
    <w:rsid w:val="00B07359"/>
    <w:rsid w:val="00B10942"/>
    <w:rsid w:val="00B16A0A"/>
    <w:rsid w:val="00B205FA"/>
    <w:rsid w:val="00B251BE"/>
    <w:rsid w:val="00B33B5F"/>
    <w:rsid w:val="00B33FB5"/>
    <w:rsid w:val="00B41CCF"/>
    <w:rsid w:val="00B45B46"/>
    <w:rsid w:val="00B47E03"/>
    <w:rsid w:val="00B50D6F"/>
    <w:rsid w:val="00B53515"/>
    <w:rsid w:val="00B5385D"/>
    <w:rsid w:val="00B612FE"/>
    <w:rsid w:val="00B613FF"/>
    <w:rsid w:val="00B6167D"/>
    <w:rsid w:val="00B63625"/>
    <w:rsid w:val="00B650F6"/>
    <w:rsid w:val="00B65978"/>
    <w:rsid w:val="00BA113B"/>
    <w:rsid w:val="00BA2EEB"/>
    <w:rsid w:val="00BB0C4E"/>
    <w:rsid w:val="00BB6082"/>
    <w:rsid w:val="00BC67FB"/>
    <w:rsid w:val="00BD0AD7"/>
    <w:rsid w:val="00BD3010"/>
    <w:rsid w:val="00BE70BF"/>
    <w:rsid w:val="00BF14F8"/>
    <w:rsid w:val="00BF6D5B"/>
    <w:rsid w:val="00C0489F"/>
    <w:rsid w:val="00C07425"/>
    <w:rsid w:val="00C151F8"/>
    <w:rsid w:val="00C21FA2"/>
    <w:rsid w:val="00C22645"/>
    <w:rsid w:val="00C251A5"/>
    <w:rsid w:val="00C357F6"/>
    <w:rsid w:val="00C35BA0"/>
    <w:rsid w:val="00C363C0"/>
    <w:rsid w:val="00C4453A"/>
    <w:rsid w:val="00C66769"/>
    <w:rsid w:val="00C72C68"/>
    <w:rsid w:val="00C732EA"/>
    <w:rsid w:val="00C736F9"/>
    <w:rsid w:val="00C74EF1"/>
    <w:rsid w:val="00C77C77"/>
    <w:rsid w:val="00C829AB"/>
    <w:rsid w:val="00C92A9F"/>
    <w:rsid w:val="00CC044A"/>
    <w:rsid w:val="00CC2B20"/>
    <w:rsid w:val="00CC6961"/>
    <w:rsid w:val="00CD1E5B"/>
    <w:rsid w:val="00CD2521"/>
    <w:rsid w:val="00CD3DD2"/>
    <w:rsid w:val="00CD6B9E"/>
    <w:rsid w:val="00CE3C74"/>
    <w:rsid w:val="00CE60E5"/>
    <w:rsid w:val="00CE65EF"/>
    <w:rsid w:val="00CF2FC7"/>
    <w:rsid w:val="00CF7A6C"/>
    <w:rsid w:val="00D05A9F"/>
    <w:rsid w:val="00D235A3"/>
    <w:rsid w:val="00D26A4D"/>
    <w:rsid w:val="00D310AD"/>
    <w:rsid w:val="00D34DEF"/>
    <w:rsid w:val="00D40A96"/>
    <w:rsid w:val="00D47C77"/>
    <w:rsid w:val="00D52794"/>
    <w:rsid w:val="00D67C61"/>
    <w:rsid w:val="00D70375"/>
    <w:rsid w:val="00D7212F"/>
    <w:rsid w:val="00D73269"/>
    <w:rsid w:val="00D80706"/>
    <w:rsid w:val="00D8319C"/>
    <w:rsid w:val="00D831CA"/>
    <w:rsid w:val="00D911E3"/>
    <w:rsid w:val="00D925FC"/>
    <w:rsid w:val="00D93ADC"/>
    <w:rsid w:val="00D97F79"/>
    <w:rsid w:val="00DA3109"/>
    <w:rsid w:val="00DA36F6"/>
    <w:rsid w:val="00DA3F49"/>
    <w:rsid w:val="00DA498F"/>
    <w:rsid w:val="00DB205F"/>
    <w:rsid w:val="00DB3423"/>
    <w:rsid w:val="00DC365F"/>
    <w:rsid w:val="00DD0CAF"/>
    <w:rsid w:val="00DD395B"/>
    <w:rsid w:val="00DD42D3"/>
    <w:rsid w:val="00DD6028"/>
    <w:rsid w:val="00DE410B"/>
    <w:rsid w:val="00DF17D3"/>
    <w:rsid w:val="00E1217A"/>
    <w:rsid w:val="00E13C9D"/>
    <w:rsid w:val="00E15F9B"/>
    <w:rsid w:val="00E24460"/>
    <w:rsid w:val="00E2629A"/>
    <w:rsid w:val="00E347DD"/>
    <w:rsid w:val="00E35334"/>
    <w:rsid w:val="00E41370"/>
    <w:rsid w:val="00E458D3"/>
    <w:rsid w:val="00E472A8"/>
    <w:rsid w:val="00E532CB"/>
    <w:rsid w:val="00E53628"/>
    <w:rsid w:val="00E6012E"/>
    <w:rsid w:val="00EA0882"/>
    <w:rsid w:val="00EA28F9"/>
    <w:rsid w:val="00EA47BE"/>
    <w:rsid w:val="00EF3337"/>
    <w:rsid w:val="00EF72E1"/>
    <w:rsid w:val="00F10775"/>
    <w:rsid w:val="00F156EA"/>
    <w:rsid w:val="00F17F50"/>
    <w:rsid w:val="00F256B2"/>
    <w:rsid w:val="00F42753"/>
    <w:rsid w:val="00F51D0E"/>
    <w:rsid w:val="00F560E1"/>
    <w:rsid w:val="00F75077"/>
    <w:rsid w:val="00F77ABC"/>
    <w:rsid w:val="00F80F77"/>
    <w:rsid w:val="00F816C2"/>
    <w:rsid w:val="00F82947"/>
    <w:rsid w:val="00F838A8"/>
    <w:rsid w:val="00F855CE"/>
    <w:rsid w:val="00F87F0D"/>
    <w:rsid w:val="00F93136"/>
    <w:rsid w:val="00F93F31"/>
    <w:rsid w:val="00F961C0"/>
    <w:rsid w:val="00FA3679"/>
    <w:rsid w:val="00FA4EF9"/>
    <w:rsid w:val="00FA724D"/>
    <w:rsid w:val="00FB5179"/>
    <w:rsid w:val="00FB7BA4"/>
    <w:rsid w:val="00FC403D"/>
    <w:rsid w:val="00FD4E3F"/>
    <w:rsid w:val="00FE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04DC9"/>
  <w15:docId w15:val="{2D7B792A-C9DF-47D5-91C5-88CF5378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901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customStyle="1" w:styleId="Heading2Char">
    <w:name w:val="Heading 2 Char"/>
    <w:basedOn w:val="DefaultParagraphFont"/>
    <w:link w:val="Heading2"/>
    <w:uiPriority w:val="9"/>
    <w:semiHidden/>
    <w:rsid w:val="0069019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5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D831-1BF7-4D49-838F-BDD53F6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2020-01-10T00:08:00Z</cp:lastPrinted>
  <dcterms:created xsi:type="dcterms:W3CDTF">2024-01-19T09:42:00Z</dcterms:created>
  <dcterms:modified xsi:type="dcterms:W3CDTF">2024-01-19T09:42:00Z</dcterms:modified>
</cp:coreProperties>
</file>