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CE" w:rsidRDefault="00092BCE" w:rsidP="0067464E">
      <w:pPr>
        <w:spacing w:after="0" w:line="360" w:lineRule="auto"/>
        <w:rPr>
          <w:b/>
          <w:sz w:val="28"/>
          <w:szCs w:val="28"/>
        </w:rPr>
      </w:pPr>
      <w:r>
        <w:rPr>
          <w:b/>
          <w:sz w:val="28"/>
          <w:szCs w:val="28"/>
        </w:rPr>
        <w:t>IN THE LA</w:t>
      </w:r>
      <w:r w:rsidR="00DD4B36">
        <w:rPr>
          <w:b/>
          <w:sz w:val="28"/>
          <w:szCs w:val="28"/>
        </w:rPr>
        <w:t>BOUR COURT OF ZIMBABWE</w:t>
      </w:r>
      <w:r w:rsidR="00DD4B36">
        <w:rPr>
          <w:b/>
          <w:sz w:val="28"/>
          <w:szCs w:val="28"/>
        </w:rPr>
        <w:tab/>
        <w:t xml:space="preserve">        </w:t>
      </w:r>
      <w:r>
        <w:rPr>
          <w:b/>
          <w:sz w:val="28"/>
          <w:szCs w:val="28"/>
        </w:rPr>
        <w:t>JUDGMENT NO LC/</w:t>
      </w:r>
      <w:r w:rsidR="00DD4B36">
        <w:rPr>
          <w:b/>
          <w:sz w:val="28"/>
          <w:szCs w:val="28"/>
        </w:rPr>
        <w:t>MC/31/13</w:t>
      </w:r>
    </w:p>
    <w:p w:rsidR="00092BCE" w:rsidRDefault="00092BCE" w:rsidP="0067464E">
      <w:pPr>
        <w:spacing w:after="0" w:line="360" w:lineRule="auto"/>
        <w:rPr>
          <w:b/>
          <w:sz w:val="28"/>
          <w:szCs w:val="28"/>
        </w:rPr>
      </w:pPr>
      <w:r>
        <w:rPr>
          <w:b/>
          <w:sz w:val="28"/>
          <w:szCs w:val="28"/>
        </w:rPr>
        <w:t>M</w:t>
      </w:r>
      <w:r w:rsidR="00DD4B36">
        <w:rPr>
          <w:b/>
          <w:sz w:val="28"/>
          <w:szCs w:val="28"/>
        </w:rPr>
        <w:t>UTARE</w:t>
      </w:r>
      <w:r>
        <w:rPr>
          <w:b/>
          <w:sz w:val="28"/>
          <w:szCs w:val="28"/>
        </w:rPr>
        <w:t xml:space="preserve"> </w:t>
      </w:r>
      <w:r w:rsidR="00DD4B36">
        <w:rPr>
          <w:b/>
          <w:sz w:val="28"/>
          <w:szCs w:val="28"/>
        </w:rPr>
        <w:t>23</w:t>
      </w:r>
      <w:r w:rsidR="00DD4B36" w:rsidRPr="00DD4B36">
        <w:rPr>
          <w:b/>
          <w:sz w:val="28"/>
          <w:szCs w:val="28"/>
          <w:vertAlign w:val="superscript"/>
        </w:rPr>
        <w:t>RD</w:t>
      </w:r>
      <w:r w:rsidR="00DD4B36">
        <w:rPr>
          <w:b/>
          <w:sz w:val="28"/>
          <w:szCs w:val="28"/>
        </w:rPr>
        <w:t xml:space="preserve"> SEPTEMBER, 2013</w:t>
      </w:r>
      <w:r w:rsidR="00DD4B36">
        <w:rPr>
          <w:b/>
          <w:sz w:val="28"/>
          <w:szCs w:val="28"/>
        </w:rPr>
        <w:tab/>
      </w:r>
      <w:r w:rsidR="00DD4B36">
        <w:rPr>
          <w:b/>
          <w:sz w:val="28"/>
          <w:szCs w:val="28"/>
        </w:rPr>
        <w:tab/>
      </w:r>
      <w:r w:rsidR="00DD4B36">
        <w:rPr>
          <w:b/>
          <w:sz w:val="28"/>
          <w:szCs w:val="28"/>
        </w:rPr>
        <w:tab/>
        <w:t xml:space="preserve">        CASE NO LC/MC/56</w:t>
      </w:r>
      <w:r>
        <w:rPr>
          <w:b/>
          <w:sz w:val="28"/>
          <w:szCs w:val="28"/>
        </w:rPr>
        <w:t>/11</w:t>
      </w:r>
    </w:p>
    <w:p w:rsidR="00092BCE" w:rsidRDefault="0067464E" w:rsidP="0067464E">
      <w:pPr>
        <w:spacing w:after="0" w:line="360" w:lineRule="auto"/>
        <w:rPr>
          <w:b/>
          <w:sz w:val="28"/>
          <w:szCs w:val="28"/>
        </w:rPr>
      </w:pPr>
      <w:r>
        <w:rPr>
          <w:b/>
          <w:sz w:val="28"/>
          <w:szCs w:val="28"/>
        </w:rPr>
        <w:t>AND 11</w:t>
      </w:r>
      <w:r w:rsidRPr="0067464E">
        <w:rPr>
          <w:b/>
          <w:sz w:val="28"/>
          <w:szCs w:val="28"/>
          <w:vertAlign w:val="superscript"/>
        </w:rPr>
        <w:t>TH</w:t>
      </w:r>
      <w:r>
        <w:rPr>
          <w:b/>
          <w:sz w:val="28"/>
          <w:szCs w:val="28"/>
        </w:rPr>
        <w:t xml:space="preserve"> OCTOBER, 2013 </w:t>
      </w:r>
    </w:p>
    <w:p w:rsidR="0067464E" w:rsidRDefault="0067464E" w:rsidP="0067464E">
      <w:pPr>
        <w:spacing w:after="120"/>
        <w:rPr>
          <w:b/>
          <w:sz w:val="28"/>
          <w:szCs w:val="28"/>
        </w:rPr>
      </w:pPr>
    </w:p>
    <w:p w:rsidR="00092BCE" w:rsidRDefault="00DD4B36" w:rsidP="00DD4B36">
      <w:pPr>
        <w:spacing w:line="240" w:lineRule="auto"/>
        <w:rPr>
          <w:b/>
          <w:sz w:val="28"/>
          <w:szCs w:val="28"/>
        </w:rPr>
      </w:pPr>
      <w:r>
        <w:rPr>
          <w:b/>
          <w:sz w:val="28"/>
          <w:szCs w:val="28"/>
        </w:rPr>
        <w:t xml:space="preserve">MANICA BOARDS </w:t>
      </w:r>
      <w:r w:rsidR="00F77A62">
        <w:rPr>
          <w:b/>
          <w:sz w:val="28"/>
          <w:szCs w:val="28"/>
        </w:rPr>
        <w:t>&amp;</w:t>
      </w:r>
      <w:r>
        <w:rPr>
          <w:b/>
          <w:sz w:val="28"/>
          <w:szCs w:val="28"/>
        </w:rPr>
        <w:t xml:space="preserve"> DOORS (PRIVATE) LIMITED</w:t>
      </w:r>
      <w:r>
        <w:rPr>
          <w:b/>
          <w:sz w:val="28"/>
          <w:szCs w:val="28"/>
        </w:rPr>
        <w:tab/>
      </w:r>
      <w:r w:rsidR="00092BCE">
        <w:rPr>
          <w:b/>
          <w:sz w:val="28"/>
          <w:szCs w:val="28"/>
        </w:rPr>
        <w:tab/>
      </w:r>
      <w:r w:rsidR="00F77A62">
        <w:rPr>
          <w:b/>
          <w:sz w:val="28"/>
          <w:szCs w:val="28"/>
        </w:rPr>
        <w:tab/>
      </w:r>
      <w:r w:rsidR="00092BCE">
        <w:rPr>
          <w:b/>
          <w:sz w:val="28"/>
          <w:szCs w:val="28"/>
        </w:rPr>
        <w:t>Appellant</w:t>
      </w:r>
    </w:p>
    <w:p w:rsidR="00DD4B36" w:rsidRDefault="00DD4B36" w:rsidP="0067464E">
      <w:pPr>
        <w:spacing w:after="120" w:line="240" w:lineRule="auto"/>
        <w:rPr>
          <w:b/>
          <w:sz w:val="28"/>
          <w:szCs w:val="28"/>
        </w:rPr>
      </w:pPr>
    </w:p>
    <w:p w:rsidR="00092BCE" w:rsidRDefault="00DD4B36" w:rsidP="00092BCE">
      <w:pPr>
        <w:spacing w:after="0" w:line="240" w:lineRule="auto"/>
        <w:rPr>
          <w:b/>
          <w:sz w:val="28"/>
          <w:szCs w:val="28"/>
        </w:rPr>
      </w:pPr>
      <w:r>
        <w:rPr>
          <w:b/>
          <w:sz w:val="28"/>
          <w:szCs w:val="28"/>
        </w:rPr>
        <w:t>KUDAKWASHE PISIRAI</w:t>
      </w:r>
      <w:r>
        <w:rPr>
          <w:b/>
          <w:sz w:val="28"/>
          <w:szCs w:val="28"/>
        </w:rPr>
        <w:tab/>
      </w:r>
      <w:r>
        <w:rPr>
          <w:b/>
          <w:sz w:val="28"/>
          <w:szCs w:val="28"/>
        </w:rPr>
        <w:tab/>
      </w:r>
      <w:r>
        <w:rPr>
          <w:b/>
          <w:sz w:val="28"/>
          <w:szCs w:val="28"/>
        </w:rPr>
        <w:tab/>
      </w:r>
      <w:r w:rsidR="00092BCE">
        <w:rPr>
          <w:b/>
          <w:sz w:val="28"/>
          <w:szCs w:val="28"/>
        </w:rPr>
        <w:tab/>
      </w:r>
      <w:r w:rsidR="00092BCE">
        <w:rPr>
          <w:b/>
          <w:sz w:val="28"/>
          <w:szCs w:val="28"/>
        </w:rPr>
        <w:tab/>
      </w:r>
      <w:r w:rsidR="00092BCE">
        <w:rPr>
          <w:b/>
          <w:sz w:val="28"/>
          <w:szCs w:val="28"/>
        </w:rPr>
        <w:tab/>
      </w:r>
      <w:r w:rsidR="00092BCE">
        <w:rPr>
          <w:b/>
          <w:sz w:val="28"/>
          <w:szCs w:val="28"/>
        </w:rPr>
        <w:tab/>
        <w:t>Respondent</w:t>
      </w:r>
    </w:p>
    <w:p w:rsidR="00092BCE" w:rsidRDefault="00092BCE" w:rsidP="00092BCE">
      <w:pPr>
        <w:spacing w:after="0" w:line="240" w:lineRule="auto"/>
        <w:rPr>
          <w:sz w:val="28"/>
          <w:szCs w:val="28"/>
        </w:rPr>
      </w:pPr>
    </w:p>
    <w:p w:rsidR="00092BCE" w:rsidRDefault="00092BCE" w:rsidP="00092BCE">
      <w:pPr>
        <w:spacing w:after="0" w:line="240" w:lineRule="auto"/>
        <w:rPr>
          <w:sz w:val="28"/>
          <w:szCs w:val="28"/>
        </w:rPr>
      </w:pPr>
    </w:p>
    <w:p w:rsidR="00092BCE" w:rsidRDefault="00092BCE" w:rsidP="00DD4B36">
      <w:pPr>
        <w:spacing w:after="0" w:line="360" w:lineRule="auto"/>
        <w:rPr>
          <w:sz w:val="28"/>
          <w:szCs w:val="28"/>
        </w:rPr>
      </w:pPr>
      <w:r>
        <w:rPr>
          <w:sz w:val="28"/>
          <w:szCs w:val="28"/>
        </w:rPr>
        <w:t xml:space="preserve">Before The Honourable G Musariri, </w:t>
      </w:r>
      <w:r w:rsidR="00DD4B36">
        <w:rPr>
          <w:sz w:val="28"/>
          <w:szCs w:val="28"/>
        </w:rPr>
        <w:t>Judge:</w:t>
      </w:r>
    </w:p>
    <w:p w:rsidR="00F77A62" w:rsidRPr="00DD4B36" w:rsidRDefault="00F77A62" w:rsidP="00DD4B36">
      <w:pPr>
        <w:spacing w:after="0" w:line="360" w:lineRule="auto"/>
        <w:rPr>
          <w:sz w:val="28"/>
          <w:szCs w:val="28"/>
        </w:rPr>
      </w:pPr>
    </w:p>
    <w:p w:rsidR="00DD4B36" w:rsidRDefault="00092BCE" w:rsidP="00DD4B36">
      <w:pPr>
        <w:spacing w:after="0" w:line="360" w:lineRule="auto"/>
        <w:rPr>
          <w:b/>
          <w:sz w:val="28"/>
          <w:szCs w:val="28"/>
        </w:rPr>
      </w:pPr>
      <w:r>
        <w:rPr>
          <w:b/>
          <w:sz w:val="28"/>
          <w:szCs w:val="28"/>
        </w:rPr>
        <w:t xml:space="preserve">For </w:t>
      </w:r>
      <w:r w:rsidR="00DD4B36">
        <w:rPr>
          <w:b/>
          <w:sz w:val="28"/>
          <w:szCs w:val="28"/>
        </w:rPr>
        <w:t>Appellant:</w:t>
      </w:r>
      <w:r w:rsidR="00DD4B36">
        <w:rPr>
          <w:b/>
          <w:sz w:val="28"/>
          <w:szCs w:val="28"/>
        </w:rPr>
        <w:tab/>
      </w:r>
      <w:r w:rsidR="00DD4B36">
        <w:rPr>
          <w:b/>
          <w:sz w:val="28"/>
          <w:szCs w:val="28"/>
        </w:rPr>
        <w:tab/>
        <w:t>Ms. Y. Nyambo, Attorney</w:t>
      </w:r>
    </w:p>
    <w:p w:rsidR="00092BCE" w:rsidRPr="00EA4604" w:rsidRDefault="00092BCE" w:rsidP="00DD4B36">
      <w:pPr>
        <w:spacing w:after="0" w:line="360" w:lineRule="auto"/>
        <w:rPr>
          <w:b/>
          <w:sz w:val="28"/>
          <w:szCs w:val="28"/>
        </w:rPr>
      </w:pPr>
      <w:r>
        <w:rPr>
          <w:b/>
          <w:sz w:val="28"/>
          <w:szCs w:val="28"/>
        </w:rPr>
        <w:t>For Respondent</w:t>
      </w:r>
      <w:r w:rsidR="00DD4B36">
        <w:rPr>
          <w:b/>
          <w:sz w:val="28"/>
          <w:szCs w:val="28"/>
        </w:rPr>
        <w:t>:</w:t>
      </w:r>
      <w:r w:rsidR="00DD4B36">
        <w:rPr>
          <w:b/>
          <w:sz w:val="28"/>
          <w:szCs w:val="28"/>
        </w:rPr>
        <w:tab/>
      </w:r>
      <w:r w:rsidR="00DD4B36">
        <w:rPr>
          <w:b/>
          <w:sz w:val="28"/>
          <w:szCs w:val="28"/>
        </w:rPr>
        <w:tab/>
      </w:r>
      <w:r>
        <w:rPr>
          <w:b/>
          <w:sz w:val="28"/>
          <w:szCs w:val="28"/>
        </w:rPr>
        <w:t>Mr</w:t>
      </w:r>
      <w:r w:rsidR="00DD4B36">
        <w:rPr>
          <w:b/>
          <w:sz w:val="28"/>
          <w:szCs w:val="28"/>
        </w:rPr>
        <w:t>. D. Tandiri, Attorney</w:t>
      </w:r>
    </w:p>
    <w:p w:rsidR="00092BCE" w:rsidRDefault="00092BCE" w:rsidP="0067464E">
      <w:pPr>
        <w:spacing w:after="120"/>
        <w:rPr>
          <w:b/>
          <w:sz w:val="28"/>
          <w:szCs w:val="28"/>
        </w:rPr>
      </w:pPr>
    </w:p>
    <w:p w:rsidR="00092BCE" w:rsidRDefault="00092BCE" w:rsidP="00092BCE">
      <w:pPr>
        <w:rPr>
          <w:b/>
          <w:sz w:val="28"/>
          <w:szCs w:val="28"/>
        </w:rPr>
      </w:pPr>
      <w:r>
        <w:rPr>
          <w:b/>
          <w:sz w:val="28"/>
          <w:szCs w:val="28"/>
        </w:rPr>
        <w:t>MUSARIRI, G:</w:t>
      </w:r>
    </w:p>
    <w:p w:rsidR="00ED3B87" w:rsidRPr="008972AF" w:rsidRDefault="00ED3B87" w:rsidP="0067464E">
      <w:pPr>
        <w:spacing w:after="0" w:line="240" w:lineRule="auto"/>
        <w:rPr>
          <w:sz w:val="28"/>
          <w:szCs w:val="28"/>
        </w:rPr>
      </w:pPr>
    </w:p>
    <w:p w:rsidR="008972AF" w:rsidRDefault="008972AF" w:rsidP="00451D5E">
      <w:pPr>
        <w:spacing w:after="0" w:line="360" w:lineRule="auto"/>
        <w:jc w:val="both"/>
        <w:rPr>
          <w:sz w:val="28"/>
          <w:szCs w:val="28"/>
        </w:rPr>
      </w:pPr>
      <w:r w:rsidRPr="008972AF">
        <w:rPr>
          <w:sz w:val="28"/>
          <w:szCs w:val="28"/>
        </w:rPr>
        <w:tab/>
        <w:t xml:space="preserve">On </w:t>
      </w:r>
      <w:r>
        <w:rPr>
          <w:sz w:val="28"/>
          <w:szCs w:val="28"/>
        </w:rPr>
        <w:t>30</w:t>
      </w:r>
      <w:r w:rsidRPr="008972AF">
        <w:rPr>
          <w:sz w:val="28"/>
          <w:szCs w:val="28"/>
          <w:vertAlign w:val="superscript"/>
        </w:rPr>
        <w:t>th</w:t>
      </w:r>
      <w:r>
        <w:rPr>
          <w:sz w:val="28"/>
          <w:szCs w:val="28"/>
        </w:rPr>
        <w:t xml:space="preserve"> August, 2011 the Honourable N.A. Mutongoreni made an arbitration award.  In terms thereof he ordered Appellant to sell a company car to</w:t>
      </w:r>
      <w:r w:rsidR="00F77A62">
        <w:rPr>
          <w:sz w:val="28"/>
          <w:szCs w:val="28"/>
        </w:rPr>
        <w:t xml:space="preserve"> Respondent or alternatively </w:t>
      </w:r>
      <w:r>
        <w:rPr>
          <w:sz w:val="28"/>
          <w:szCs w:val="28"/>
        </w:rPr>
        <w:t>pay him the residual value of the car.  Appellant then appealed to this Court against the award.</w:t>
      </w:r>
    </w:p>
    <w:p w:rsidR="00451D5E" w:rsidRDefault="00451D5E" w:rsidP="00451D5E">
      <w:pPr>
        <w:spacing w:after="0" w:line="360" w:lineRule="auto"/>
        <w:jc w:val="both"/>
        <w:rPr>
          <w:sz w:val="28"/>
          <w:szCs w:val="28"/>
        </w:rPr>
      </w:pPr>
    </w:p>
    <w:p w:rsidR="00451D5E" w:rsidRDefault="00451D5E" w:rsidP="00451D5E">
      <w:pPr>
        <w:spacing w:after="0" w:line="360" w:lineRule="auto"/>
        <w:jc w:val="both"/>
        <w:rPr>
          <w:sz w:val="28"/>
          <w:szCs w:val="28"/>
        </w:rPr>
      </w:pPr>
      <w:r>
        <w:rPr>
          <w:sz w:val="28"/>
          <w:szCs w:val="28"/>
        </w:rPr>
        <w:tab/>
        <w:t>Appellant employed Respondent from 2007 as its Human Resources Manager at Mutare.  Respondent resigned from employment on the 4</w:t>
      </w:r>
      <w:r w:rsidRPr="00451D5E">
        <w:rPr>
          <w:sz w:val="28"/>
          <w:szCs w:val="28"/>
          <w:vertAlign w:val="superscript"/>
        </w:rPr>
        <w:t>th</w:t>
      </w:r>
      <w:r>
        <w:rPr>
          <w:sz w:val="28"/>
          <w:szCs w:val="28"/>
        </w:rPr>
        <w:t xml:space="preserve"> May, 2011.  At the time of resignation he had been allocated the company car in terms of Appellant’s Motor Vehicle Policy.  A copy of the Policy is filed of record.  Its paragraph 11.5 read as follows,</w:t>
      </w:r>
    </w:p>
    <w:p w:rsidR="002E2D52" w:rsidRDefault="00451D5E" w:rsidP="002E2D52">
      <w:pPr>
        <w:spacing w:after="0" w:line="360" w:lineRule="auto"/>
        <w:ind w:left="720" w:firstLine="720"/>
        <w:jc w:val="both"/>
        <w:rPr>
          <w:rFonts w:ascii="Times New Roman" w:hAnsi="Times New Roman" w:cs="Times New Roman"/>
          <w:i/>
          <w:sz w:val="24"/>
          <w:szCs w:val="24"/>
        </w:rPr>
      </w:pPr>
      <w:r w:rsidRPr="002E2D52">
        <w:rPr>
          <w:rFonts w:ascii="Times New Roman" w:hAnsi="Times New Roman" w:cs="Times New Roman"/>
          <w:i/>
          <w:sz w:val="24"/>
          <w:szCs w:val="24"/>
        </w:rPr>
        <w:t>“In the event of terminating employment and after having used the vehicle for less than five years, the vehicle shall not be offered to the employee as it will be required elsewhere in the business</w:t>
      </w:r>
      <w:r w:rsidR="00ED68C2" w:rsidRPr="002E2D52">
        <w:rPr>
          <w:rFonts w:ascii="Times New Roman" w:hAnsi="Times New Roman" w:cs="Times New Roman"/>
          <w:i/>
          <w:sz w:val="24"/>
          <w:szCs w:val="24"/>
        </w:rPr>
        <w:t xml:space="preserve">.  Only Executive Managers in grades E and above </w:t>
      </w:r>
      <w:r w:rsidR="00ED68C2" w:rsidRPr="002E2D52">
        <w:rPr>
          <w:rFonts w:ascii="Times New Roman" w:hAnsi="Times New Roman" w:cs="Times New Roman"/>
          <w:i/>
          <w:sz w:val="24"/>
          <w:szCs w:val="24"/>
        </w:rPr>
        <w:lastRenderedPageBreak/>
        <w:t xml:space="preserve">who </w:t>
      </w:r>
      <w:r w:rsidR="00ED68C2" w:rsidRPr="002E2D52">
        <w:rPr>
          <w:rFonts w:ascii="Times New Roman" w:hAnsi="Times New Roman" w:cs="Times New Roman"/>
          <w:i/>
          <w:sz w:val="24"/>
          <w:szCs w:val="24"/>
          <w:u w:val="single"/>
        </w:rPr>
        <w:t>resign/retire</w:t>
      </w:r>
      <w:r w:rsidR="00ED68C2" w:rsidRPr="002E2D52">
        <w:rPr>
          <w:rFonts w:ascii="Times New Roman" w:hAnsi="Times New Roman" w:cs="Times New Roman"/>
          <w:i/>
          <w:sz w:val="24"/>
          <w:szCs w:val="24"/>
        </w:rPr>
        <w:t xml:space="preserve"> after three (3) years of using the vehicle can purchase the vehicle at 50%</w:t>
      </w:r>
      <w:r w:rsidR="002E2D52" w:rsidRPr="002E2D52">
        <w:rPr>
          <w:rFonts w:ascii="Times New Roman" w:hAnsi="Times New Roman" w:cs="Times New Roman"/>
          <w:i/>
          <w:sz w:val="24"/>
          <w:szCs w:val="24"/>
        </w:rPr>
        <w:t>(at three years) or 30% at four years) of either the</w:t>
      </w:r>
      <w:r w:rsidR="002E2D52">
        <w:rPr>
          <w:rFonts w:ascii="Times New Roman" w:hAnsi="Times New Roman" w:cs="Times New Roman"/>
          <w:i/>
          <w:sz w:val="24"/>
          <w:szCs w:val="24"/>
        </w:rPr>
        <w:t xml:space="preserve"> cost to replace the same/sim</w:t>
      </w:r>
      <w:r w:rsidR="002E2D52" w:rsidRPr="002E2D52">
        <w:rPr>
          <w:rFonts w:ascii="Times New Roman" w:hAnsi="Times New Roman" w:cs="Times New Roman"/>
          <w:i/>
          <w:sz w:val="24"/>
          <w:szCs w:val="24"/>
        </w:rPr>
        <w:t>i</w:t>
      </w:r>
      <w:r w:rsidR="002E2D52">
        <w:rPr>
          <w:rFonts w:ascii="Times New Roman" w:hAnsi="Times New Roman" w:cs="Times New Roman"/>
          <w:i/>
          <w:sz w:val="24"/>
          <w:szCs w:val="24"/>
        </w:rPr>
        <w:t>l</w:t>
      </w:r>
      <w:r w:rsidR="002E2D52" w:rsidRPr="002E2D52">
        <w:rPr>
          <w:rFonts w:ascii="Times New Roman" w:hAnsi="Times New Roman" w:cs="Times New Roman"/>
          <w:i/>
          <w:sz w:val="24"/>
          <w:szCs w:val="24"/>
        </w:rPr>
        <w:t xml:space="preserve">ar type vehicle or the market value (AAZ) </w:t>
      </w:r>
      <w:r w:rsidR="00F77A62">
        <w:rPr>
          <w:rFonts w:ascii="Times New Roman" w:hAnsi="Times New Roman" w:cs="Times New Roman"/>
          <w:i/>
          <w:sz w:val="24"/>
          <w:szCs w:val="24"/>
        </w:rPr>
        <w:t>which</w:t>
      </w:r>
      <w:r w:rsidR="002E2D52" w:rsidRPr="002E2D52">
        <w:rPr>
          <w:rFonts w:ascii="Times New Roman" w:hAnsi="Times New Roman" w:cs="Times New Roman"/>
          <w:i/>
          <w:sz w:val="24"/>
          <w:szCs w:val="24"/>
        </w:rPr>
        <w:t>ever is the lesser”</w:t>
      </w:r>
      <w:r w:rsidR="0069329A">
        <w:rPr>
          <w:rFonts w:ascii="Times New Roman" w:hAnsi="Times New Roman" w:cs="Times New Roman"/>
          <w:i/>
          <w:sz w:val="24"/>
          <w:szCs w:val="24"/>
        </w:rPr>
        <w:t>.</w:t>
      </w:r>
    </w:p>
    <w:p w:rsidR="0069329A" w:rsidRDefault="0069329A" w:rsidP="0069329A">
      <w:pPr>
        <w:spacing w:after="0" w:line="360" w:lineRule="auto"/>
        <w:jc w:val="both"/>
        <w:rPr>
          <w:sz w:val="28"/>
          <w:szCs w:val="28"/>
        </w:rPr>
      </w:pPr>
    </w:p>
    <w:p w:rsidR="002E2D52" w:rsidRDefault="0069329A" w:rsidP="002E2D52">
      <w:pPr>
        <w:spacing w:after="0" w:line="360" w:lineRule="auto"/>
        <w:jc w:val="both"/>
        <w:rPr>
          <w:rFonts w:ascii="Calibri" w:hAnsi="Calibri" w:cs="Times New Roman"/>
          <w:sz w:val="28"/>
          <w:szCs w:val="28"/>
        </w:rPr>
      </w:pPr>
      <w:r>
        <w:rPr>
          <w:rFonts w:ascii="Calibri" w:hAnsi="Calibri" w:cs="Times New Roman"/>
          <w:sz w:val="28"/>
          <w:szCs w:val="28"/>
        </w:rPr>
        <w:tab/>
        <w:t xml:space="preserve">Respondent asserted that having been in Grade E1 and having been allocated </w:t>
      </w:r>
      <w:r w:rsidR="00421694">
        <w:rPr>
          <w:rFonts w:ascii="Calibri" w:hAnsi="Calibri" w:cs="Times New Roman"/>
          <w:sz w:val="28"/>
          <w:szCs w:val="28"/>
        </w:rPr>
        <w:t xml:space="preserve">the car for 4 years, he was entitled to purchase it at 30% of its lowest market value.  However Appellant refused to buy that argument.  It instead argued that it had the discretion to sell or retain the vehicle.  In this case it decided to retain the vehicle.  That was the dispute which was determined by the arbitrator in favour of Respondent. </w:t>
      </w:r>
    </w:p>
    <w:p w:rsidR="00421694" w:rsidRDefault="00421694" w:rsidP="002E2D52">
      <w:pPr>
        <w:spacing w:after="0" w:line="360" w:lineRule="auto"/>
        <w:jc w:val="both"/>
        <w:rPr>
          <w:rFonts w:ascii="Calibri" w:hAnsi="Calibri" w:cs="Times New Roman"/>
          <w:sz w:val="28"/>
          <w:szCs w:val="28"/>
        </w:rPr>
      </w:pPr>
    </w:p>
    <w:p w:rsidR="00421694" w:rsidRDefault="00F77A62" w:rsidP="002E2D52">
      <w:pPr>
        <w:spacing w:after="0" w:line="360" w:lineRule="auto"/>
        <w:jc w:val="both"/>
        <w:rPr>
          <w:rFonts w:ascii="Calibri" w:hAnsi="Calibri" w:cs="Times New Roman"/>
          <w:sz w:val="28"/>
          <w:szCs w:val="28"/>
        </w:rPr>
      </w:pPr>
      <w:r>
        <w:rPr>
          <w:rFonts w:ascii="Calibri" w:hAnsi="Calibri" w:cs="Times New Roman"/>
          <w:sz w:val="28"/>
          <w:szCs w:val="28"/>
        </w:rPr>
        <w:tab/>
        <w:t>Appellant argued in this</w:t>
      </w:r>
      <w:r w:rsidR="00421694">
        <w:rPr>
          <w:rFonts w:ascii="Calibri" w:hAnsi="Calibri" w:cs="Times New Roman"/>
          <w:sz w:val="28"/>
          <w:szCs w:val="28"/>
        </w:rPr>
        <w:t xml:space="preserve"> Court that the Arbitrator misinterpreted the Motor Vehicle Policy.  It relied on paragraph 11.6 of the Policy which read thus, </w:t>
      </w:r>
    </w:p>
    <w:p w:rsidR="00DD3FD0" w:rsidRPr="00DD3FD0" w:rsidRDefault="00421694" w:rsidP="00DD3FD0">
      <w:pPr>
        <w:spacing w:after="0" w:line="360" w:lineRule="auto"/>
        <w:ind w:left="720" w:firstLine="720"/>
        <w:jc w:val="both"/>
        <w:rPr>
          <w:rFonts w:ascii="Times New Roman" w:hAnsi="Times New Roman" w:cs="Times New Roman"/>
          <w:i/>
          <w:sz w:val="24"/>
          <w:szCs w:val="24"/>
        </w:rPr>
      </w:pPr>
      <w:r w:rsidRPr="00DD3FD0">
        <w:rPr>
          <w:rFonts w:ascii="Times New Roman" w:hAnsi="Times New Roman" w:cs="Times New Roman"/>
          <w:i/>
          <w:sz w:val="24"/>
          <w:szCs w:val="24"/>
        </w:rPr>
        <w:t>“When a managerial employee retires, the Managing Director may decide to allow such employee to purchase the vehicle one was using.  This will be dependent on each individual case and the circumstances prevailing at the time.  It should be noted that the Managing D</w:t>
      </w:r>
      <w:r w:rsidR="00DD3FD0">
        <w:rPr>
          <w:rFonts w:ascii="Times New Roman" w:hAnsi="Times New Roman" w:cs="Times New Roman"/>
          <w:i/>
          <w:sz w:val="24"/>
          <w:szCs w:val="24"/>
        </w:rPr>
        <w:t>irector may decide to offer the</w:t>
      </w:r>
      <w:r w:rsidRPr="00DD3FD0">
        <w:rPr>
          <w:rFonts w:ascii="Times New Roman" w:hAnsi="Times New Roman" w:cs="Times New Roman"/>
          <w:i/>
          <w:sz w:val="24"/>
          <w:szCs w:val="24"/>
        </w:rPr>
        <w:t xml:space="preserve"> </w:t>
      </w:r>
      <w:r w:rsidRPr="00DD3FD0">
        <w:rPr>
          <w:rFonts w:ascii="Times New Roman" w:hAnsi="Times New Roman" w:cs="Times New Roman"/>
          <w:i/>
          <w:sz w:val="24"/>
          <w:szCs w:val="24"/>
          <w:u w:val="single"/>
        </w:rPr>
        <w:t>retiree</w:t>
      </w:r>
      <w:r w:rsidRPr="00F77A62">
        <w:rPr>
          <w:rFonts w:ascii="Times New Roman" w:hAnsi="Times New Roman" w:cs="Times New Roman"/>
          <w:i/>
          <w:sz w:val="24"/>
          <w:szCs w:val="24"/>
        </w:rPr>
        <w:t xml:space="preserve"> </w:t>
      </w:r>
      <w:r w:rsidR="00F77A62" w:rsidRPr="00F77A62">
        <w:rPr>
          <w:rFonts w:ascii="Times New Roman" w:hAnsi="Times New Roman" w:cs="Times New Roman"/>
          <w:i/>
          <w:sz w:val="24"/>
          <w:szCs w:val="24"/>
        </w:rPr>
        <w:t>a</w:t>
      </w:r>
      <w:r w:rsidR="00F77A62">
        <w:rPr>
          <w:rFonts w:ascii="Times New Roman" w:hAnsi="Times New Roman" w:cs="Times New Roman"/>
          <w:i/>
          <w:sz w:val="24"/>
          <w:szCs w:val="24"/>
        </w:rPr>
        <w:t xml:space="preserve"> </w:t>
      </w:r>
      <w:r w:rsidRPr="00DD3FD0">
        <w:rPr>
          <w:rFonts w:ascii="Times New Roman" w:hAnsi="Times New Roman" w:cs="Times New Roman"/>
          <w:i/>
          <w:sz w:val="24"/>
          <w:szCs w:val="24"/>
        </w:rPr>
        <w:t xml:space="preserve">vehicle other than the one he/she was using at the time of </w:t>
      </w:r>
      <w:r w:rsidRPr="00DD3FD0">
        <w:rPr>
          <w:rFonts w:ascii="Times New Roman" w:hAnsi="Times New Roman" w:cs="Times New Roman"/>
          <w:i/>
          <w:sz w:val="24"/>
          <w:szCs w:val="24"/>
          <w:u w:val="single"/>
        </w:rPr>
        <w:t>retirement.</w:t>
      </w:r>
      <w:r w:rsidR="00DD3FD0" w:rsidRPr="00DD3FD0">
        <w:rPr>
          <w:rFonts w:ascii="Times New Roman" w:hAnsi="Times New Roman" w:cs="Times New Roman"/>
          <w:i/>
          <w:sz w:val="24"/>
          <w:szCs w:val="24"/>
        </w:rPr>
        <w:t>”</w:t>
      </w:r>
    </w:p>
    <w:p w:rsidR="00DD3FD0" w:rsidRDefault="00DD3FD0" w:rsidP="002E2D52">
      <w:pPr>
        <w:spacing w:after="0" w:line="360" w:lineRule="auto"/>
        <w:jc w:val="both"/>
        <w:rPr>
          <w:rFonts w:ascii="Calibri" w:hAnsi="Calibri" w:cs="Times New Roman"/>
          <w:i/>
          <w:sz w:val="28"/>
          <w:szCs w:val="28"/>
        </w:rPr>
      </w:pPr>
    </w:p>
    <w:p w:rsidR="00DD3FD0" w:rsidRDefault="00DD3FD0" w:rsidP="002E2D52">
      <w:pPr>
        <w:spacing w:after="0" w:line="360" w:lineRule="auto"/>
        <w:jc w:val="both"/>
        <w:rPr>
          <w:rFonts w:ascii="Calibri" w:hAnsi="Calibri" w:cs="Times New Roman"/>
          <w:sz w:val="28"/>
          <w:szCs w:val="28"/>
        </w:rPr>
      </w:pPr>
      <w:r>
        <w:rPr>
          <w:rFonts w:ascii="Calibri" w:hAnsi="Calibri" w:cs="Times New Roman"/>
          <w:sz w:val="28"/>
          <w:szCs w:val="28"/>
        </w:rPr>
        <w:tab/>
        <w:t>True</w:t>
      </w:r>
      <w:r w:rsidR="00F77A62">
        <w:rPr>
          <w:rFonts w:ascii="Calibri" w:hAnsi="Calibri" w:cs="Times New Roman"/>
          <w:sz w:val="28"/>
          <w:szCs w:val="28"/>
        </w:rPr>
        <w:t>, the la</w:t>
      </w:r>
      <w:r>
        <w:rPr>
          <w:rFonts w:ascii="Calibri" w:hAnsi="Calibri" w:cs="Times New Roman"/>
          <w:sz w:val="28"/>
          <w:szCs w:val="28"/>
        </w:rPr>
        <w:t xml:space="preserve">tter provision gives the Managing Director (MD) </w:t>
      </w:r>
      <w:r w:rsidR="00B05517">
        <w:rPr>
          <w:rFonts w:ascii="Calibri" w:hAnsi="Calibri" w:cs="Times New Roman"/>
          <w:sz w:val="28"/>
          <w:szCs w:val="28"/>
        </w:rPr>
        <w:t xml:space="preserve">the discretion to sell or keep the car.  However the underlined </w:t>
      </w:r>
      <w:r w:rsidR="008526B9">
        <w:rPr>
          <w:rFonts w:ascii="Calibri" w:hAnsi="Calibri" w:cs="Times New Roman"/>
          <w:sz w:val="28"/>
          <w:szCs w:val="28"/>
        </w:rPr>
        <w:t>portions of the paragraph show</w:t>
      </w:r>
      <w:r w:rsidR="00B05517">
        <w:rPr>
          <w:rFonts w:ascii="Calibri" w:hAnsi="Calibri" w:cs="Times New Roman"/>
          <w:sz w:val="28"/>
          <w:szCs w:val="28"/>
        </w:rPr>
        <w:t xml:space="preserve"> that the discretion applies to the case of a </w:t>
      </w:r>
      <w:r w:rsidR="00B05517">
        <w:rPr>
          <w:rFonts w:ascii="Calibri" w:hAnsi="Calibri" w:cs="Times New Roman"/>
          <w:sz w:val="28"/>
          <w:szCs w:val="28"/>
          <w:u w:val="single"/>
        </w:rPr>
        <w:t xml:space="preserve">retiring </w:t>
      </w:r>
      <w:r w:rsidR="00B05517">
        <w:rPr>
          <w:rFonts w:ascii="Calibri" w:hAnsi="Calibri" w:cs="Times New Roman"/>
          <w:sz w:val="28"/>
          <w:szCs w:val="28"/>
        </w:rPr>
        <w:t>employee.  The words “</w:t>
      </w:r>
      <w:r w:rsidR="00B05517">
        <w:rPr>
          <w:rFonts w:ascii="Calibri" w:hAnsi="Calibri" w:cs="Times New Roman"/>
          <w:i/>
          <w:sz w:val="28"/>
          <w:szCs w:val="28"/>
        </w:rPr>
        <w:t xml:space="preserve">retires”, “retiree” and “retirement” </w:t>
      </w:r>
      <w:r w:rsidR="00F77A62">
        <w:rPr>
          <w:rFonts w:ascii="Calibri" w:hAnsi="Calibri" w:cs="Times New Roman"/>
          <w:sz w:val="28"/>
          <w:szCs w:val="28"/>
        </w:rPr>
        <w:t>in the same paragraph show</w:t>
      </w:r>
      <w:r w:rsidR="00B05517">
        <w:rPr>
          <w:rFonts w:ascii="Calibri" w:hAnsi="Calibri" w:cs="Times New Roman"/>
          <w:sz w:val="28"/>
          <w:szCs w:val="28"/>
        </w:rPr>
        <w:t xml:space="preserve">s that it relates specifically to </w:t>
      </w:r>
      <w:r w:rsidR="00B05517">
        <w:rPr>
          <w:rFonts w:ascii="Calibri" w:hAnsi="Calibri" w:cs="Times New Roman"/>
          <w:sz w:val="28"/>
          <w:szCs w:val="28"/>
          <w:u w:val="single"/>
        </w:rPr>
        <w:t xml:space="preserve">retiring </w:t>
      </w:r>
      <w:r w:rsidR="00B05517">
        <w:rPr>
          <w:rFonts w:ascii="Calibri" w:hAnsi="Calibri" w:cs="Times New Roman"/>
          <w:sz w:val="28"/>
          <w:szCs w:val="28"/>
        </w:rPr>
        <w:t>employees</w:t>
      </w:r>
      <w:r w:rsidR="00F77A62">
        <w:rPr>
          <w:rFonts w:ascii="Calibri" w:hAnsi="Calibri" w:cs="Times New Roman"/>
          <w:sz w:val="28"/>
          <w:szCs w:val="28"/>
        </w:rPr>
        <w:t>.</w:t>
      </w:r>
      <w:r w:rsidR="00B05517">
        <w:rPr>
          <w:rFonts w:ascii="Calibri" w:hAnsi="Calibri" w:cs="Times New Roman"/>
          <w:sz w:val="28"/>
          <w:szCs w:val="28"/>
        </w:rPr>
        <w:t xml:space="preserve">  Respondent’s case </w:t>
      </w:r>
      <w:r w:rsidR="008526B9">
        <w:rPr>
          <w:rFonts w:ascii="Calibri" w:hAnsi="Calibri" w:cs="Times New Roman"/>
          <w:sz w:val="28"/>
          <w:szCs w:val="28"/>
        </w:rPr>
        <w:t>was</w:t>
      </w:r>
      <w:r w:rsidR="00B05517">
        <w:rPr>
          <w:rFonts w:ascii="Calibri" w:hAnsi="Calibri" w:cs="Times New Roman"/>
          <w:sz w:val="28"/>
          <w:szCs w:val="28"/>
        </w:rPr>
        <w:t xml:space="preserve"> that of a </w:t>
      </w:r>
      <w:r w:rsidR="00B05517">
        <w:rPr>
          <w:rFonts w:ascii="Calibri" w:hAnsi="Calibri" w:cs="Times New Roman"/>
          <w:sz w:val="28"/>
          <w:szCs w:val="28"/>
          <w:u w:val="single"/>
        </w:rPr>
        <w:t xml:space="preserve">resigning </w:t>
      </w:r>
      <w:r w:rsidR="00B05517">
        <w:rPr>
          <w:rFonts w:ascii="Calibri" w:hAnsi="Calibri" w:cs="Times New Roman"/>
          <w:sz w:val="28"/>
          <w:szCs w:val="28"/>
        </w:rPr>
        <w:t>employee.  Thus he was covered under paragraph 11.5.  That paragraph does not give the Managing Director any discretion.  A proper construction of the 2</w:t>
      </w:r>
      <w:r w:rsidR="00B05517" w:rsidRPr="00B05517">
        <w:rPr>
          <w:rFonts w:ascii="Calibri" w:hAnsi="Calibri" w:cs="Times New Roman"/>
          <w:sz w:val="28"/>
          <w:szCs w:val="28"/>
          <w:vertAlign w:val="superscript"/>
        </w:rPr>
        <w:t>nd</w:t>
      </w:r>
      <w:r w:rsidR="00B05517">
        <w:rPr>
          <w:rFonts w:ascii="Calibri" w:hAnsi="Calibri" w:cs="Times New Roman"/>
          <w:sz w:val="28"/>
          <w:szCs w:val="28"/>
        </w:rPr>
        <w:t xml:space="preserve"> sentence shows that the resigning manager is the subject matter.  It states the subject “</w:t>
      </w:r>
      <w:r w:rsidR="00B05517">
        <w:rPr>
          <w:rFonts w:ascii="Calibri" w:hAnsi="Calibri" w:cs="Times New Roman"/>
          <w:i/>
          <w:sz w:val="28"/>
          <w:szCs w:val="28"/>
          <w:u w:val="single"/>
        </w:rPr>
        <w:t>can</w:t>
      </w:r>
      <w:r w:rsidR="00B05517">
        <w:rPr>
          <w:rFonts w:ascii="Calibri" w:hAnsi="Calibri" w:cs="Times New Roman"/>
          <w:i/>
          <w:sz w:val="28"/>
          <w:szCs w:val="28"/>
        </w:rPr>
        <w:t xml:space="preserve"> purchase the vehicle ...”  </w:t>
      </w:r>
      <w:r w:rsidR="00B05517">
        <w:rPr>
          <w:rFonts w:ascii="Calibri" w:hAnsi="Calibri" w:cs="Times New Roman"/>
          <w:sz w:val="28"/>
          <w:szCs w:val="28"/>
        </w:rPr>
        <w:t xml:space="preserve">The word </w:t>
      </w:r>
      <w:r w:rsidR="00B05517">
        <w:rPr>
          <w:rFonts w:ascii="Calibri" w:hAnsi="Calibri" w:cs="Times New Roman"/>
          <w:sz w:val="28"/>
          <w:szCs w:val="28"/>
        </w:rPr>
        <w:lastRenderedPageBreak/>
        <w:t>“can” connotes a discretion to purchase or not to purchase.  That discretion inheres in the subject, that is, the resigning manager.  It is him who had the discretion to decide whether or not to buy the car.  In this case he chose to buy.  Appellant wrongfully and unlawfully refused to sell the vehicle.  The Arbitrator came to the correct conclusion that the Respondent had a right to buy the car and a</w:t>
      </w:r>
      <w:r w:rsidR="00F77A62">
        <w:rPr>
          <w:rFonts w:ascii="Calibri" w:hAnsi="Calibri" w:cs="Times New Roman"/>
          <w:sz w:val="28"/>
          <w:szCs w:val="28"/>
        </w:rPr>
        <w:t>ccordingly provided him with an</w:t>
      </w:r>
      <w:r w:rsidR="00B05517">
        <w:rPr>
          <w:rFonts w:ascii="Calibri" w:hAnsi="Calibri" w:cs="Times New Roman"/>
          <w:sz w:val="28"/>
          <w:szCs w:val="28"/>
        </w:rPr>
        <w:t xml:space="preserve"> appropriate remedy.  Thus</w:t>
      </w:r>
      <w:r w:rsidR="00F77A62">
        <w:rPr>
          <w:rFonts w:ascii="Calibri" w:hAnsi="Calibri" w:cs="Times New Roman"/>
          <w:sz w:val="28"/>
          <w:szCs w:val="28"/>
        </w:rPr>
        <w:t>,</w:t>
      </w:r>
      <w:r w:rsidR="00B05517">
        <w:rPr>
          <w:rFonts w:ascii="Calibri" w:hAnsi="Calibri" w:cs="Times New Roman"/>
          <w:sz w:val="28"/>
          <w:szCs w:val="28"/>
        </w:rPr>
        <w:t xml:space="preserve"> I consider that the appeal to this Court lacks merit and must be dismissed. </w:t>
      </w:r>
    </w:p>
    <w:p w:rsidR="00B05517" w:rsidRDefault="00B05517" w:rsidP="002E2D52">
      <w:pPr>
        <w:spacing w:after="0" w:line="360" w:lineRule="auto"/>
        <w:jc w:val="both"/>
        <w:rPr>
          <w:rFonts w:ascii="Calibri" w:hAnsi="Calibri" w:cs="Times New Roman"/>
          <w:sz w:val="28"/>
          <w:szCs w:val="28"/>
        </w:rPr>
      </w:pPr>
    </w:p>
    <w:p w:rsidR="00B05517" w:rsidRDefault="00B05517" w:rsidP="002E2D52">
      <w:pPr>
        <w:spacing w:after="0" w:line="360" w:lineRule="auto"/>
        <w:jc w:val="both"/>
        <w:rPr>
          <w:rFonts w:ascii="Calibri" w:hAnsi="Calibri" w:cs="Times New Roman"/>
          <w:sz w:val="28"/>
          <w:szCs w:val="28"/>
        </w:rPr>
      </w:pPr>
      <w:r>
        <w:rPr>
          <w:rFonts w:ascii="Calibri" w:hAnsi="Calibri" w:cs="Times New Roman"/>
          <w:sz w:val="28"/>
          <w:szCs w:val="28"/>
        </w:rPr>
        <w:tab/>
        <w:t xml:space="preserve">Wherefore it is ordered that, </w:t>
      </w:r>
    </w:p>
    <w:p w:rsidR="00B05517" w:rsidRDefault="00B05517" w:rsidP="00B05517">
      <w:pPr>
        <w:pStyle w:val="ListParagraph"/>
        <w:numPr>
          <w:ilvl w:val="0"/>
          <w:numId w:val="1"/>
        </w:numPr>
        <w:spacing w:after="0" w:line="360" w:lineRule="auto"/>
        <w:jc w:val="both"/>
        <w:rPr>
          <w:rFonts w:ascii="Calibri" w:hAnsi="Calibri" w:cs="Times New Roman"/>
          <w:sz w:val="28"/>
          <w:szCs w:val="28"/>
        </w:rPr>
      </w:pPr>
      <w:r>
        <w:rPr>
          <w:rFonts w:ascii="Calibri" w:hAnsi="Calibri" w:cs="Times New Roman"/>
          <w:sz w:val="28"/>
          <w:szCs w:val="28"/>
        </w:rPr>
        <w:t xml:space="preserve">The appeal is hereby dismissed; and </w:t>
      </w:r>
    </w:p>
    <w:p w:rsidR="00B05517" w:rsidRDefault="00B05517" w:rsidP="00B05517">
      <w:pPr>
        <w:pStyle w:val="ListParagraph"/>
        <w:numPr>
          <w:ilvl w:val="0"/>
          <w:numId w:val="1"/>
        </w:numPr>
        <w:spacing w:after="0" w:line="360" w:lineRule="auto"/>
        <w:jc w:val="both"/>
        <w:rPr>
          <w:rFonts w:ascii="Calibri" w:hAnsi="Calibri" w:cs="Times New Roman"/>
          <w:sz w:val="28"/>
          <w:szCs w:val="28"/>
        </w:rPr>
      </w:pPr>
      <w:r>
        <w:rPr>
          <w:rFonts w:ascii="Calibri" w:hAnsi="Calibri" w:cs="Times New Roman"/>
          <w:sz w:val="28"/>
          <w:szCs w:val="28"/>
        </w:rPr>
        <w:t xml:space="preserve">Each party shall bear its own costs. </w:t>
      </w:r>
    </w:p>
    <w:p w:rsidR="00B05517" w:rsidRDefault="00B05517" w:rsidP="00B05517">
      <w:pPr>
        <w:spacing w:after="0" w:line="360" w:lineRule="auto"/>
        <w:jc w:val="both"/>
        <w:rPr>
          <w:rFonts w:ascii="Calibri" w:hAnsi="Calibri" w:cs="Times New Roman"/>
          <w:sz w:val="28"/>
          <w:szCs w:val="28"/>
        </w:rPr>
      </w:pPr>
    </w:p>
    <w:p w:rsidR="00B05517" w:rsidRDefault="00B05517" w:rsidP="00B05517">
      <w:pPr>
        <w:spacing w:after="0" w:line="360" w:lineRule="auto"/>
        <w:jc w:val="both"/>
        <w:rPr>
          <w:rFonts w:ascii="Calibri" w:hAnsi="Calibri" w:cs="Times New Roman"/>
          <w:sz w:val="28"/>
          <w:szCs w:val="28"/>
        </w:rPr>
      </w:pPr>
    </w:p>
    <w:p w:rsidR="00B05517" w:rsidRDefault="00B05517" w:rsidP="00B05517">
      <w:pPr>
        <w:spacing w:after="0" w:line="360" w:lineRule="auto"/>
        <w:jc w:val="both"/>
        <w:rPr>
          <w:rFonts w:ascii="Calibri" w:hAnsi="Calibri" w:cs="Times New Roman"/>
          <w:sz w:val="28"/>
          <w:szCs w:val="28"/>
        </w:rPr>
      </w:pPr>
    </w:p>
    <w:p w:rsidR="00B05517" w:rsidRDefault="00B05517" w:rsidP="007C6ABA">
      <w:pPr>
        <w:spacing w:after="0" w:line="240" w:lineRule="auto"/>
        <w:jc w:val="both"/>
        <w:rPr>
          <w:rFonts w:ascii="Calibri" w:hAnsi="Calibri" w:cs="Times New Roman"/>
          <w:sz w:val="28"/>
          <w:szCs w:val="28"/>
        </w:rPr>
      </w:pPr>
      <w:r>
        <w:rPr>
          <w:rFonts w:ascii="Calibri" w:hAnsi="Calibri" w:cs="Times New Roman"/>
          <w:sz w:val="28"/>
          <w:szCs w:val="28"/>
        </w:rPr>
        <w:t>............................................</w:t>
      </w:r>
    </w:p>
    <w:p w:rsidR="00B05517" w:rsidRPr="00B05517" w:rsidRDefault="007C6ABA" w:rsidP="007C6ABA">
      <w:pPr>
        <w:spacing w:after="0" w:line="240" w:lineRule="auto"/>
        <w:jc w:val="both"/>
        <w:rPr>
          <w:rFonts w:ascii="Calibri" w:hAnsi="Calibri" w:cs="Times New Roman"/>
          <w:b/>
          <w:sz w:val="28"/>
          <w:szCs w:val="28"/>
        </w:rPr>
      </w:pPr>
      <w:r w:rsidRPr="00B05517">
        <w:rPr>
          <w:rFonts w:ascii="Calibri" w:hAnsi="Calibri" w:cs="Times New Roman"/>
          <w:b/>
          <w:sz w:val="28"/>
          <w:szCs w:val="28"/>
        </w:rPr>
        <w:t>G. MUSARIRI</w:t>
      </w:r>
    </w:p>
    <w:p w:rsidR="00B05517" w:rsidRDefault="00B05517" w:rsidP="007C6ABA">
      <w:pPr>
        <w:spacing w:after="0" w:line="240" w:lineRule="auto"/>
        <w:jc w:val="both"/>
        <w:rPr>
          <w:rFonts w:ascii="Calibri" w:hAnsi="Calibri" w:cs="Times New Roman"/>
          <w:b/>
          <w:sz w:val="28"/>
          <w:szCs w:val="28"/>
        </w:rPr>
      </w:pPr>
      <w:r>
        <w:rPr>
          <w:rFonts w:ascii="Calibri" w:hAnsi="Calibri" w:cs="Times New Roman"/>
          <w:b/>
          <w:sz w:val="28"/>
          <w:szCs w:val="28"/>
        </w:rPr>
        <w:t>JUDGE</w:t>
      </w:r>
    </w:p>
    <w:p w:rsidR="00B05517" w:rsidRDefault="00B05517" w:rsidP="00B05517">
      <w:pPr>
        <w:spacing w:after="0" w:line="360" w:lineRule="auto"/>
        <w:jc w:val="both"/>
        <w:rPr>
          <w:rFonts w:ascii="Calibri" w:hAnsi="Calibri" w:cs="Times New Roman"/>
          <w:b/>
          <w:sz w:val="28"/>
          <w:szCs w:val="28"/>
        </w:rPr>
      </w:pPr>
    </w:p>
    <w:sectPr w:rsidR="00B05517" w:rsidSect="008526B9">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30" w:rsidRDefault="00225930" w:rsidP="008526B9">
      <w:pPr>
        <w:spacing w:after="0" w:line="240" w:lineRule="auto"/>
      </w:pPr>
      <w:r>
        <w:separator/>
      </w:r>
    </w:p>
  </w:endnote>
  <w:endnote w:type="continuationSeparator" w:id="1">
    <w:p w:rsidR="00225930" w:rsidRDefault="00225930" w:rsidP="00852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8111"/>
      <w:docPartObj>
        <w:docPartGallery w:val="Page Numbers (Bottom of Page)"/>
        <w:docPartUnique/>
      </w:docPartObj>
    </w:sdtPr>
    <w:sdtContent>
      <w:p w:rsidR="008526B9" w:rsidRDefault="00105FCE">
        <w:pPr>
          <w:pStyle w:val="Footer"/>
          <w:jc w:val="right"/>
        </w:pPr>
        <w:fldSimple w:instr=" PAGE   \* MERGEFORMAT ">
          <w:r w:rsidR="0067464E">
            <w:rPr>
              <w:noProof/>
            </w:rPr>
            <w:t>2</w:t>
          </w:r>
        </w:fldSimple>
      </w:p>
    </w:sdtContent>
  </w:sdt>
  <w:p w:rsidR="008526B9" w:rsidRDefault="00852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30" w:rsidRDefault="00225930" w:rsidP="008526B9">
      <w:pPr>
        <w:spacing w:after="0" w:line="240" w:lineRule="auto"/>
      </w:pPr>
      <w:r>
        <w:separator/>
      </w:r>
    </w:p>
  </w:footnote>
  <w:footnote w:type="continuationSeparator" w:id="1">
    <w:p w:rsidR="00225930" w:rsidRDefault="00225930" w:rsidP="008526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B9" w:rsidRPr="008526B9" w:rsidRDefault="008526B9" w:rsidP="008526B9">
    <w:pPr>
      <w:jc w:val="right"/>
      <w:rPr>
        <w:b/>
        <w:sz w:val="24"/>
        <w:szCs w:val="24"/>
      </w:rPr>
    </w:pPr>
    <w:r w:rsidRPr="008526B9">
      <w:rPr>
        <w:b/>
        <w:sz w:val="24"/>
        <w:szCs w:val="24"/>
      </w:rPr>
      <w:t>JUDGMENT NO LC/MC/31/13</w:t>
    </w:r>
  </w:p>
  <w:p w:rsidR="008526B9" w:rsidRDefault="008526B9">
    <w:pPr>
      <w:pStyle w:val="Header"/>
    </w:pPr>
  </w:p>
  <w:p w:rsidR="008526B9" w:rsidRDefault="008526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F7E37"/>
    <w:multiLevelType w:val="hybridMultilevel"/>
    <w:tmpl w:val="71E60D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2BCE"/>
    <w:rsid w:val="00073B99"/>
    <w:rsid w:val="00092BCE"/>
    <w:rsid w:val="00105FCE"/>
    <w:rsid w:val="00225930"/>
    <w:rsid w:val="002D0332"/>
    <w:rsid w:val="002E2D52"/>
    <w:rsid w:val="00335795"/>
    <w:rsid w:val="003E7494"/>
    <w:rsid w:val="00421694"/>
    <w:rsid w:val="00451D5E"/>
    <w:rsid w:val="005E4CBF"/>
    <w:rsid w:val="006107B3"/>
    <w:rsid w:val="0067464E"/>
    <w:rsid w:val="0069329A"/>
    <w:rsid w:val="007C6ABA"/>
    <w:rsid w:val="008526B9"/>
    <w:rsid w:val="008972AF"/>
    <w:rsid w:val="00906844"/>
    <w:rsid w:val="00984AF3"/>
    <w:rsid w:val="00A72C31"/>
    <w:rsid w:val="00B05517"/>
    <w:rsid w:val="00B2519C"/>
    <w:rsid w:val="00C95B9E"/>
    <w:rsid w:val="00CE61E0"/>
    <w:rsid w:val="00D13C45"/>
    <w:rsid w:val="00D14378"/>
    <w:rsid w:val="00DD3FD0"/>
    <w:rsid w:val="00DD4B36"/>
    <w:rsid w:val="00ED3B87"/>
    <w:rsid w:val="00ED68C2"/>
    <w:rsid w:val="00F3147E"/>
    <w:rsid w:val="00F77A6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C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517"/>
    <w:pPr>
      <w:ind w:left="720"/>
      <w:contextualSpacing/>
    </w:pPr>
  </w:style>
  <w:style w:type="paragraph" w:styleId="Header">
    <w:name w:val="header"/>
    <w:basedOn w:val="Normal"/>
    <w:link w:val="HeaderChar"/>
    <w:uiPriority w:val="99"/>
    <w:unhideWhenUsed/>
    <w:rsid w:val="00852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6B9"/>
    <w:rPr>
      <w:lang w:val="en-ZW"/>
    </w:rPr>
  </w:style>
  <w:style w:type="paragraph" w:styleId="Footer">
    <w:name w:val="footer"/>
    <w:basedOn w:val="Normal"/>
    <w:link w:val="FooterChar"/>
    <w:uiPriority w:val="99"/>
    <w:unhideWhenUsed/>
    <w:rsid w:val="00852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6B9"/>
    <w:rPr>
      <w:lang w:val="en-ZW"/>
    </w:rPr>
  </w:style>
  <w:style w:type="paragraph" w:styleId="BalloonText">
    <w:name w:val="Balloon Text"/>
    <w:basedOn w:val="Normal"/>
    <w:link w:val="BalloonTextChar"/>
    <w:uiPriority w:val="99"/>
    <w:semiHidden/>
    <w:unhideWhenUsed/>
    <w:rsid w:val="00852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B9"/>
    <w:rPr>
      <w:rFonts w:ascii="Tahoma" w:hAnsi="Tahoma" w:cs="Tahoma"/>
      <w:sz w:val="16"/>
      <w:szCs w:val="16"/>
      <w:lang w:val="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2013-10-10T14:54:00Z</cp:lastPrinted>
  <dcterms:created xsi:type="dcterms:W3CDTF">2013-10-10T09:44:00Z</dcterms:created>
  <dcterms:modified xsi:type="dcterms:W3CDTF">2013-10-10T14:56:00Z</dcterms:modified>
</cp:coreProperties>
</file>