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ABDB3" w14:textId="77777777" w:rsidR="00247DD2" w:rsidRPr="00DD766D" w:rsidRDefault="00247DD2" w:rsidP="005D5E5F">
      <w:pPr>
        <w:pStyle w:val="NormalWeb"/>
        <w:spacing w:line="360" w:lineRule="auto"/>
        <w:jc w:val="both"/>
        <w:rPr>
          <w:rStyle w:val="selected"/>
          <w:b/>
        </w:rPr>
      </w:pPr>
      <w:r>
        <w:rPr>
          <w:rStyle w:val="selected"/>
          <w:b/>
        </w:rPr>
        <w:t>MANDLENKOSI DLODLO</w:t>
      </w:r>
    </w:p>
    <w:p w14:paraId="4EEC586A" w14:textId="77777777" w:rsidR="00247DD2" w:rsidRPr="00DD766D" w:rsidRDefault="00247DD2" w:rsidP="005D5E5F">
      <w:pPr>
        <w:pStyle w:val="NormalWeb"/>
        <w:spacing w:line="360" w:lineRule="auto"/>
        <w:jc w:val="both"/>
        <w:rPr>
          <w:rStyle w:val="selected"/>
          <w:b/>
        </w:rPr>
      </w:pPr>
      <w:r w:rsidRPr="00DD766D">
        <w:rPr>
          <w:rStyle w:val="selected"/>
          <w:b/>
        </w:rPr>
        <w:t>Versus</w:t>
      </w:r>
    </w:p>
    <w:p w14:paraId="5C08B2EC" w14:textId="77777777" w:rsidR="00247DD2" w:rsidRPr="00DD766D" w:rsidRDefault="00247DD2" w:rsidP="005D5E5F">
      <w:pPr>
        <w:pStyle w:val="NormalWeb"/>
        <w:spacing w:line="360" w:lineRule="auto"/>
        <w:jc w:val="both"/>
        <w:rPr>
          <w:rStyle w:val="selected"/>
          <w:b/>
        </w:rPr>
      </w:pPr>
      <w:r>
        <w:rPr>
          <w:rStyle w:val="selected"/>
          <w:b/>
        </w:rPr>
        <w:t>CHARLES TAKAVENGWA</w:t>
      </w:r>
      <w:r w:rsidRPr="00DD766D">
        <w:rPr>
          <w:rStyle w:val="selected"/>
          <w:b/>
        </w:rPr>
        <w:t xml:space="preserve"> </w:t>
      </w:r>
    </w:p>
    <w:p w14:paraId="54C4EE76" w14:textId="77777777" w:rsidR="00247DD2" w:rsidRPr="00DD766D" w:rsidRDefault="00247DD2" w:rsidP="005D5E5F">
      <w:pPr>
        <w:pStyle w:val="NormalWeb"/>
        <w:spacing w:line="360" w:lineRule="auto"/>
        <w:jc w:val="both"/>
        <w:rPr>
          <w:rStyle w:val="selected"/>
          <w:b/>
        </w:rPr>
      </w:pPr>
      <w:r w:rsidRPr="00DD766D">
        <w:rPr>
          <w:rStyle w:val="selected"/>
          <w:b/>
        </w:rPr>
        <w:t>AND</w:t>
      </w:r>
    </w:p>
    <w:p w14:paraId="21FCFFD5" w14:textId="77777777" w:rsidR="00247DD2" w:rsidRPr="00DD766D" w:rsidRDefault="00247DD2" w:rsidP="005D5E5F">
      <w:pPr>
        <w:pStyle w:val="NormalWeb"/>
        <w:spacing w:line="360" w:lineRule="auto"/>
        <w:jc w:val="both"/>
        <w:rPr>
          <w:rStyle w:val="selected"/>
          <w:b/>
        </w:rPr>
      </w:pPr>
      <w:r>
        <w:rPr>
          <w:rStyle w:val="selected"/>
          <w:b/>
        </w:rPr>
        <w:t>REGISTRAR OF DEEDS, N.O</w:t>
      </w:r>
    </w:p>
    <w:p w14:paraId="01EF557D" w14:textId="77777777" w:rsidR="00247DD2" w:rsidRDefault="00247DD2" w:rsidP="005D5E5F">
      <w:pPr>
        <w:pStyle w:val="NormalWeb"/>
        <w:spacing w:before="0" w:beforeAutospacing="0" w:after="0" w:afterAutospacing="0"/>
        <w:jc w:val="both"/>
        <w:rPr>
          <w:rStyle w:val="selected"/>
        </w:rPr>
      </w:pPr>
      <w:r>
        <w:rPr>
          <w:rStyle w:val="selected"/>
        </w:rPr>
        <w:t>HIGH COURT OF ZIMBABWE</w:t>
      </w:r>
    </w:p>
    <w:p w14:paraId="55AF5E59" w14:textId="77777777" w:rsidR="00247DD2" w:rsidRDefault="00247DD2" w:rsidP="005D5E5F">
      <w:pPr>
        <w:pStyle w:val="NormalWeb"/>
        <w:spacing w:before="0" w:beforeAutospacing="0" w:after="0" w:afterAutospacing="0"/>
        <w:jc w:val="both"/>
        <w:rPr>
          <w:rStyle w:val="selected"/>
        </w:rPr>
      </w:pPr>
      <w:r>
        <w:rPr>
          <w:rStyle w:val="selected"/>
        </w:rPr>
        <w:t>M DUBE J</w:t>
      </w:r>
    </w:p>
    <w:p w14:paraId="43C3502E" w14:textId="13F549F3" w:rsidR="00247DD2" w:rsidRDefault="00BD1276" w:rsidP="005D5E5F">
      <w:pPr>
        <w:pStyle w:val="NormalWeb"/>
        <w:spacing w:before="0" w:beforeAutospacing="0" w:after="0" w:afterAutospacing="0"/>
        <w:jc w:val="both"/>
        <w:rPr>
          <w:rStyle w:val="selected"/>
        </w:rPr>
      </w:pPr>
      <w:r>
        <w:rPr>
          <w:rStyle w:val="selected"/>
        </w:rPr>
        <w:t>BULAWAYO 13</w:t>
      </w:r>
      <w:r w:rsidR="00247DD2">
        <w:rPr>
          <w:rStyle w:val="selected"/>
        </w:rPr>
        <w:t xml:space="preserve"> JUNE 2025 AND </w:t>
      </w:r>
      <w:r w:rsidR="00B90393">
        <w:rPr>
          <w:rStyle w:val="selected"/>
        </w:rPr>
        <w:t xml:space="preserve">18 </w:t>
      </w:r>
      <w:bookmarkStart w:id="0" w:name="_GoBack"/>
      <w:bookmarkEnd w:id="0"/>
      <w:r w:rsidR="00247DD2">
        <w:rPr>
          <w:rStyle w:val="selected"/>
        </w:rPr>
        <w:t>JULY 2025</w:t>
      </w:r>
    </w:p>
    <w:p w14:paraId="36E7C902" w14:textId="77777777" w:rsidR="00247DD2" w:rsidRPr="00DD766D" w:rsidRDefault="00247DD2" w:rsidP="005D5E5F">
      <w:pPr>
        <w:pStyle w:val="NormalWeb"/>
        <w:spacing w:line="360" w:lineRule="auto"/>
        <w:jc w:val="both"/>
        <w:rPr>
          <w:rStyle w:val="selected"/>
          <w:b/>
        </w:rPr>
      </w:pPr>
      <w:r w:rsidRPr="00DD766D">
        <w:rPr>
          <w:rStyle w:val="selected"/>
          <w:b/>
        </w:rPr>
        <w:t>Opposed Application</w:t>
      </w:r>
      <w:r>
        <w:rPr>
          <w:rStyle w:val="selected"/>
          <w:b/>
        </w:rPr>
        <w:t>- Revival of judgment</w:t>
      </w:r>
    </w:p>
    <w:p w14:paraId="75171276" w14:textId="77777777" w:rsidR="00247DD2" w:rsidRDefault="00247DD2" w:rsidP="005D5E5F">
      <w:pPr>
        <w:pStyle w:val="NormalWeb"/>
        <w:spacing w:before="0" w:beforeAutospacing="0" w:after="0" w:afterAutospacing="0" w:line="360" w:lineRule="auto"/>
        <w:jc w:val="both"/>
        <w:rPr>
          <w:rStyle w:val="selected"/>
        </w:rPr>
      </w:pPr>
      <w:r w:rsidRPr="00993951">
        <w:rPr>
          <w:rStyle w:val="selected"/>
          <w:i/>
        </w:rPr>
        <w:t xml:space="preserve"> </w:t>
      </w:r>
      <w:r>
        <w:rPr>
          <w:rStyle w:val="selected"/>
          <w:i/>
        </w:rPr>
        <w:t>T Masiye Moyo</w:t>
      </w:r>
      <w:r>
        <w:rPr>
          <w:rStyle w:val="selected"/>
        </w:rPr>
        <w:t>, for the applicant</w:t>
      </w:r>
    </w:p>
    <w:p w14:paraId="112C36AD" w14:textId="77777777" w:rsidR="00247DD2" w:rsidRDefault="00247DD2" w:rsidP="005D5E5F">
      <w:pPr>
        <w:pStyle w:val="NormalWeb"/>
        <w:spacing w:before="0" w:beforeAutospacing="0" w:after="0" w:afterAutospacing="0" w:line="360" w:lineRule="auto"/>
        <w:jc w:val="both"/>
        <w:rPr>
          <w:rStyle w:val="selected"/>
        </w:rPr>
      </w:pPr>
      <w:r>
        <w:rPr>
          <w:rStyle w:val="selected"/>
          <w:i/>
        </w:rPr>
        <w:t xml:space="preserve"> T.E Gumbo </w:t>
      </w:r>
      <w:r>
        <w:rPr>
          <w:rStyle w:val="selected"/>
        </w:rPr>
        <w:t>for the 1</w:t>
      </w:r>
      <w:r>
        <w:rPr>
          <w:rStyle w:val="selected"/>
          <w:vertAlign w:val="superscript"/>
        </w:rPr>
        <w:t>st</w:t>
      </w:r>
      <w:r>
        <w:rPr>
          <w:rStyle w:val="selected"/>
        </w:rPr>
        <w:t xml:space="preserve"> respondent</w:t>
      </w:r>
    </w:p>
    <w:p w14:paraId="683A3D6C" w14:textId="77777777" w:rsidR="00247DD2" w:rsidRDefault="00247DD2" w:rsidP="005D5E5F">
      <w:pPr>
        <w:pStyle w:val="NormalWeb"/>
        <w:spacing w:before="0" w:beforeAutospacing="0" w:after="0" w:afterAutospacing="0"/>
        <w:jc w:val="both"/>
      </w:pPr>
    </w:p>
    <w:p w14:paraId="1D534961" w14:textId="77777777" w:rsidR="00247DD2" w:rsidRDefault="00247DD2" w:rsidP="00FC5542">
      <w:pPr>
        <w:pStyle w:val="NormalWeb"/>
        <w:spacing w:before="0" w:beforeAutospacing="0" w:after="0" w:afterAutospacing="0" w:line="360" w:lineRule="auto"/>
        <w:ind w:firstLine="720"/>
        <w:jc w:val="both"/>
      </w:pPr>
      <w:r w:rsidRPr="00141527">
        <w:rPr>
          <w:b/>
        </w:rPr>
        <w:t>DUBE J:</w:t>
      </w:r>
      <w:r>
        <w:t xml:space="preserve"> </w:t>
      </w:r>
      <w:r>
        <w:tab/>
        <w:t>The applicant approached this Court seeking an order for the revival of an order granted in favour of the applicant under HC 2566/12. The application was opposed by the 1</w:t>
      </w:r>
      <w:r w:rsidRPr="00247DD2">
        <w:rPr>
          <w:vertAlign w:val="superscript"/>
        </w:rPr>
        <w:t>st</w:t>
      </w:r>
      <w:r>
        <w:t xml:space="preserve"> respondent.</w:t>
      </w:r>
    </w:p>
    <w:p w14:paraId="1F32CC5B" w14:textId="77777777" w:rsidR="00247DD2" w:rsidRDefault="00247DD2" w:rsidP="005D5E5F">
      <w:pPr>
        <w:pStyle w:val="NormalWeb"/>
        <w:spacing w:before="0" w:beforeAutospacing="0" w:after="0" w:afterAutospacing="0"/>
        <w:ind w:firstLine="720"/>
        <w:jc w:val="both"/>
      </w:pPr>
    </w:p>
    <w:p w14:paraId="7AD688C9" w14:textId="77777777" w:rsidR="00247DD2" w:rsidRPr="00247DD2" w:rsidRDefault="00247DD2" w:rsidP="005D5E5F">
      <w:pPr>
        <w:pStyle w:val="NormalWeb"/>
        <w:spacing w:before="0" w:beforeAutospacing="0" w:after="0" w:afterAutospacing="0"/>
        <w:jc w:val="both"/>
        <w:rPr>
          <w:b/>
        </w:rPr>
      </w:pPr>
      <w:r w:rsidRPr="00247DD2">
        <w:rPr>
          <w:b/>
        </w:rPr>
        <w:t>Factual Background</w:t>
      </w:r>
    </w:p>
    <w:p w14:paraId="134A7D09" w14:textId="77777777" w:rsidR="00226532" w:rsidRPr="006258E2" w:rsidRDefault="00226532" w:rsidP="00FC554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genesis of this</w:t>
      </w:r>
      <w:r w:rsidRPr="006258E2">
        <w:rPr>
          <w:rFonts w:ascii="Times New Roman" w:eastAsia="Times New Roman" w:hAnsi="Times New Roman" w:cs="Times New Roman"/>
          <w:sz w:val="24"/>
          <w:szCs w:val="24"/>
          <w:lang w:eastAsia="en-ZW"/>
        </w:rPr>
        <w:t xml:space="preserve"> dispute lies in an agreement of sale concluded</w:t>
      </w:r>
      <w:r>
        <w:rPr>
          <w:rFonts w:ascii="Times New Roman" w:eastAsia="Times New Roman" w:hAnsi="Times New Roman" w:cs="Times New Roman"/>
          <w:sz w:val="24"/>
          <w:szCs w:val="24"/>
          <w:lang w:eastAsia="en-ZW"/>
        </w:rPr>
        <w:t xml:space="preserve"> sometime in 2012, whereby the a</w:t>
      </w:r>
      <w:r w:rsidRPr="006258E2">
        <w:rPr>
          <w:rFonts w:ascii="Times New Roman" w:eastAsia="Times New Roman" w:hAnsi="Times New Roman" w:cs="Times New Roman"/>
          <w:sz w:val="24"/>
          <w:szCs w:val="24"/>
          <w:lang w:eastAsia="en-ZW"/>
        </w:rPr>
        <w:t xml:space="preserve">pplicant purchased Stand 1970 </w:t>
      </w:r>
      <w:proofErr w:type="spellStart"/>
      <w:r w:rsidRPr="006258E2">
        <w:rPr>
          <w:rFonts w:ascii="Times New Roman" w:eastAsia="Times New Roman" w:hAnsi="Times New Roman" w:cs="Times New Roman"/>
          <w:sz w:val="24"/>
          <w:szCs w:val="24"/>
          <w:lang w:eastAsia="en-ZW"/>
        </w:rPr>
        <w:t>Nketa</w:t>
      </w:r>
      <w:proofErr w:type="spellEnd"/>
      <w:r w:rsidRPr="006258E2">
        <w:rPr>
          <w:rFonts w:ascii="Times New Roman" w:eastAsia="Times New Roman" w:hAnsi="Times New Roman" w:cs="Times New Roman"/>
          <w:sz w:val="24"/>
          <w:szCs w:val="24"/>
          <w:lang w:eastAsia="en-ZW"/>
        </w:rPr>
        <w:t xml:space="preserve"> Township of Lot 400A </w:t>
      </w:r>
      <w:proofErr w:type="spellStart"/>
      <w:r w:rsidRPr="006258E2">
        <w:rPr>
          <w:rFonts w:ascii="Times New Roman" w:eastAsia="Times New Roman" w:hAnsi="Times New Roman" w:cs="Times New Roman"/>
          <w:sz w:val="24"/>
          <w:szCs w:val="24"/>
          <w:lang w:eastAsia="en-ZW"/>
        </w:rPr>
        <w:t>Umganin</w:t>
      </w:r>
      <w:proofErr w:type="spellEnd"/>
      <w:r w:rsidRPr="006258E2">
        <w:rPr>
          <w:rFonts w:ascii="Times New Roman" w:eastAsia="Times New Roman" w:hAnsi="Times New Roman" w:cs="Times New Roman"/>
          <w:sz w:val="24"/>
          <w:szCs w:val="24"/>
          <w:lang w:eastAsia="en-ZW"/>
        </w:rPr>
        <w:t xml:space="preserve">, Bulawayo, including </w:t>
      </w:r>
      <w:r>
        <w:rPr>
          <w:rFonts w:ascii="Times New Roman" w:eastAsia="Times New Roman" w:hAnsi="Times New Roman" w:cs="Times New Roman"/>
          <w:sz w:val="24"/>
          <w:szCs w:val="24"/>
          <w:lang w:eastAsia="en-ZW"/>
        </w:rPr>
        <w:t>all improvements, from the 1</w:t>
      </w:r>
      <w:r w:rsidRPr="00FC5542">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Pr="006258E2">
        <w:rPr>
          <w:rFonts w:ascii="Times New Roman" w:eastAsia="Times New Roman" w:hAnsi="Times New Roman" w:cs="Times New Roman"/>
          <w:sz w:val="24"/>
          <w:szCs w:val="24"/>
          <w:lang w:eastAsia="en-ZW"/>
        </w:rPr>
        <w:t>espondent. The agreed purchase pri</w:t>
      </w:r>
      <w:r>
        <w:rPr>
          <w:rFonts w:ascii="Times New Roman" w:eastAsia="Times New Roman" w:hAnsi="Times New Roman" w:cs="Times New Roman"/>
          <w:sz w:val="24"/>
          <w:szCs w:val="24"/>
          <w:lang w:eastAsia="en-ZW"/>
        </w:rPr>
        <w:t>ce was US$15,000.00, which the a</w:t>
      </w:r>
      <w:r w:rsidRPr="006258E2">
        <w:rPr>
          <w:rFonts w:ascii="Times New Roman" w:eastAsia="Times New Roman" w:hAnsi="Times New Roman" w:cs="Times New Roman"/>
          <w:sz w:val="24"/>
          <w:szCs w:val="24"/>
          <w:lang w:eastAsia="en-ZW"/>
        </w:rPr>
        <w:t>pplicant duly paid in full in January 2012. F</w:t>
      </w:r>
      <w:r>
        <w:rPr>
          <w:rFonts w:ascii="Times New Roman" w:eastAsia="Times New Roman" w:hAnsi="Times New Roman" w:cs="Times New Roman"/>
          <w:sz w:val="24"/>
          <w:szCs w:val="24"/>
          <w:lang w:eastAsia="en-ZW"/>
        </w:rPr>
        <w:t>ollowing this payment,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respondent granted the a</w:t>
      </w:r>
      <w:r w:rsidRPr="006258E2">
        <w:rPr>
          <w:rFonts w:ascii="Times New Roman" w:eastAsia="Times New Roman" w:hAnsi="Times New Roman" w:cs="Times New Roman"/>
          <w:sz w:val="24"/>
          <w:szCs w:val="24"/>
          <w:lang w:eastAsia="en-ZW"/>
        </w:rPr>
        <w:t>pplicant vacant and undisturbed possessio</w:t>
      </w:r>
      <w:r>
        <w:rPr>
          <w:rFonts w:ascii="Times New Roman" w:eastAsia="Times New Roman" w:hAnsi="Times New Roman" w:cs="Times New Roman"/>
          <w:sz w:val="24"/>
          <w:szCs w:val="24"/>
          <w:lang w:eastAsia="en-ZW"/>
        </w:rPr>
        <w:t>n of the property, where the a</w:t>
      </w:r>
      <w:r w:rsidRPr="006258E2">
        <w:rPr>
          <w:rFonts w:ascii="Times New Roman" w:eastAsia="Times New Roman" w:hAnsi="Times New Roman" w:cs="Times New Roman"/>
          <w:sz w:val="24"/>
          <w:szCs w:val="24"/>
          <w:lang w:eastAsia="en-ZW"/>
        </w:rPr>
        <w:t xml:space="preserve">pplicant and his family have resided ever since.   </w:t>
      </w:r>
    </w:p>
    <w:p w14:paraId="2BAB790B" w14:textId="77777777" w:rsidR="00226532" w:rsidRPr="006258E2" w:rsidRDefault="00226532" w:rsidP="00FC554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6258E2">
        <w:rPr>
          <w:rFonts w:ascii="Times New Roman" w:eastAsia="Times New Roman" w:hAnsi="Times New Roman" w:cs="Times New Roman"/>
          <w:sz w:val="24"/>
          <w:szCs w:val="24"/>
          <w:lang w:eastAsia="en-ZW"/>
        </w:rPr>
        <w:t>A critical issue arose in</w:t>
      </w:r>
      <w:r>
        <w:rPr>
          <w:rFonts w:ascii="Times New Roman" w:eastAsia="Times New Roman" w:hAnsi="Times New Roman" w:cs="Times New Roman"/>
          <w:sz w:val="24"/>
          <w:szCs w:val="24"/>
          <w:lang w:eastAsia="en-ZW"/>
        </w:rPr>
        <w:t xml:space="preserve"> the same year, 2012, when the a</w:t>
      </w:r>
      <w:r w:rsidRPr="006258E2">
        <w:rPr>
          <w:rFonts w:ascii="Times New Roman" w:eastAsia="Times New Roman" w:hAnsi="Times New Roman" w:cs="Times New Roman"/>
          <w:sz w:val="24"/>
          <w:szCs w:val="24"/>
          <w:lang w:eastAsia="en-ZW"/>
        </w:rPr>
        <w:t>pplicant attempted to have the property transferred into his name. It was then discovered that the property was encumbe</w:t>
      </w:r>
      <w:r>
        <w:rPr>
          <w:rFonts w:ascii="Times New Roman" w:eastAsia="Times New Roman" w:hAnsi="Times New Roman" w:cs="Times New Roman"/>
          <w:sz w:val="24"/>
          <w:szCs w:val="24"/>
          <w:lang w:eastAsia="en-ZW"/>
        </w:rPr>
        <w:t>red by a mortgage bond to a b</w:t>
      </w:r>
      <w:r w:rsidRPr="006258E2">
        <w:rPr>
          <w:rFonts w:ascii="Times New Roman" w:eastAsia="Times New Roman" w:hAnsi="Times New Roman" w:cs="Times New Roman"/>
          <w:sz w:val="24"/>
          <w:szCs w:val="24"/>
          <w:lang w:eastAsia="en-ZW"/>
        </w:rPr>
        <w:t>ank for sums that, with interest, exceeded the purchase price. This material fact had</w:t>
      </w:r>
      <w:r>
        <w:rPr>
          <w:rFonts w:ascii="Times New Roman" w:eastAsia="Times New Roman" w:hAnsi="Times New Roman" w:cs="Times New Roman"/>
          <w:sz w:val="24"/>
          <w:szCs w:val="24"/>
          <w:lang w:eastAsia="en-ZW"/>
        </w:rPr>
        <w:t xml:space="preserve"> not been disclosed by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 xml:space="preserve">respondent at the time of entering into the </w:t>
      </w:r>
      <w:r w:rsidRPr="006258E2">
        <w:rPr>
          <w:rFonts w:ascii="Times New Roman" w:eastAsia="Times New Roman" w:hAnsi="Times New Roman" w:cs="Times New Roman"/>
          <w:sz w:val="24"/>
          <w:szCs w:val="24"/>
          <w:lang w:eastAsia="en-ZW"/>
        </w:rPr>
        <w:t>agreement of sale. Consequently, servicing or clearing this mortgage bond would have effectively doubled, if not more, the o</w:t>
      </w:r>
      <w:r>
        <w:rPr>
          <w:rFonts w:ascii="Times New Roman" w:eastAsia="Times New Roman" w:hAnsi="Times New Roman" w:cs="Times New Roman"/>
          <w:sz w:val="24"/>
          <w:szCs w:val="24"/>
          <w:lang w:eastAsia="en-ZW"/>
        </w:rPr>
        <w:t>riginal purchase price for the a</w:t>
      </w:r>
      <w:r w:rsidRPr="006258E2">
        <w:rPr>
          <w:rFonts w:ascii="Times New Roman" w:eastAsia="Times New Roman" w:hAnsi="Times New Roman" w:cs="Times New Roman"/>
          <w:sz w:val="24"/>
          <w:szCs w:val="24"/>
          <w:lang w:eastAsia="en-ZW"/>
        </w:rPr>
        <w:t xml:space="preserve">pplicant.   </w:t>
      </w:r>
    </w:p>
    <w:p w14:paraId="6C4F6C5E" w14:textId="77777777" w:rsidR="00226532" w:rsidRDefault="00226532" w:rsidP="00FC554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6258E2">
        <w:rPr>
          <w:rFonts w:ascii="Times New Roman" w:eastAsia="Times New Roman" w:hAnsi="Times New Roman" w:cs="Times New Roman"/>
          <w:sz w:val="24"/>
          <w:szCs w:val="24"/>
          <w:lang w:eastAsia="en-ZW"/>
        </w:rPr>
        <w:lastRenderedPageBreak/>
        <w:t>In res</w:t>
      </w:r>
      <w:r>
        <w:rPr>
          <w:rFonts w:ascii="Times New Roman" w:eastAsia="Times New Roman" w:hAnsi="Times New Roman" w:cs="Times New Roman"/>
          <w:sz w:val="24"/>
          <w:szCs w:val="24"/>
          <w:lang w:eastAsia="en-ZW"/>
        </w:rPr>
        <w:t>ponse to this predicament, the a</w:t>
      </w:r>
      <w:r w:rsidRPr="006258E2">
        <w:rPr>
          <w:rFonts w:ascii="Times New Roman" w:eastAsia="Times New Roman" w:hAnsi="Times New Roman" w:cs="Times New Roman"/>
          <w:sz w:val="24"/>
          <w:szCs w:val="24"/>
          <w:lang w:eastAsia="en-ZW"/>
        </w:rPr>
        <w:t>pplicant instituted legal proceedings under HC1496/12, seeking an order for the transfer of the property into his name after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w:t>
      </w:r>
      <w:r w:rsidRPr="006258E2">
        <w:rPr>
          <w:rFonts w:ascii="Times New Roman" w:eastAsia="Times New Roman" w:hAnsi="Times New Roman" w:cs="Times New Roman"/>
          <w:sz w:val="24"/>
          <w:szCs w:val="24"/>
          <w:lang w:eastAsia="en-ZW"/>
        </w:rPr>
        <w:t>espondent cleared the mortgage</w:t>
      </w:r>
      <w:r>
        <w:rPr>
          <w:rFonts w:ascii="Times New Roman" w:eastAsia="Times New Roman" w:hAnsi="Times New Roman" w:cs="Times New Roman"/>
          <w:sz w:val="24"/>
          <w:szCs w:val="24"/>
          <w:lang w:eastAsia="en-ZW"/>
        </w:rPr>
        <w:t xml:space="preserve"> bond. In the alternative, the a</w:t>
      </w:r>
      <w:r w:rsidRPr="006258E2">
        <w:rPr>
          <w:rFonts w:ascii="Times New Roman" w:eastAsia="Times New Roman" w:hAnsi="Times New Roman" w:cs="Times New Roman"/>
          <w:sz w:val="24"/>
          <w:szCs w:val="24"/>
          <w:lang w:eastAsia="en-ZW"/>
        </w:rPr>
        <w:t>pplicant sought a refund of the purchase price. On 26 September 2013, this Honourable Court</w:t>
      </w:r>
      <w:r>
        <w:rPr>
          <w:rFonts w:ascii="Times New Roman" w:eastAsia="Times New Roman" w:hAnsi="Times New Roman" w:cs="Times New Roman"/>
          <w:sz w:val="24"/>
          <w:szCs w:val="24"/>
          <w:lang w:eastAsia="en-ZW"/>
        </w:rPr>
        <w:t xml:space="preserve"> per Makonese J </w:t>
      </w:r>
      <w:r w:rsidRPr="006258E2">
        <w:rPr>
          <w:rFonts w:ascii="Times New Roman" w:eastAsia="Times New Roman" w:hAnsi="Times New Roman" w:cs="Times New Roman"/>
          <w:sz w:val="24"/>
          <w:szCs w:val="24"/>
          <w:lang w:eastAsia="en-ZW"/>
        </w:rPr>
        <w:t>granted a sum</w:t>
      </w:r>
      <w:r>
        <w:rPr>
          <w:rFonts w:ascii="Times New Roman" w:eastAsia="Times New Roman" w:hAnsi="Times New Roman" w:cs="Times New Roman"/>
          <w:sz w:val="24"/>
          <w:szCs w:val="24"/>
          <w:lang w:eastAsia="en-ZW"/>
        </w:rPr>
        <w:t>mary judgment in favour of the a</w:t>
      </w:r>
      <w:r w:rsidRPr="006258E2">
        <w:rPr>
          <w:rFonts w:ascii="Times New Roman" w:eastAsia="Times New Roman" w:hAnsi="Times New Roman" w:cs="Times New Roman"/>
          <w:sz w:val="24"/>
          <w:szCs w:val="24"/>
          <w:lang w:eastAsia="en-ZW"/>
        </w:rPr>
        <w:t>pplicant under HC2566/</w:t>
      </w:r>
      <w:r>
        <w:rPr>
          <w:rFonts w:ascii="Times New Roman" w:eastAsia="Times New Roman" w:hAnsi="Times New Roman" w:cs="Times New Roman"/>
          <w:sz w:val="24"/>
          <w:szCs w:val="24"/>
          <w:lang w:eastAsia="en-ZW"/>
        </w:rPr>
        <w:t>12. The order directed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w:t>
      </w:r>
      <w:r w:rsidRPr="006258E2">
        <w:rPr>
          <w:rFonts w:ascii="Times New Roman" w:eastAsia="Times New Roman" w:hAnsi="Times New Roman" w:cs="Times New Roman"/>
          <w:sz w:val="24"/>
          <w:szCs w:val="24"/>
          <w:lang w:eastAsia="en-ZW"/>
        </w:rPr>
        <w:t>espondent to clear the encumbrances and sign transfer papers within 10 days, failing which he was to pay US$15,000.00 plus interest.  </w:t>
      </w:r>
    </w:p>
    <w:p w14:paraId="3DFD3607" w14:textId="77777777" w:rsidR="00226532" w:rsidRPr="00226532" w:rsidRDefault="00226532" w:rsidP="00FC554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226532">
        <w:rPr>
          <w:rFonts w:ascii="Times New Roman" w:eastAsia="Times New Roman" w:hAnsi="Times New Roman" w:cs="Times New Roman"/>
          <w:sz w:val="24"/>
          <w:szCs w:val="24"/>
          <w:lang w:eastAsia="en-ZW"/>
        </w:rPr>
        <w:t>Following the</w:t>
      </w:r>
      <w:r>
        <w:rPr>
          <w:rFonts w:ascii="Times New Roman" w:eastAsia="Times New Roman" w:hAnsi="Times New Roman" w:cs="Times New Roman"/>
          <w:sz w:val="24"/>
          <w:szCs w:val="24"/>
          <w:lang w:eastAsia="en-ZW"/>
        </w:rPr>
        <w:t xml:space="preserve"> court order in HC2566/12, the a</w:t>
      </w:r>
      <w:r w:rsidRPr="00226532">
        <w:rPr>
          <w:rFonts w:ascii="Times New Roman" w:eastAsia="Times New Roman" w:hAnsi="Times New Roman" w:cs="Times New Roman"/>
          <w:sz w:val="24"/>
          <w:szCs w:val="24"/>
          <w:lang w:eastAsia="en-ZW"/>
        </w:rPr>
        <w:t xml:space="preserve">pplicant's legal practitioners issued a writ of execution. This was pursued after an order was obtained under HC1714/13, which declared Stand 2810 </w:t>
      </w:r>
      <w:proofErr w:type="spellStart"/>
      <w:r w:rsidRPr="00226532">
        <w:rPr>
          <w:rFonts w:ascii="Times New Roman" w:eastAsia="Times New Roman" w:hAnsi="Times New Roman" w:cs="Times New Roman"/>
          <w:sz w:val="24"/>
          <w:szCs w:val="24"/>
          <w:lang w:eastAsia="en-ZW"/>
        </w:rPr>
        <w:t>Famona</w:t>
      </w:r>
      <w:proofErr w:type="spellEnd"/>
      <w:r w:rsidRPr="00226532">
        <w:rPr>
          <w:rFonts w:ascii="Times New Roman" w:eastAsia="Times New Roman" w:hAnsi="Times New Roman" w:cs="Times New Roman"/>
          <w:sz w:val="24"/>
          <w:szCs w:val="24"/>
          <w:lang w:eastAsia="en-ZW"/>
        </w:rPr>
        <w:t>, Bulaway</w:t>
      </w:r>
      <w:r>
        <w:rPr>
          <w:rFonts w:ascii="Times New Roman" w:eastAsia="Times New Roman" w:hAnsi="Times New Roman" w:cs="Times New Roman"/>
          <w:sz w:val="24"/>
          <w:szCs w:val="24"/>
          <w:lang w:eastAsia="en-ZW"/>
        </w:rPr>
        <w:t>o, a property in which the 1</w:t>
      </w:r>
      <w:r w:rsidRPr="00FC5542">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Pr="00226532">
        <w:rPr>
          <w:rFonts w:ascii="Times New Roman" w:eastAsia="Times New Roman" w:hAnsi="Times New Roman" w:cs="Times New Roman"/>
          <w:sz w:val="24"/>
          <w:szCs w:val="24"/>
          <w:lang w:eastAsia="en-ZW"/>
        </w:rPr>
        <w:t xml:space="preserve">espondent had an interest, </w:t>
      </w:r>
      <w:proofErr w:type="gramStart"/>
      <w:r w:rsidRPr="00226532">
        <w:rPr>
          <w:rFonts w:ascii="Times New Roman" w:eastAsia="Times New Roman" w:hAnsi="Times New Roman" w:cs="Times New Roman"/>
          <w:sz w:val="24"/>
          <w:szCs w:val="24"/>
          <w:lang w:eastAsia="en-ZW"/>
        </w:rPr>
        <w:t>specially</w:t>
      </w:r>
      <w:proofErr w:type="gramEnd"/>
      <w:r w:rsidRPr="00226532">
        <w:rPr>
          <w:rFonts w:ascii="Times New Roman" w:eastAsia="Times New Roman" w:hAnsi="Times New Roman" w:cs="Times New Roman"/>
          <w:sz w:val="24"/>
          <w:szCs w:val="24"/>
          <w:lang w:eastAsia="en-ZW"/>
        </w:rPr>
        <w:t xml:space="preserve"> executable.   </w:t>
      </w:r>
    </w:p>
    <w:p w14:paraId="360E8954" w14:textId="77777777" w:rsidR="00226532" w:rsidRPr="00226532" w:rsidRDefault="00226532" w:rsidP="00FC554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226532">
        <w:rPr>
          <w:rFonts w:ascii="Times New Roman" w:eastAsia="Times New Roman" w:hAnsi="Times New Roman" w:cs="Times New Roman"/>
          <w:sz w:val="24"/>
          <w:szCs w:val="24"/>
          <w:lang w:eastAsia="en-ZW"/>
        </w:rPr>
        <w:t xml:space="preserve">However, the attachment of Stand 2810 </w:t>
      </w:r>
      <w:proofErr w:type="spellStart"/>
      <w:r w:rsidRPr="00226532">
        <w:rPr>
          <w:rFonts w:ascii="Times New Roman" w:eastAsia="Times New Roman" w:hAnsi="Times New Roman" w:cs="Times New Roman"/>
          <w:sz w:val="24"/>
          <w:szCs w:val="24"/>
          <w:lang w:eastAsia="en-ZW"/>
        </w:rPr>
        <w:t>Famona</w:t>
      </w:r>
      <w:proofErr w:type="spellEnd"/>
      <w:r w:rsidRPr="00226532">
        <w:rPr>
          <w:rFonts w:ascii="Times New Roman" w:eastAsia="Times New Roman" w:hAnsi="Times New Roman" w:cs="Times New Roman"/>
          <w:sz w:val="24"/>
          <w:szCs w:val="24"/>
          <w:lang w:eastAsia="en-ZW"/>
        </w:rPr>
        <w:t xml:space="preserve"> was not brought to finalisation. Certain individuals, acting through </w:t>
      </w:r>
      <w:proofErr w:type="spellStart"/>
      <w:r w:rsidRPr="00226532">
        <w:rPr>
          <w:rFonts w:ascii="Times New Roman" w:eastAsia="Times New Roman" w:hAnsi="Times New Roman" w:cs="Times New Roman"/>
          <w:sz w:val="24"/>
          <w:szCs w:val="24"/>
          <w:lang w:eastAsia="en-ZW"/>
        </w:rPr>
        <w:t>Movite</w:t>
      </w:r>
      <w:proofErr w:type="spellEnd"/>
      <w:r w:rsidRPr="00226532">
        <w:rPr>
          <w:rFonts w:ascii="Times New Roman" w:eastAsia="Times New Roman" w:hAnsi="Times New Roman" w:cs="Times New Roman"/>
          <w:sz w:val="24"/>
          <w:szCs w:val="24"/>
          <w:lang w:eastAsia="en-ZW"/>
        </w:rPr>
        <w:t xml:space="preserve"> Properties (Pvt) Ltd, challenged the execution, asserting that they had purchased all shares in </w:t>
      </w:r>
      <w:proofErr w:type="spellStart"/>
      <w:r w:rsidRPr="00226532">
        <w:rPr>
          <w:rFonts w:ascii="Times New Roman" w:eastAsia="Times New Roman" w:hAnsi="Times New Roman" w:cs="Times New Roman"/>
          <w:sz w:val="24"/>
          <w:szCs w:val="24"/>
          <w:lang w:eastAsia="en-ZW"/>
        </w:rPr>
        <w:t>Movite</w:t>
      </w:r>
      <w:proofErr w:type="spellEnd"/>
      <w:r w:rsidRPr="00226532">
        <w:rPr>
          <w:rFonts w:ascii="Times New Roman" w:eastAsia="Times New Roman" w:hAnsi="Times New Roman" w:cs="Times New Roman"/>
          <w:sz w:val="24"/>
          <w:szCs w:val="24"/>
          <w:lang w:eastAsia="en-ZW"/>
        </w:rPr>
        <w:t xml:space="preserve"> Pro</w:t>
      </w:r>
      <w:r>
        <w:rPr>
          <w:rFonts w:ascii="Times New Roman" w:eastAsia="Times New Roman" w:hAnsi="Times New Roman" w:cs="Times New Roman"/>
          <w:sz w:val="24"/>
          <w:szCs w:val="24"/>
          <w:lang w:eastAsia="en-ZW"/>
        </w:rPr>
        <w:t>perties (Pvt) Ltd from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w:t>
      </w:r>
      <w:r w:rsidRPr="00226532">
        <w:rPr>
          <w:rFonts w:ascii="Times New Roman" w:eastAsia="Times New Roman" w:hAnsi="Times New Roman" w:cs="Times New Roman"/>
          <w:sz w:val="24"/>
          <w:szCs w:val="24"/>
          <w:lang w:eastAsia="en-ZW"/>
        </w:rPr>
        <w:t>espondent and his wife. Their contention was th</w:t>
      </w:r>
      <w:r>
        <w:rPr>
          <w:rFonts w:ascii="Times New Roman" w:eastAsia="Times New Roman" w:hAnsi="Times New Roman" w:cs="Times New Roman"/>
          <w:sz w:val="24"/>
          <w:szCs w:val="24"/>
          <w:lang w:eastAsia="en-ZW"/>
        </w:rPr>
        <w:t>at the 1</w:t>
      </w:r>
      <w:r w:rsidRPr="00FC5542">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Pr="00226532">
        <w:rPr>
          <w:rFonts w:ascii="Times New Roman" w:eastAsia="Times New Roman" w:hAnsi="Times New Roman" w:cs="Times New Roman"/>
          <w:sz w:val="24"/>
          <w:szCs w:val="24"/>
          <w:lang w:eastAsia="en-ZW"/>
        </w:rPr>
        <w:t xml:space="preserve">espondent's interest in the property, previously held through shares, had ceased to exist. This challenge was finalised around 2016, resulting in Stand 2810 </w:t>
      </w:r>
      <w:proofErr w:type="spellStart"/>
      <w:r w:rsidRPr="00226532">
        <w:rPr>
          <w:rFonts w:ascii="Times New Roman" w:eastAsia="Times New Roman" w:hAnsi="Times New Roman" w:cs="Times New Roman"/>
          <w:sz w:val="24"/>
          <w:szCs w:val="24"/>
          <w:lang w:eastAsia="en-ZW"/>
        </w:rPr>
        <w:t>Famona</w:t>
      </w:r>
      <w:proofErr w:type="spellEnd"/>
      <w:r w:rsidRPr="00226532">
        <w:rPr>
          <w:rFonts w:ascii="Times New Roman" w:eastAsia="Times New Roman" w:hAnsi="Times New Roman" w:cs="Times New Roman"/>
          <w:sz w:val="24"/>
          <w:szCs w:val="24"/>
          <w:lang w:eastAsia="en-ZW"/>
        </w:rPr>
        <w:t xml:space="preserve"> being removed from judicial execution.   </w:t>
      </w:r>
    </w:p>
    <w:p w14:paraId="66B72CBC" w14:textId="645A9EEE" w:rsidR="003C5D92" w:rsidRDefault="00226532" w:rsidP="000C26B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Further attempts by the a</w:t>
      </w:r>
      <w:r w:rsidRPr="00226532">
        <w:rPr>
          <w:rFonts w:ascii="Times New Roman" w:eastAsia="Times New Roman" w:hAnsi="Times New Roman" w:cs="Times New Roman"/>
          <w:sz w:val="24"/>
          <w:szCs w:val="24"/>
          <w:lang w:eastAsia="en-ZW"/>
        </w:rPr>
        <w:t>pplicant's erstwhile legal p</w:t>
      </w:r>
      <w:r>
        <w:rPr>
          <w:rFonts w:ascii="Times New Roman" w:eastAsia="Times New Roman" w:hAnsi="Times New Roman" w:cs="Times New Roman"/>
          <w:sz w:val="24"/>
          <w:szCs w:val="24"/>
          <w:lang w:eastAsia="en-ZW"/>
        </w:rPr>
        <w:t>ractitioners to attach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w:t>
      </w:r>
      <w:r w:rsidRPr="00226532">
        <w:rPr>
          <w:rFonts w:ascii="Times New Roman" w:eastAsia="Times New Roman" w:hAnsi="Times New Roman" w:cs="Times New Roman"/>
          <w:sz w:val="24"/>
          <w:szCs w:val="24"/>
          <w:lang w:eastAsia="en-ZW"/>
        </w:rPr>
        <w:t>espondent's motor vehicle, a Mercedes</w:t>
      </w:r>
      <w:r w:rsidR="000C26BA">
        <w:rPr>
          <w:rFonts w:ascii="Times New Roman" w:eastAsia="Times New Roman" w:hAnsi="Times New Roman" w:cs="Times New Roman"/>
          <w:sz w:val="24"/>
          <w:szCs w:val="24"/>
          <w:lang w:eastAsia="en-ZW"/>
        </w:rPr>
        <w:t>-</w:t>
      </w:r>
      <w:r w:rsidRPr="00226532">
        <w:rPr>
          <w:rFonts w:ascii="Times New Roman" w:eastAsia="Times New Roman" w:hAnsi="Times New Roman" w:cs="Times New Roman"/>
          <w:sz w:val="24"/>
          <w:szCs w:val="24"/>
          <w:lang w:eastAsia="en-ZW"/>
        </w:rPr>
        <w:t>Benz registration nu</w:t>
      </w:r>
      <w:r>
        <w:rPr>
          <w:rFonts w:ascii="Times New Roman" w:eastAsia="Times New Roman" w:hAnsi="Times New Roman" w:cs="Times New Roman"/>
          <w:sz w:val="24"/>
          <w:szCs w:val="24"/>
          <w:lang w:eastAsia="en-ZW"/>
        </w:rPr>
        <w:t>mber AAC6124, were also frustrated. The 1</w:t>
      </w:r>
      <w:r w:rsidRPr="00FC5542">
        <w:rPr>
          <w:rFonts w:ascii="Times New Roman" w:eastAsia="Times New Roman" w:hAnsi="Times New Roman" w:cs="Times New Roman"/>
          <w:sz w:val="24"/>
          <w:szCs w:val="24"/>
          <w:vertAlign w:val="superscript"/>
          <w:lang w:eastAsia="en-ZW"/>
        </w:rPr>
        <w:t xml:space="preserve">st </w:t>
      </w:r>
      <w:r>
        <w:rPr>
          <w:rFonts w:ascii="Times New Roman" w:eastAsia="Times New Roman" w:hAnsi="Times New Roman" w:cs="Times New Roman"/>
          <w:sz w:val="24"/>
          <w:szCs w:val="24"/>
          <w:lang w:eastAsia="en-ZW"/>
        </w:rPr>
        <w:t>r</w:t>
      </w:r>
      <w:r w:rsidRPr="00226532">
        <w:rPr>
          <w:rFonts w:ascii="Times New Roman" w:eastAsia="Times New Roman" w:hAnsi="Times New Roman" w:cs="Times New Roman"/>
          <w:sz w:val="24"/>
          <w:szCs w:val="24"/>
          <w:lang w:eastAsia="en-ZW"/>
        </w:rPr>
        <w:t>espondent initiated interpleader proceedings and other applications, which ultimately frustrated the judicial execution process for that vehicle as well</w:t>
      </w:r>
      <w:r>
        <w:rPr>
          <w:rFonts w:ascii="Times New Roman" w:eastAsia="Times New Roman" w:hAnsi="Times New Roman" w:cs="Times New Roman"/>
          <w:sz w:val="24"/>
          <w:szCs w:val="24"/>
          <w:lang w:eastAsia="en-ZW"/>
        </w:rPr>
        <w:t>. Despite these efforts</w:t>
      </w:r>
      <w:r w:rsidR="000C26BA">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the judgment remained unfulfilled. It is against this backdrop that the applicant filed the present case for </w:t>
      </w:r>
      <w:r w:rsidR="000C26BA">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revival of that judgment.</w:t>
      </w:r>
      <w:r w:rsidRPr="006258E2">
        <w:rPr>
          <w:rFonts w:ascii="Times New Roman" w:eastAsia="Times New Roman" w:hAnsi="Times New Roman" w:cs="Times New Roman"/>
          <w:sz w:val="24"/>
          <w:szCs w:val="24"/>
          <w:lang w:eastAsia="en-ZW"/>
        </w:rPr>
        <w:t xml:space="preserve"> </w:t>
      </w:r>
    </w:p>
    <w:p w14:paraId="5712631D" w14:textId="03160667" w:rsidR="00A87B5D" w:rsidRPr="00FC5542" w:rsidRDefault="00A87B5D" w:rsidP="00A87B5D">
      <w:pPr>
        <w:spacing w:before="100" w:beforeAutospacing="1" w:after="100" w:afterAutospacing="1" w:line="36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 xml:space="preserve">PROCEEDINGS BEFORE THIS COURT </w:t>
      </w:r>
    </w:p>
    <w:p w14:paraId="1C3C249B" w14:textId="5DFAC4C5" w:rsidR="00247DD2" w:rsidRDefault="00A832C9" w:rsidP="00FC5542">
      <w:pPr>
        <w:pStyle w:val="NormalWeb"/>
        <w:spacing w:before="0" w:beforeAutospacing="0" w:after="0" w:afterAutospacing="0" w:line="360" w:lineRule="auto"/>
        <w:ind w:firstLine="720"/>
        <w:jc w:val="both"/>
      </w:pPr>
      <w:r>
        <w:t>At the hearing</w:t>
      </w:r>
      <w:r w:rsidR="000C26BA">
        <w:t>,</w:t>
      </w:r>
      <w:r>
        <w:t xml:space="preserve"> I invited the parties to address me on the</w:t>
      </w:r>
      <w:r w:rsidR="00B82DBF">
        <w:t xml:space="preserve"> preliminary points raised in their heads of arguments.</w:t>
      </w:r>
      <w:r>
        <w:t xml:space="preserve"> </w:t>
      </w:r>
    </w:p>
    <w:p w14:paraId="4A550EE5" w14:textId="31AEABCE" w:rsidR="00A832C9" w:rsidRDefault="00A832C9" w:rsidP="00FC5542">
      <w:pPr>
        <w:pStyle w:val="NormalWeb"/>
        <w:spacing w:before="0" w:beforeAutospacing="0" w:after="0" w:afterAutospacing="0" w:line="360" w:lineRule="auto"/>
        <w:ind w:firstLine="720"/>
        <w:jc w:val="both"/>
        <w:rPr>
          <w:lang w:val="en-GB"/>
        </w:rPr>
      </w:pPr>
      <w:r w:rsidRPr="001E4A04">
        <w:rPr>
          <w:lang w:val="en-GB"/>
        </w:rPr>
        <w:t xml:space="preserve">I would like to deal with the point </w:t>
      </w:r>
      <w:r w:rsidRPr="001E4A04">
        <w:rPr>
          <w:i/>
          <w:iCs/>
          <w:lang w:val="en-GB"/>
        </w:rPr>
        <w:t xml:space="preserve">in </w:t>
      </w:r>
      <w:proofErr w:type="spellStart"/>
      <w:r w:rsidRPr="001E4A04">
        <w:rPr>
          <w:i/>
          <w:iCs/>
          <w:lang w:val="en-GB"/>
        </w:rPr>
        <w:t>limine</w:t>
      </w:r>
      <w:proofErr w:type="spellEnd"/>
      <w:r w:rsidRPr="001E4A04">
        <w:rPr>
          <w:lang w:val="en-GB"/>
        </w:rPr>
        <w:t xml:space="preserve"> raised by Mr </w:t>
      </w:r>
      <w:r>
        <w:rPr>
          <w:i/>
          <w:iCs/>
          <w:lang w:val="en-GB"/>
        </w:rPr>
        <w:t>Masiye Moyo</w:t>
      </w:r>
      <w:r w:rsidRPr="001E4A04">
        <w:rPr>
          <w:i/>
          <w:iCs/>
          <w:lang w:val="en-GB"/>
        </w:rPr>
        <w:t xml:space="preserve"> </w:t>
      </w:r>
      <w:r>
        <w:rPr>
          <w:lang w:val="en-GB"/>
        </w:rPr>
        <w:t>on the 1</w:t>
      </w:r>
      <w:r w:rsidRPr="00A832C9">
        <w:rPr>
          <w:vertAlign w:val="superscript"/>
          <w:lang w:val="en-GB"/>
        </w:rPr>
        <w:t>st</w:t>
      </w:r>
      <w:r>
        <w:rPr>
          <w:lang w:val="en-GB"/>
        </w:rPr>
        <w:t xml:space="preserve"> respondent</w:t>
      </w:r>
      <w:r w:rsidRPr="001E4A04">
        <w:rPr>
          <w:lang w:val="en-GB"/>
        </w:rPr>
        <w:t>’s legal pract</w:t>
      </w:r>
      <w:r>
        <w:rPr>
          <w:lang w:val="en-GB"/>
        </w:rPr>
        <w:t>itioner deposing to the opposing</w:t>
      </w:r>
      <w:r w:rsidRPr="001E4A04">
        <w:rPr>
          <w:lang w:val="en-GB"/>
        </w:rPr>
        <w:t xml:space="preserve"> affidavit</w:t>
      </w:r>
      <w:r>
        <w:rPr>
          <w:lang w:val="en-GB"/>
        </w:rPr>
        <w:t xml:space="preserve">. Counsel submitted that </w:t>
      </w:r>
      <w:r w:rsidR="003A5ECF">
        <w:rPr>
          <w:lang w:val="en-GB"/>
        </w:rPr>
        <w:t xml:space="preserve">there was no valid opposition before the court as Mr </w:t>
      </w:r>
      <w:r w:rsidR="003A5ECF" w:rsidRPr="003A5ECF">
        <w:rPr>
          <w:i/>
          <w:lang w:val="en-GB"/>
        </w:rPr>
        <w:t>Gumbo</w:t>
      </w:r>
      <w:r w:rsidR="003A5ECF">
        <w:rPr>
          <w:lang w:val="en-GB"/>
        </w:rPr>
        <w:t xml:space="preserve"> deposed to facts that were not within </w:t>
      </w:r>
      <w:r w:rsidR="003A5ECF">
        <w:rPr>
          <w:lang w:val="en-GB"/>
        </w:rPr>
        <w:lastRenderedPageBreak/>
        <w:t>his personal knowledge. He submitted</w:t>
      </w:r>
      <w:r w:rsidR="000C26BA">
        <w:rPr>
          <w:lang w:val="en-GB"/>
        </w:rPr>
        <w:t>,</w:t>
      </w:r>
      <w:r w:rsidR="003A5ECF">
        <w:rPr>
          <w:lang w:val="en-GB"/>
        </w:rPr>
        <w:t xml:space="preserve"> therefore</w:t>
      </w:r>
      <w:r w:rsidR="000C26BA">
        <w:rPr>
          <w:lang w:val="en-GB"/>
        </w:rPr>
        <w:t>,</w:t>
      </w:r>
      <w:r w:rsidR="003A5ECF">
        <w:rPr>
          <w:lang w:val="en-GB"/>
        </w:rPr>
        <w:t xml:space="preserve"> that the matter be treated as unopposed. In response, Mr </w:t>
      </w:r>
      <w:r w:rsidR="003A5ECF" w:rsidRPr="003A5ECF">
        <w:rPr>
          <w:i/>
          <w:lang w:val="en-GB"/>
        </w:rPr>
        <w:t>Gumbo</w:t>
      </w:r>
      <w:r w:rsidR="003A5ECF">
        <w:rPr>
          <w:lang w:val="en-GB"/>
        </w:rPr>
        <w:t xml:space="preserve"> submitted that there are various pronouncements by this Court accepting the propriety of such affidavits in purely procedural matters. He stated that</w:t>
      </w:r>
      <w:r w:rsidR="00B06847">
        <w:rPr>
          <w:lang w:val="en-GB"/>
        </w:rPr>
        <w:t>,</w:t>
      </w:r>
      <w:r w:rsidR="003A5ECF">
        <w:rPr>
          <w:lang w:val="en-GB"/>
        </w:rPr>
        <w:t xml:space="preserve"> as the present application was purely procedural</w:t>
      </w:r>
      <w:r w:rsidR="00B06847">
        <w:rPr>
          <w:lang w:val="en-GB"/>
        </w:rPr>
        <w:t>,</w:t>
      </w:r>
      <w:r w:rsidR="003A5ECF">
        <w:rPr>
          <w:lang w:val="en-GB"/>
        </w:rPr>
        <w:t xml:space="preserve"> he was better placed to deal with the legal issues as the 1</w:t>
      </w:r>
      <w:r w:rsidR="003A5ECF" w:rsidRPr="003A5ECF">
        <w:rPr>
          <w:vertAlign w:val="superscript"/>
          <w:lang w:val="en-GB"/>
        </w:rPr>
        <w:t>st</w:t>
      </w:r>
      <w:r w:rsidR="003A5ECF">
        <w:rPr>
          <w:lang w:val="en-GB"/>
        </w:rPr>
        <w:t xml:space="preserve"> respondent had no knowledge of superannuation and revival of judgments, there being no disputes at all on the material facts surrounding the substantive issues. </w:t>
      </w:r>
    </w:p>
    <w:p w14:paraId="3C29570F" w14:textId="77777777" w:rsidR="003A5ECF" w:rsidRDefault="003A5ECF" w:rsidP="00FC5542">
      <w:pPr>
        <w:pStyle w:val="NormalWeb"/>
        <w:spacing w:before="0" w:beforeAutospacing="0" w:after="0" w:afterAutospacing="0" w:line="360" w:lineRule="auto"/>
        <w:ind w:firstLine="720"/>
        <w:jc w:val="both"/>
      </w:pPr>
      <w:r>
        <w:t xml:space="preserve">The attack on Mr </w:t>
      </w:r>
      <w:r w:rsidRPr="003A5ECF">
        <w:rPr>
          <w:i/>
        </w:rPr>
        <w:t>Gumbo</w:t>
      </w:r>
      <w:r>
        <w:t>’s opposing affidavit must th</w:t>
      </w:r>
      <w:r w:rsidR="00ED56B9">
        <w:t xml:space="preserve">erefore be assessed against the </w:t>
      </w:r>
      <w:r w:rsidR="003F7BD8">
        <w:t xml:space="preserve">provisions of r 58 subrule 4(a) </w:t>
      </w:r>
      <w:r>
        <w:t>of the High Court Rules</w:t>
      </w:r>
      <w:r w:rsidR="003F7BD8">
        <w:t>,</w:t>
      </w:r>
      <w:r>
        <w:t xml:space="preserve"> 2021, which provides as follows;</w:t>
      </w:r>
    </w:p>
    <w:p w14:paraId="18FDBB8F" w14:textId="77777777" w:rsidR="003A5ECF" w:rsidRDefault="003A5ECF" w:rsidP="005D5E5F">
      <w:pPr>
        <w:pStyle w:val="NormalWeb"/>
        <w:spacing w:before="0" w:beforeAutospacing="0" w:after="0" w:afterAutospacing="0" w:line="360" w:lineRule="auto"/>
        <w:ind w:firstLine="720"/>
        <w:jc w:val="both"/>
      </w:pPr>
    </w:p>
    <w:p w14:paraId="59112002" w14:textId="77777777" w:rsidR="003A5ECF" w:rsidRDefault="003A5ECF" w:rsidP="005D5E5F">
      <w:pPr>
        <w:pStyle w:val="NormalWeb"/>
        <w:spacing w:before="0" w:beforeAutospacing="0" w:after="0" w:afterAutospacing="0"/>
        <w:ind w:left="720"/>
        <w:jc w:val="both"/>
      </w:pPr>
      <w:r>
        <w:t>“An affidavit filed with a written application—</w:t>
      </w:r>
    </w:p>
    <w:p w14:paraId="0105DC60" w14:textId="77777777" w:rsidR="003A5ECF" w:rsidRDefault="003A5ECF" w:rsidP="005D5E5F">
      <w:pPr>
        <w:pStyle w:val="NormalWeb"/>
        <w:numPr>
          <w:ilvl w:val="0"/>
          <w:numId w:val="1"/>
        </w:numPr>
        <w:spacing w:before="0" w:beforeAutospacing="0" w:after="0" w:afterAutospacing="0"/>
        <w:jc w:val="both"/>
      </w:pPr>
      <w:r>
        <w:t xml:space="preserve">shall be made by the applicant or respondent, as the case may be, </w:t>
      </w:r>
      <w:r w:rsidRPr="003F7BD8">
        <w:rPr>
          <w:u w:val="single"/>
        </w:rPr>
        <w:t>or by a person who can swear to the facts or averments set out in therein</w:t>
      </w:r>
      <w:r>
        <w:t>; and”—</w:t>
      </w:r>
      <w:r w:rsidR="003F7BD8">
        <w:t xml:space="preserve"> (underlining for own emphasis)</w:t>
      </w:r>
    </w:p>
    <w:p w14:paraId="58E3F4B6" w14:textId="77777777" w:rsidR="003A5ECF" w:rsidRDefault="003A5ECF" w:rsidP="005D5E5F">
      <w:pPr>
        <w:pStyle w:val="NormalWeb"/>
        <w:spacing w:before="0" w:beforeAutospacing="0" w:after="0" w:afterAutospacing="0"/>
        <w:ind w:left="1080"/>
        <w:jc w:val="both"/>
      </w:pPr>
    </w:p>
    <w:p w14:paraId="3C2FDFE8" w14:textId="60424EAA" w:rsidR="003A5ECF" w:rsidRDefault="003A5ECF" w:rsidP="005D5E5F">
      <w:pPr>
        <w:pStyle w:val="NormalWeb"/>
        <w:spacing w:before="0" w:beforeAutospacing="0" w:after="0" w:afterAutospacing="0" w:line="360" w:lineRule="auto"/>
        <w:jc w:val="both"/>
      </w:pPr>
      <w:r>
        <w:t>Mr Gumbo in hi</w:t>
      </w:r>
      <w:r w:rsidR="00681EEB">
        <w:t xml:space="preserve">s opposing affidavit </w:t>
      </w:r>
      <w:r w:rsidR="001D5625">
        <w:t>states as follows</w:t>
      </w:r>
      <w:r>
        <w:t>;</w:t>
      </w:r>
    </w:p>
    <w:p w14:paraId="13AD9AE7" w14:textId="77777777" w:rsidR="003A5ECF" w:rsidRDefault="00681EEB" w:rsidP="005D5E5F">
      <w:pPr>
        <w:pStyle w:val="NormalWeb"/>
        <w:spacing w:before="0" w:beforeAutospacing="0" w:after="0" w:afterAutospacing="0"/>
        <w:ind w:left="720"/>
        <w:jc w:val="both"/>
      </w:pPr>
      <w:r>
        <w:t xml:space="preserve">I, TAKUNDA EMMANUEL GUMBO, do hereby make oath and state that the facts deposed to </w:t>
      </w:r>
      <w:r w:rsidR="00894EE1">
        <w:t>herein are within my knowledge and do believe the same to be true and correct. I am the 1</w:t>
      </w:r>
      <w:r w:rsidR="00894EE1" w:rsidRPr="00894EE1">
        <w:rPr>
          <w:vertAlign w:val="superscript"/>
        </w:rPr>
        <w:t>st</w:t>
      </w:r>
      <w:r w:rsidR="00894EE1">
        <w:t xml:space="preserve"> respondent’s attending legal practitioner and, on account of the fact that this application raises purely legal issues on the question of the propriety of the current application, with no material disputes on the facts, in that capacity have been duly authorised to depose to this affidavit.</w:t>
      </w:r>
    </w:p>
    <w:p w14:paraId="061C5EAC" w14:textId="77777777" w:rsidR="00B764CC" w:rsidRDefault="00B764CC" w:rsidP="005D5E5F">
      <w:pPr>
        <w:pStyle w:val="NormalWeb"/>
        <w:spacing w:before="0" w:beforeAutospacing="0" w:after="0" w:afterAutospacing="0"/>
        <w:jc w:val="both"/>
      </w:pPr>
    </w:p>
    <w:p w14:paraId="09689C4B" w14:textId="6F6D8206" w:rsidR="006F4D3F" w:rsidRPr="006F4D3F" w:rsidRDefault="00B82DBF" w:rsidP="00EB7678">
      <w:pPr>
        <w:pStyle w:val="NormalWeb"/>
        <w:spacing w:line="360" w:lineRule="auto"/>
        <w:ind w:firstLine="720"/>
        <w:jc w:val="both"/>
      </w:pPr>
      <w:r>
        <w:t>From the reading of this paragraph</w:t>
      </w:r>
      <w:r w:rsidR="00B06847">
        <w:t>,</w:t>
      </w:r>
      <w:r>
        <w:t xml:space="preserve"> I deduced that the 1</w:t>
      </w:r>
      <w:r w:rsidRPr="00B82DBF">
        <w:rPr>
          <w:vertAlign w:val="superscript"/>
        </w:rPr>
        <w:t>st</w:t>
      </w:r>
      <w:r>
        <w:t xml:space="preserve"> respondent </w:t>
      </w:r>
      <w:r w:rsidR="00ED56B9">
        <w:t xml:space="preserve">relied on </w:t>
      </w:r>
      <w:r>
        <w:t>two sources of knowledge</w:t>
      </w:r>
      <w:r w:rsidR="00B06847">
        <w:t>,</w:t>
      </w:r>
      <w:r>
        <w:t xml:space="preserve"> which </w:t>
      </w:r>
      <w:r w:rsidR="00ED56B9">
        <w:t xml:space="preserve">he believes </w:t>
      </w:r>
      <w:r>
        <w:t>entitle him to depose to the affidavit, his legal training and personal knowledge.</w:t>
      </w:r>
      <w:r w:rsidR="00B764CC">
        <w:t xml:space="preserve"> Generally</w:t>
      </w:r>
      <w:r w:rsidR="00B06847">
        <w:t>,</w:t>
      </w:r>
      <w:r w:rsidR="00B764CC">
        <w:t xml:space="preserve"> I agree with </w:t>
      </w:r>
      <w:r w:rsidR="00DE3010">
        <w:t>counsel for the applicant</w:t>
      </w:r>
      <w:r w:rsidR="00B764CC">
        <w:t xml:space="preserve"> that </w:t>
      </w:r>
      <w:r w:rsidR="00DE3010">
        <w:t xml:space="preserve">it is undesirable for a legal practitioner to </w:t>
      </w:r>
      <w:r w:rsidR="00B764CC">
        <w:t xml:space="preserve">depose to an affidavit on behalf of a client. </w:t>
      </w:r>
      <w:r w:rsidR="00B764CC" w:rsidRPr="001E4A04">
        <w:rPr>
          <w:lang w:val="en-GB"/>
        </w:rPr>
        <w:t>This court has previously stated why it is undesirable for legal pr</w:t>
      </w:r>
      <w:r w:rsidR="00DE3010">
        <w:rPr>
          <w:lang w:val="en-GB"/>
        </w:rPr>
        <w:t>actitioners to do so.  In exceptional circumstances</w:t>
      </w:r>
      <w:r w:rsidR="00B06847">
        <w:rPr>
          <w:lang w:val="en-GB"/>
        </w:rPr>
        <w:t>,</w:t>
      </w:r>
      <w:r w:rsidR="00DE3010">
        <w:rPr>
          <w:lang w:val="en-GB"/>
        </w:rPr>
        <w:t xml:space="preserve"> however, </w:t>
      </w:r>
      <w:r w:rsidR="00DE3010">
        <w:t>a</w:t>
      </w:r>
      <w:r w:rsidR="00DE3010" w:rsidRPr="00DE3010">
        <w:t xml:space="preserve"> legal practitioner may properly depose to an affidavit if:</w:t>
      </w:r>
      <w:r w:rsidR="00DE3010">
        <w:t xml:space="preserve"> </w:t>
      </w:r>
      <w:r w:rsidR="00DE3010" w:rsidRPr="00DE3010">
        <w:rPr>
          <w:bCs/>
        </w:rPr>
        <w:t>The facts are within their personal knowledge</w:t>
      </w:r>
      <w:r w:rsidR="00DE3010" w:rsidRPr="00DE3010">
        <w:t>, such as procedural history o</w:t>
      </w:r>
      <w:r w:rsidR="00DE3010">
        <w:t>r correspondence they handled and if the affidavit relates to procedural matters</w:t>
      </w:r>
      <w:r w:rsidR="00B06847">
        <w:t>,</w:t>
      </w:r>
      <w:r w:rsidR="00DE3010">
        <w:t xml:space="preserve"> for example</w:t>
      </w:r>
      <w:r w:rsidR="00B06847">
        <w:t>,</w:t>
      </w:r>
      <w:r w:rsidR="00DE3010">
        <w:t xml:space="preserve"> explaining delays in an application for rescission of default judgment. </w:t>
      </w:r>
      <w:r w:rsidR="00DE3010" w:rsidRPr="00DE3010">
        <w:t xml:space="preserve">This was affirmed in </w:t>
      </w:r>
      <w:r w:rsidR="00DE3010">
        <w:t xml:space="preserve">the case of </w:t>
      </w:r>
      <w:r w:rsidR="00DE3010" w:rsidRPr="00DE3010">
        <w:rPr>
          <w:i/>
          <w:iCs/>
        </w:rPr>
        <w:t xml:space="preserve">Mandaza v Mzilikazi Investments (Pvt) Ltd </w:t>
      </w:r>
      <w:r w:rsidR="00DE3010" w:rsidRPr="00EB7678">
        <w:rPr>
          <w:iCs/>
        </w:rPr>
        <w:t>HB 23-07</w:t>
      </w:r>
      <w:r w:rsidR="00DE3010" w:rsidRPr="00B06847">
        <w:t>,</w:t>
      </w:r>
      <w:r w:rsidR="00DE3010" w:rsidRPr="00DE3010">
        <w:t xml:space="preserve"> where the court held that a legal practitioner may depose to an affidavit if the facts are within their knowledge and the</w:t>
      </w:r>
      <w:r w:rsidR="00DE3010">
        <w:t xml:space="preserve"> matter is procedural in nature</w:t>
      </w:r>
      <w:r w:rsidR="00B764CC" w:rsidRPr="001E4A04">
        <w:rPr>
          <w:lang w:val="en-GB"/>
        </w:rPr>
        <w:t xml:space="preserve">.  </w:t>
      </w:r>
      <w:r w:rsidR="00B764CC">
        <w:rPr>
          <w:lang w:val="en-GB"/>
        </w:rPr>
        <w:t xml:space="preserve">Even in such circumstances, </w:t>
      </w:r>
      <w:r w:rsidR="00DE3010">
        <w:rPr>
          <w:lang w:val="en-GB"/>
        </w:rPr>
        <w:t xml:space="preserve">the courts have highlighted that </w:t>
      </w:r>
      <w:r w:rsidR="00B764CC">
        <w:rPr>
          <w:lang w:val="en-GB"/>
        </w:rPr>
        <w:t xml:space="preserve">the route should </w:t>
      </w:r>
      <w:r w:rsidR="00696722">
        <w:rPr>
          <w:lang w:val="en-GB"/>
        </w:rPr>
        <w:t xml:space="preserve">be taken sparingly. </w:t>
      </w:r>
      <w:r w:rsidR="00DE3010">
        <w:rPr>
          <w:lang w:val="en-GB"/>
        </w:rPr>
        <w:t>The facts of this present</w:t>
      </w:r>
      <w:r w:rsidR="00ED56B9">
        <w:rPr>
          <w:lang w:val="en-GB"/>
        </w:rPr>
        <w:t xml:space="preserve"> application are not within the personal knowledge of the 1</w:t>
      </w:r>
      <w:r w:rsidR="00ED56B9" w:rsidRPr="00ED56B9">
        <w:rPr>
          <w:vertAlign w:val="superscript"/>
          <w:lang w:val="en-GB"/>
        </w:rPr>
        <w:t>st</w:t>
      </w:r>
      <w:r w:rsidR="00ED56B9">
        <w:rPr>
          <w:lang w:val="en-GB"/>
        </w:rPr>
        <w:t xml:space="preserve"> respondent’s legal practitioner</w:t>
      </w:r>
      <w:r w:rsidR="00B06847">
        <w:rPr>
          <w:lang w:val="en-GB"/>
        </w:rPr>
        <w:t>,</w:t>
      </w:r>
      <w:r w:rsidR="00ED56B9">
        <w:rPr>
          <w:lang w:val="en-GB"/>
        </w:rPr>
        <w:t xml:space="preserve"> as he was not the legal practitioner who was handling the matter before. He </w:t>
      </w:r>
      <w:r w:rsidR="00ED56B9">
        <w:rPr>
          <w:lang w:val="en-GB"/>
        </w:rPr>
        <w:lastRenderedPageBreak/>
        <w:t>might have gotten some knowledge from perusing the record and even interviewing his client</w:t>
      </w:r>
      <w:r w:rsidR="00B06847">
        <w:rPr>
          <w:lang w:val="en-GB"/>
        </w:rPr>
        <w:t xml:space="preserve">; </w:t>
      </w:r>
      <w:r w:rsidR="00ED56B9">
        <w:rPr>
          <w:lang w:val="en-GB"/>
        </w:rPr>
        <w:t>however</w:t>
      </w:r>
      <w:r w:rsidR="00B06847">
        <w:rPr>
          <w:lang w:val="en-GB"/>
        </w:rPr>
        <w:t>,</w:t>
      </w:r>
      <w:r w:rsidR="00ED56B9">
        <w:rPr>
          <w:lang w:val="en-GB"/>
        </w:rPr>
        <w:t xml:space="preserve"> this cannot be cl</w:t>
      </w:r>
      <w:r w:rsidR="000C0302">
        <w:rPr>
          <w:lang w:val="en-GB"/>
        </w:rPr>
        <w:t>assified as ‘personal knowledge’</w:t>
      </w:r>
      <w:r w:rsidR="00ED56B9">
        <w:rPr>
          <w:lang w:val="en-GB"/>
        </w:rPr>
        <w:t xml:space="preserve"> which can entitle him to depose to an affidavi</w:t>
      </w:r>
      <w:r w:rsidR="00DE3010">
        <w:rPr>
          <w:lang w:val="en-GB"/>
        </w:rPr>
        <w:t xml:space="preserve">t on behalf of a client. </w:t>
      </w:r>
      <w:r w:rsidR="00007EB1">
        <w:rPr>
          <w:lang w:val="en-GB"/>
        </w:rPr>
        <w:t>In addition,</w:t>
      </w:r>
      <w:r w:rsidR="00DF67AA">
        <w:rPr>
          <w:lang w:val="en-GB"/>
        </w:rPr>
        <w:t xml:space="preserve"> counsel does not indicate the s</w:t>
      </w:r>
      <w:r w:rsidR="00007EB1">
        <w:rPr>
          <w:lang w:val="en-GB"/>
        </w:rPr>
        <w:t>ource of his information. He also does not say that it is the 1</w:t>
      </w:r>
      <w:r w:rsidR="00007EB1" w:rsidRPr="00007EB1">
        <w:rPr>
          <w:vertAlign w:val="superscript"/>
          <w:lang w:val="en-GB"/>
        </w:rPr>
        <w:t>st</w:t>
      </w:r>
      <w:r w:rsidR="00007EB1">
        <w:rPr>
          <w:lang w:val="en-GB"/>
        </w:rPr>
        <w:t xml:space="preserve"> respondent who provided him with such information. For example</w:t>
      </w:r>
      <w:r w:rsidR="00B06847">
        <w:rPr>
          <w:lang w:val="en-GB"/>
        </w:rPr>
        <w:t>,</w:t>
      </w:r>
      <w:r w:rsidR="00007EB1">
        <w:rPr>
          <w:lang w:val="en-GB"/>
        </w:rPr>
        <w:t xml:space="preserve"> </w:t>
      </w:r>
      <w:r w:rsidR="00B06847">
        <w:rPr>
          <w:lang w:val="en-GB"/>
        </w:rPr>
        <w:t xml:space="preserve">in </w:t>
      </w:r>
      <w:r w:rsidR="00007EB1">
        <w:rPr>
          <w:lang w:val="en-GB"/>
        </w:rPr>
        <w:t>paragraph 4.2</w:t>
      </w:r>
      <w:r w:rsidR="00B06847">
        <w:rPr>
          <w:lang w:val="en-GB"/>
        </w:rPr>
        <w:t>,</w:t>
      </w:r>
      <w:r w:rsidR="00007EB1">
        <w:rPr>
          <w:lang w:val="en-GB"/>
        </w:rPr>
        <w:t xml:space="preserve"> counsel talks about the attachment and sale in execution of the 1</w:t>
      </w:r>
      <w:r w:rsidR="00007EB1" w:rsidRPr="00007EB1">
        <w:rPr>
          <w:vertAlign w:val="superscript"/>
          <w:lang w:val="en-GB"/>
        </w:rPr>
        <w:t>st</w:t>
      </w:r>
      <w:r w:rsidR="00007EB1">
        <w:rPr>
          <w:lang w:val="en-GB"/>
        </w:rPr>
        <w:t xml:space="preserve"> respondent’s Mercedes</w:t>
      </w:r>
      <w:r w:rsidR="00B06847">
        <w:rPr>
          <w:lang w:val="en-GB"/>
        </w:rPr>
        <w:t>-B</w:t>
      </w:r>
      <w:r w:rsidR="00007EB1">
        <w:rPr>
          <w:lang w:val="en-GB"/>
        </w:rPr>
        <w:t xml:space="preserve">enz. </w:t>
      </w:r>
      <w:r w:rsidR="00DE3010">
        <w:rPr>
          <w:lang w:val="en-GB"/>
        </w:rPr>
        <w:t>This</w:t>
      </w:r>
      <w:r w:rsidR="00B06847">
        <w:rPr>
          <w:lang w:val="en-GB"/>
        </w:rPr>
        <w:t>,</w:t>
      </w:r>
      <w:r w:rsidR="00DE3010">
        <w:rPr>
          <w:lang w:val="en-GB"/>
        </w:rPr>
        <w:t xml:space="preserve"> in</w:t>
      </w:r>
      <w:r w:rsidR="00007EB1">
        <w:rPr>
          <w:lang w:val="en-GB"/>
        </w:rPr>
        <w:t xml:space="preserve"> my view</w:t>
      </w:r>
      <w:r w:rsidR="00B06847">
        <w:rPr>
          <w:lang w:val="en-GB"/>
        </w:rPr>
        <w:t>,</w:t>
      </w:r>
      <w:r w:rsidR="00ED56B9">
        <w:rPr>
          <w:lang w:val="en-GB"/>
        </w:rPr>
        <w:t xml:space="preserve"> only amount</w:t>
      </w:r>
      <w:r w:rsidR="00007EB1">
        <w:rPr>
          <w:lang w:val="en-GB"/>
        </w:rPr>
        <w:t>s</w:t>
      </w:r>
      <w:r w:rsidR="00ED56B9">
        <w:rPr>
          <w:lang w:val="en-GB"/>
        </w:rPr>
        <w:t xml:space="preserve"> to hearsay evidence</w:t>
      </w:r>
      <w:r w:rsidR="00007EB1">
        <w:rPr>
          <w:lang w:val="en-GB"/>
        </w:rPr>
        <w:t xml:space="preserve"> as the 1</w:t>
      </w:r>
      <w:r w:rsidR="00007EB1" w:rsidRPr="00007EB1">
        <w:rPr>
          <w:vertAlign w:val="superscript"/>
          <w:lang w:val="en-GB"/>
        </w:rPr>
        <w:t>st</w:t>
      </w:r>
      <w:r w:rsidR="006F4D3F">
        <w:rPr>
          <w:lang w:val="en-GB"/>
        </w:rPr>
        <w:t xml:space="preserve"> respondent’s counsel was not the counsel who was representing the 1</w:t>
      </w:r>
      <w:r w:rsidR="006F4D3F" w:rsidRPr="006F4D3F">
        <w:rPr>
          <w:vertAlign w:val="superscript"/>
          <w:lang w:val="en-GB"/>
        </w:rPr>
        <w:t>st</w:t>
      </w:r>
      <w:r w:rsidR="006F4D3F">
        <w:rPr>
          <w:lang w:val="en-GB"/>
        </w:rPr>
        <w:t xml:space="preserve"> respondent at that time. </w:t>
      </w:r>
      <w:r w:rsidR="006F4D3F" w:rsidRPr="006F4D3F">
        <w:t>As a gener</w:t>
      </w:r>
      <w:r w:rsidR="006F4D3F">
        <w:t xml:space="preserve">al rule and </w:t>
      </w:r>
      <w:r w:rsidR="006F4D3F" w:rsidRPr="006F4D3F">
        <w:t>subject to section 27 of the Civil Evidence Act [</w:t>
      </w:r>
      <w:r w:rsidR="006F4D3F" w:rsidRPr="006F4D3F">
        <w:rPr>
          <w:i/>
          <w:iCs/>
        </w:rPr>
        <w:t>Chapter 8:10</w:t>
      </w:r>
      <w:r w:rsidR="006F4D3F" w:rsidRPr="006F4D3F">
        <w:t xml:space="preserve">], hearsay evidence is inadmissible in affidavits. </w:t>
      </w:r>
    </w:p>
    <w:p w14:paraId="0D409861" w14:textId="57221657" w:rsidR="005D3282" w:rsidRPr="00DE3010" w:rsidRDefault="006F4D3F" w:rsidP="00EB7678">
      <w:pPr>
        <w:pStyle w:val="NormalWeb"/>
        <w:spacing w:line="360" w:lineRule="auto"/>
        <w:ind w:firstLine="720"/>
        <w:jc w:val="both"/>
      </w:pPr>
      <w:r>
        <w:rPr>
          <w:lang w:val="en-GB"/>
        </w:rPr>
        <w:t xml:space="preserve">I agree with Mr Gumbo </w:t>
      </w:r>
      <w:r w:rsidR="00226532">
        <w:rPr>
          <w:lang w:val="en-GB"/>
        </w:rPr>
        <w:t xml:space="preserve">when he makes the point </w:t>
      </w:r>
      <w:r>
        <w:rPr>
          <w:lang w:val="en-GB"/>
        </w:rPr>
        <w:t>that</w:t>
      </w:r>
      <w:r w:rsidR="00B06847">
        <w:rPr>
          <w:lang w:val="en-GB"/>
        </w:rPr>
        <w:t>,</w:t>
      </w:r>
      <w:r>
        <w:rPr>
          <w:lang w:val="en-GB"/>
        </w:rPr>
        <w:t xml:space="preserve"> procedurally</w:t>
      </w:r>
      <w:r w:rsidR="00B06847">
        <w:rPr>
          <w:lang w:val="en-GB"/>
        </w:rPr>
        <w:t>,</w:t>
      </w:r>
      <w:r>
        <w:rPr>
          <w:lang w:val="en-GB"/>
        </w:rPr>
        <w:t xml:space="preserve"> he</w:t>
      </w:r>
      <w:r w:rsidR="00ED56B9">
        <w:rPr>
          <w:lang w:val="en-GB"/>
        </w:rPr>
        <w:t xml:space="preserve"> </w:t>
      </w:r>
      <w:r>
        <w:rPr>
          <w:lang w:val="en-GB"/>
        </w:rPr>
        <w:t>w</w:t>
      </w:r>
      <w:r w:rsidR="005D3282">
        <w:rPr>
          <w:lang w:val="en-GB"/>
        </w:rPr>
        <w:t>as in a better position to highlight the 1</w:t>
      </w:r>
      <w:r w:rsidR="005D3282" w:rsidRPr="005D3282">
        <w:rPr>
          <w:vertAlign w:val="superscript"/>
          <w:lang w:val="en-GB"/>
        </w:rPr>
        <w:t>st</w:t>
      </w:r>
      <w:r w:rsidR="005D3282">
        <w:rPr>
          <w:lang w:val="en-GB"/>
        </w:rPr>
        <w:t xml:space="preserve"> respondent’s case as the application is about procedural matters. However</w:t>
      </w:r>
      <w:r w:rsidR="00B06847">
        <w:rPr>
          <w:lang w:val="en-GB"/>
        </w:rPr>
        <w:t>,</w:t>
      </w:r>
      <w:r w:rsidR="005D3282">
        <w:rPr>
          <w:lang w:val="en-GB"/>
        </w:rPr>
        <w:t xml:space="preserve"> the facts which led to the rise of the application are not within counsel’s knowledge. In the circumstances</w:t>
      </w:r>
      <w:r w:rsidR="00B06847">
        <w:rPr>
          <w:lang w:val="en-GB"/>
        </w:rPr>
        <w:t>,</w:t>
      </w:r>
      <w:r w:rsidR="005D3282">
        <w:rPr>
          <w:lang w:val="en-GB"/>
        </w:rPr>
        <w:t xml:space="preserve"> </w:t>
      </w:r>
      <w:r w:rsidR="00226532">
        <w:rPr>
          <w:lang w:val="en-GB"/>
        </w:rPr>
        <w:t xml:space="preserve">I am of the view that </w:t>
      </w:r>
      <w:r w:rsidR="005D3282">
        <w:rPr>
          <w:lang w:val="en-GB"/>
        </w:rPr>
        <w:t>the legal practitioner was not justified in deposing to the affidavit. I accordingly uphol</w:t>
      </w:r>
      <w:r>
        <w:rPr>
          <w:lang w:val="en-GB"/>
        </w:rPr>
        <w:t>d the preliminary point</w:t>
      </w:r>
      <w:r w:rsidR="00B06847">
        <w:rPr>
          <w:lang w:val="en-GB"/>
        </w:rPr>
        <w:t>,</w:t>
      </w:r>
      <w:r>
        <w:rPr>
          <w:lang w:val="en-GB"/>
        </w:rPr>
        <w:t xml:space="preserve"> and coming to the finding that there is no valid notice of o</w:t>
      </w:r>
      <w:r w:rsidR="00F45E77">
        <w:rPr>
          <w:lang w:val="en-GB"/>
        </w:rPr>
        <w:t>pposition before the court. T</w:t>
      </w:r>
      <w:r>
        <w:rPr>
          <w:lang w:val="en-GB"/>
        </w:rPr>
        <w:t>he matter therefore proceeds as unopposed.</w:t>
      </w:r>
    </w:p>
    <w:p w14:paraId="02227E62" w14:textId="2EEB801A" w:rsidR="005D5E5F" w:rsidRDefault="00226532" w:rsidP="005D5E5F">
      <w:pPr>
        <w:pStyle w:val="NormalWeb"/>
        <w:shd w:val="clear" w:color="auto" w:fill="FFFFFF"/>
        <w:spacing w:before="0" w:beforeAutospacing="0" w:after="0" w:afterAutospacing="0" w:line="360" w:lineRule="auto"/>
        <w:ind w:firstLine="720"/>
        <w:jc w:val="both"/>
        <w:rPr>
          <w:color w:val="212529"/>
        </w:rPr>
      </w:pPr>
      <w:r>
        <w:t>I will therefore move on to the merits of the application to ascertain if the applicant has made a good case for the relief sought. T</w:t>
      </w:r>
      <w:r w:rsidR="00C831CF">
        <w:t xml:space="preserve">he applicant seeks an order for the revival of a judgment that was granted under case number HC </w:t>
      </w:r>
      <w:r>
        <w:t xml:space="preserve">2566/12. </w:t>
      </w:r>
      <w:r w:rsidR="00302B11">
        <w:t xml:space="preserve">It is trite law that a judgment becomes superannuated and loses its executability after three (3) years if no steps have been taken to enforce it. </w:t>
      </w:r>
      <w:r w:rsidR="00302B11" w:rsidRPr="00226532">
        <w:t>The original judgment in this case was granted on 26 September 2013, and the current application for revival was filed on 26 July 2024, which is well beyond the three-year period</w:t>
      </w:r>
      <w:r w:rsidR="00302B11">
        <w:t xml:space="preserve">. This position was confirmed in the case of </w:t>
      </w:r>
      <w:r w:rsidR="00302B11">
        <w:rPr>
          <w:rFonts w:ascii="Segoe UI" w:hAnsi="Segoe UI" w:cs="Segoe UI"/>
          <w:color w:val="212529"/>
          <w:sz w:val="23"/>
          <w:szCs w:val="23"/>
        </w:rPr>
        <w:t> </w:t>
      </w:r>
      <w:r w:rsidR="00302B11" w:rsidRPr="00302B11">
        <w:rPr>
          <w:i/>
          <w:iCs/>
          <w:color w:val="212529"/>
        </w:rPr>
        <w:t>Nzara and Others </w:t>
      </w:r>
      <w:r w:rsidR="00302B11" w:rsidRPr="00302B11">
        <w:rPr>
          <w:color w:val="212529"/>
        </w:rPr>
        <w:t>v </w:t>
      </w:r>
      <w:proofErr w:type="spellStart"/>
      <w:r w:rsidR="00302B11" w:rsidRPr="00302B11">
        <w:rPr>
          <w:i/>
          <w:iCs/>
          <w:color w:val="212529"/>
        </w:rPr>
        <w:t>Kashumba</w:t>
      </w:r>
      <w:proofErr w:type="spellEnd"/>
      <w:r w:rsidR="00302B11" w:rsidRPr="00302B11">
        <w:rPr>
          <w:i/>
          <w:iCs/>
          <w:color w:val="212529"/>
        </w:rPr>
        <w:t xml:space="preserve"> N.O &amp; Others</w:t>
      </w:r>
      <w:r w:rsidR="00302B11">
        <w:rPr>
          <w:color w:val="212529"/>
        </w:rPr>
        <w:t xml:space="preserve"> HH 151-16 </w:t>
      </w:r>
      <w:r w:rsidR="00302B11" w:rsidRPr="00302B11">
        <w:rPr>
          <w:color w:val="212529"/>
        </w:rPr>
        <w:t xml:space="preserve">that the common law position on the superannuation of judgments </w:t>
      </w:r>
      <w:r w:rsidR="00302B11">
        <w:rPr>
          <w:color w:val="212529"/>
        </w:rPr>
        <w:t>in Zimbabwe is that</w:t>
      </w:r>
      <w:r w:rsidR="00302B11" w:rsidRPr="00302B11">
        <w:rPr>
          <w:color w:val="212529"/>
        </w:rPr>
        <w:t xml:space="preserve"> a judgment superannuates after three (3) years. </w:t>
      </w:r>
    </w:p>
    <w:p w14:paraId="00573179" w14:textId="77777777" w:rsidR="005D5E5F" w:rsidRDefault="005D5E5F" w:rsidP="005D5E5F">
      <w:pPr>
        <w:pStyle w:val="NormalWeb"/>
        <w:shd w:val="clear" w:color="auto" w:fill="FFFFFF"/>
        <w:spacing w:before="0" w:beforeAutospacing="0" w:after="0" w:afterAutospacing="0" w:line="360" w:lineRule="auto"/>
        <w:jc w:val="both"/>
        <w:rPr>
          <w:color w:val="212529"/>
        </w:rPr>
      </w:pPr>
    </w:p>
    <w:p w14:paraId="2C11A775" w14:textId="732CF0FB" w:rsidR="00302B11" w:rsidRPr="00302B11" w:rsidRDefault="00302B11" w:rsidP="00EB7678">
      <w:pPr>
        <w:pStyle w:val="NormalWeb"/>
        <w:shd w:val="clear" w:color="auto" w:fill="FFFFFF"/>
        <w:spacing w:before="0" w:beforeAutospacing="0" w:after="0" w:afterAutospacing="0" w:line="360" w:lineRule="auto"/>
        <w:ind w:firstLine="360"/>
        <w:jc w:val="both"/>
        <w:rPr>
          <w:color w:val="212529"/>
        </w:rPr>
      </w:pPr>
      <w:r w:rsidRPr="00302B11">
        <w:rPr>
          <w:color w:val="212529"/>
        </w:rPr>
        <w:t>In the case of </w:t>
      </w:r>
      <w:r w:rsidRPr="00302B11">
        <w:rPr>
          <w:i/>
          <w:iCs/>
          <w:color w:val="212529"/>
        </w:rPr>
        <w:t>Independent Petroleum Group Limited </w:t>
      </w:r>
      <w:r w:rsidRPr="00302B11">
        <w:rPr>
          <w:color w:val="212529"/>
        </w:rPr>
        <w:t>v</w:t>
      </w:r>
      <w:r w:rsidRPr="00302B11">
        <w:rPr>
          <w:i/>
          <w:iCs/>
          <w:color w:val="212529"/>
        </w:rPr>
        <w:t> </w:t>
      </w:r>
      <w:proofErr w:type="spellStart"/>
      <w:r w:rsidRPr="00302B11">
        <w:rPr>
          <w:i/>
          <w:iCs/>
          <w:color w:val="212529"/>
        </w:rPr>
        <w:t>Chaparrel</w:t>
      </w:r>
      <w:proofErr w:type="spellEnd"/>
      <w:r w:rsidRPr="00302B11">
        <w:rPr>
          <w:i/>
          <w:iCs/>
          <w:color w:val="212529"/>
        </w:rPr>
        <w:t xml:space="preserve"> Trading (Pvt) Ltd &amp; Anor</w:t>
      </w:r>
      <w:r>
        <w:rPr>
          <w:color w:val="212529"/>
        </w:rPr>
        <w:t> HH 67-</w:t>
      </w:r>
      <w:r w:rsidRPr="00302B11">
        <w:rPr>
          <w:color w:val="212529"/>
        </w:rPr>
        <w:t>23</w:t>
      </w:r>
      <w:r w:rsidR="00B06847">
        <w:rPr>
          <w:color w:val="212529"/>
        </w:rPr>
        <w:t>,</w:t>
      </w:r>
      <w:r w:rsidRPr="00302B11">
        <w:rPr>
          <w:color w:val="212529"/>
        </w:rPr>
        <w:t xml:space="preserve"> the requirements for the revival of a superannuated judgment were listed as</w:t>
      </w:r>
      <w:r w:rsidR="005D5E5F">
        <w:rPr>
          <w:color w:val="212529"/>
        </w:rPr>
        <w:t xml:space="preserve"> follows:</w:t>
      </w:r>
    </w:p>
    <w:p w14:paraId="3C51FC54" w14:textId="77777777" w:rsidR="00302B11" w:rsidRPr="00302B11" w:rsidRDefault="00302B11" w:rsidP="005D5E5F">
      <w:pPr>
        <w:pStyle w:val="NormalWeb"/>
        <w:numPr>
          <w:ilvl w:val="0"/>
          <w:numId w:val="5"/>
        </w:numPr>
        <w:shd w:val="clear" w:color="auto" w:fill="FFFFFF"/>
        <w:spacing w:before="0" w:beforeAutospacing="0" w:after="0" w:afterAutospacing="0" w:line="360" w:lineRule="auto"/>
        <w:jc w:val="both"/>
        <w:rPr>
          <w:color w:val="212529"/>
        </w:rPr>
      </w:pPr>
      <w:r w:rsidRPr="00302B11">
        <w:rPr>
          <w:color w:val="212529"/>
        </w:rPr>
        <w:t>The judgment debt must remain outstanding;</w:t>
      </w:r>
    </w:p>
    <w:p w14:paraId="304A0160" w14:textId="77777777" w:rsidR="00302B11" w:rsidRPr="00302B11" w:rsidRDefault="00302B11" w:rsidP="005D5E5F">
      <w:pPr>
        <w:pStyle w:val="NormalWeb"/>
        <w:numPr>
          <w:ilvl w:val="0"/>
          <w:numId w:val="5"/>
        </w:numPr>
        <w:shd w:val="clear" w:color="auto" w:fill="FFFFFF"/>
        <w:spacing w:before="0" w:beforeAutospacing="0" w:after="0" w:afterAutospacing="0" w:line="360" w:lineRule="auto"/>
        <w:jc w:val="both"/>
        <w:rPr>
          <w:color w:val="212529"/>
        </w:rPr>
      </w:pPr>
      <w:r w:rsidRPr="00302B11">
        <w:rPr>
          <w:color w:val="212529"/>
        </w:rPr>
        <w:t>The judgment to be revived must specify the amount;</w:t>
      </w:r>
    </w:p>
    <w:p w14:paraId="22239811" w14:textId="77777777" w:rsidR="00302B11" w:rsidRPr="00302B11" w:rsidRDefault="00302B11" w:rsidP="005D5E5F">
      <w:pPr>
        <w:pStyle w:val="NormalWeb"/>
        <w:numPr>
          <w:ilvl w:val="0"/>
          <w:numId w:val="5"/>
        </w:numPr>
        <w:shd w:val="clear" w:color="auto" w:fill="FFFFFF"/>
        <w:spacing w:before="0" w:beforeAutospacing="0" w:after="0" w:afterAutospacing="0" w:line="360" w:lineRule="auto"/>
        <w:jc w:val="both"/>
        <w:rPr>
          <w:color w:val="212529"/>
        </w:rPr>
      </w:pPr>
      <w:r w:rsidRPr="00302B11">
        <w:rPr>
          <w:color w:val="212529"/>
        </w:rPr>
        <w:t>There must be reasonable explanation for the delay in enforcing the judgment; and</w:t>
      </w:r>
    </w:p>
    <w:p w14:paraId="4A8D95FF" w14:textId="77777777" w:rsidR="00302B11" w:rsidRPr="00302B11" w:rsidRDefault="00302B11" w:rsidP="00EB7678">
      <w:pPr>
        <w:pStyle w:val="ListParagraph"/>
        <w:numPr>
          <w:ilvl w:val="0"/>
          <w:numId w:val="5"/>
        </w:numPr>
        <w:tabs>
          <w:tab w:val="clear" w:pos="720"/>
          <w:tab w:val="left" w:pos="6060"/>
        </w:tabs>
        <w:spacing w:line="360" w:lineRule="auto"/>
        <w:jc w:val="both"/>
        <w:rPr>
          <w:rFonts w:ascii="Times New Roman" w:hAnsi="Times New Roman" w:cs="Times New Roman"/>
          <w:color w:val="212529"/>
          <w:sz w:val="24"/>
          <w:szCs w:val="24"/>
          <w:shd w:val="clear" w:color="auto" w:fill="FFFFFF"/>
        </w:rPr>
      </w:pPr>
      <w:r w:rsidRPr="00302B11">
        <w:rPr>
          <w:rFonts w:ascii="Times New Roman" w:hAnsi="Times New Roman" w:cs="Times New Roman"/>
          <w:color w:val="212529"/>
          <w:sz w:val="24"/>
          <w:szCs w:val="24"/>
        </w:rPr>
        <w:lastRenderedPageBreak/>
        <w:t>The order must be of some benefit to the applicant</w:t>
      </w:r>
    </w:p>
    <w:p w14:paraId="34C03EF7" w14:textId="7DFA10B9" w:rsidR="001E4A04" w:rsidRPr="00302B11" w:rsidRDefault="00B06847" w:rsidP="00EB7678">
      <w:pPr>
        <w:spacing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rPr>
        <w:tab/>
      </w:r>
      <w:r w:rsidR="00302B11">
        <w:rPr>
          <w:rFonts w:ascii="Times New Roman" w:hAnsi="Times New Roman" w:cs="Times New Roman"/>
          <w:color w:val="212529"/>
          <w:sz w:val="24"/>
          <w:szCs w:val="24"/>
        </w:rPr>
        <w:t xml:space="preserve">I am convinced that the applicant managed to satisfy the above requirements. </w:t>
      </w:r>
      <w:r w:rsidR="005D5E5F">
        <w:rPr>
          <w:rFonts w:ascii="Times New Roman" w:hAnsi="Times New Roman" w:cs="Times New Roman"/>
          <w:color w:val="212529"/>
          <w:sz w:val="24"/>
          <w:szCs w:val="24"/>
        </w:rPr>
        <w:t>The a</w:t>
      </w:r>
      <w:r w:rsidR="00302B11" w:rsidRPr="00302B11">
        <w:rPr>
          <w:rFonts w:ascii="Times New Roman" w:hAnsi="Times New Roman" w:cs="Times New Roman"/>
          <w:color w:val="212529"/>
          <w:sz w:val="24"/>
          <w:szCs w:val="24"/>
        </w:rPr>
        <w:t xml:space="preserve">pplicant </w:t>
      </w:r>
      <w:r w:rsidR="00302B11">
        <w:rPr>
          <w:rFonts w:ascii="Times New Roman" w:hAnsi="Times New Roman" w:cs="Times New Roman"/>
          <w:color w:val="212529"/>
          <w:sz w:val="24"/>
          <w:szCs w:val="24"/>
        </w:rPr>
        <w:t xml:space="preserve">in his founding affidavit </w:t>
      </w:r>
      <w:r w:rsidR="00302B11" w:rsidRPr="00302B11">
        <w:rPr>
          <w:rFonts w:ascii="Times New Roman" w:hAnsi="Times New Roman" w:cs="Times New Roman"/>
          <w:color w:val="212529"/>
          <w:sz w:val="24"/>
          <w:szCs w:val="24"/>
        </w:rPr>
        <w:t>has provided a detailed and plausible explanation for the significant delay in seeking the reviva</w:t>
      </w:r>
      <w:r w:rsidR="00302B11">
        <w:rPr>
          <w:rFonts w:ascii="Times New Roman" w:hAnsi="Times New Roman" w:cs="Times New Roman"/>
          <w:color w:val="212529"/>
          <w:sz w:val="24"/>
          <w:szCs w:val="24"/>
        </w:rPr>
        <w:t>l of the judgment. Firstly, his</w:t>
      </w:r>
      <w:r w:rsidR="00302B11" w:rsidRPr="00302B11">
        <w:rPr>
          <w:rFonts w:ascii="Times New Roman" w:hAnsi="Times New Roman" w:cs="Times New Roman"/>
          <w:color w:val="212529"/>
          <w:sz w:val="24"/>
          <w:szCs w:val="24"/>
        </w:rPr>
        <w:t xml:space="preserve"> relocation to South Africa presented practical challenges in monitoring the case and engaging with legal processes in Zimbabwe</w:t>
      </w:r>
      <w:r w:rsidR="00302B11">
        <w:rPr>
          <w:rFonts w:ascii="Times New Roman" w:hAnsi="Times New Roman" w:cs="Times New Roman"/>
          <w:color w:val="212529"/>
          <w:sz w:val="24"/>
          <w:szCs w:val="24"/>
        </w:rPr>
        <w:t>.</w:t>
      </w:r>
      <w:r w:rsidR="00302B11" w:rsidRPr="00302B11">
        <w:t xml:space="preserve"> </w:t>
      </w:r>
      <w:r w:rsidR="00302B11" w:rsidRPr="00302B11">
        <w:rPr>
          <w:rFonts w:ascii="Times New Roman" w:hAnsi="Times New Roman" w:cs="Times New Roman"/>
          <w:sz w:val="24"/>
          <w:szCs w:val="24"/>
        </w:rPr>
        <w:t xml:space="preserve">Crucially, the delay was </w:t>
      </w:r>
      <w:r w:rsidR="005D5E5F">
        <w:rPr>
          <w:rFonts w:ascii="Times New Roman" w:hAnsi="Times New Roman" w:cs="Times New Roman"/>
          <w:sz w:val="24"/>
          <w:szCs w:val="24"/>
        </w:rPr>
        <w:t>not solely attributable to the a</w:t>
      </w:r>
      <w:r w:rsidR="00302B11" w:rsidRPr="00302B11">
        <w:rPr>
          <w:rFonts w:ascii="Times New Roman" w:hAnsi="Times New Roman" w:cs="Times New Roman"/>
          <w:sz w:val="24"/>
          <w:szCs w:val="24"/>
        </w:rPr>
        <w:t>pplicant's circumstances</w:t>
      </w:r>
      <w:r>
        <w:rPr>
          <w:rFonts w:ascii="Times New Roman" w:hAnsi="Times New Roman" w:cs="Times New Roman"/>
          <w:sz w:val="24"/>
          <w:szCs w:val="24"/>
        </w:rPr>
        <w:t>,</w:t>
      </w:r>
      <w:r w:rsidR="00302B11" w:rsidRPr="00302B11">
        <w:rPr>
          <w:rFonts w:ascii="Times New Roman" w:hAnsi="Times New Roman" w:cs="Times New Roman"/>
          <w:sz w:val="24"/>
          <w:szCs w:val="24"/>
        </w:rPr>
        <w:t xml:space="preserve"> as he had actively tried to execute to no avail. </w:t>
      </w:r>
      <w:r w:rsidR="005D5E5F">
        <w:rPr>
          <w:rFonts w:ascii="Times New Roman" w:hAnsi="Times New Roman" w:cs="Times New Roman"/>
          <w:sz w:val="24"/>
          <w:szCs w:val="24"/>
        </w:rPr>
        <w:t>The 1</w:t>
      </w:r>
      <w:r w:rsidR="005D5E5F" w:rsidRPr="00EB7678">
        <w:rPr>
          <w:rFonts w:ascii="Times New Roman" w:hAnsi="Times New Roman" w:cs="Times New Roman"/>
          <w:sz w:val="24"/>
          <w:szCs w:val="24"/>
          <w:vertAlign w:val="superscript"/>
        </w:rPr>
        <w:t xml:space="preserve">st </w:t>
      </w:r>
      <w:r w:rsidR="005D5E5F">
        <w:rPr>
          <w:rFonts w:ascii="Times New Roman" w:hAnsi="Times New Roman" w:cs="Times New Roman"/>
          <w:sz w:val="24"/>
          <w:szCs w:val="24"/>
        </w:rPr>
        <w:t>r</w:t>
      </w:r>
      <w:r w:rsidR="00302B11" w:rsidRPr="00302B11">
        <w:rPr>
          <w:rFonts w:ascii="Times New Roman" w:hAnsi="Times New Roman" w:cs="Times New Roman"/>
          <w:sz w:val="24"/>
          <w:szCs w:val="24"/>
        </w:rPr>
        <w:t xml:space="preserve">espondent actively resisted and frustrated previous execution attempts. This included successful challenges to the attachment of Stand 2810 </w:t>
      </w:r>
      <w:proofErr w:type="spellStart"/>
      <w:r w:rsidR="00302B11" w:rsidRPr="00302B11">
        <w:rPr>
          <w:rFonts w:ascii="Times New Roman" w:hAnsi="Times New Roman" w:cs="Times New Roman"/>
          <w:sz w:val="24"/>
          <w:szCs w:val="24"/>
        </w:rPr>
        <w:t>Famona</w:t>
      </w:r>
      <w:proofErr w:type="spellEnd"/>
      <w:r w:rsidR="00302B11" w:rsidRPr="00302B11">
        <w:rPr>
          <w:rFonts w:ascii="Times New Roman" w:hAnsi="Times New Roman" w:cs="Times New Roman"/>
          <w:sz w:val="24"/>
          <w:szCs w:val="24"/>
        </w:rPr>
        <w:t xml:space="preserve"> (on the basis that his interest in the property had ceased) and the interpleader proceedings concerning the motor vehicle, which ultimately stalled judicial execution.</w:t>
      </w:r>
      <w:r w:rsidR="00302B11" w:rsidRPr="00302B11">
        <w:rPr>
          <w:rFonts w:ascii="Times New Roman" w:hAnsi="Times New Roman" w:cs="Times New Roman"/>
          <w:color w:val="212529"/>
          <w:sz w:val="24"/>
          <w:szCs w:val="24"/>
        </w:rPr>
        <w:tab/>
      </w:r>
    </w:p>
    <w:p w14:paraId="4E3C4FB7" w14:textId="1D71B9A4" w:rsidR="00302B11" w:rsidRPr="004A7BD9" w:rsidRDefault="00302B11" w:rsidP="00EB7678">
      <w:pPr>
        <w:pStyle w:val="NormalWeb"/>
        <w:shd w:val="clear" w:color="auto" w:fill="FFFFFF"/>
        <w:spacing w:before="0" w:beforeAutospacing="0" w:after="0" w:afterAutospacing="0" w:line="360" w:lineRule="auto"/>
        <w:ind w:firstLine="720"/>
        <w:jc w:val="both"/>
        <w:rPr>
          <w:color w:val="212529"/>
        </w:rPr>
      </w:pPr>
      <w:r w:rsidRPr="004A7BD9">
        <w:rPr>
          <w:color w:val="212529"/>
        </w:rPr>
        <w:t>The 1</w:t>
      </w:r>
      <w:r w:rsidRPr="004A7BD9">
        <w:rPr>
          <w:color w:val="212529"/>
          <w:vertAlign w:val="superscript"/>
        </w:rPr>
        <w:t>st</w:t>
      </w:r>
      <w:r w:rsidRPr="004A7BD9">
        <w:rPr>
          <w:color w:val="212529"/>
        </w:rPr>
        <w:t xml:space="preserve"> respondent had raised a </w:t>
      </w:r>
      <w:r w:rsidR="00B06847">
        <w:rPr>
          <w:color w:val="212529"/>
        </w:rPr>
        <w:t>defence</w:t>
      </w:r>
      <w:r w:rsidR="00B06847" w:rsidRPr="004A7BD9">
        <w:rPr>
          <w:color w:val="212529"/>
        </w:rPr>
        <w:t xml:space="preserve"> </w:t>
      </w:r>
      <w:r w:rsidRPr="004A7BD9">
        <w:rPr>
          <w:color w:val="212529"/>
        </w:rPr>
        <w:t xml:space="preserve">that the present application was unnecessary as the judgment had not </w:t>
      </w:r>
      <w:r w:rsidR="005D5E5F" w:rsidRPr="004A7BD9">
        <w:rPr>
          <w:color w:val="212529"/>
        </w:rPr>
        <w:t>superannuated</w:t>
      </w:r>
      <w:r w:rsidRPr="004A7BD9">
        <w:rPr>
          <w:color w:val="212529"/>
        </w:rPr>
        <w:t xml:space="preserve">. Counsel’s argument was that since there was already a writ that had been issued, the judgment had not superannuated, all the applicant had to do was enforce the order/judgment. </w:t>
      </w:r>
    </w:p>
    <w:p w14:paraId="7ACAEBFB" w14:textId="77777777" w:rsidR="005D5E5F" w:rsidRDefault="005D5E5F" w:rsidP="005D5E5F">
      <w:pPr>
        <w:pStyle w:val="NormalWeb"/>
        <w:shd w:val="clear" w:color="auto" w:fill="FFFFFF"/>
        <w:spacing w:before="0" w:beforeAutospacing="0" w:after="0" w:afterAutospacing="0" w:line="360" w:lineRule="auto"/>
        <w:jc w:val="both"/>
        <w:rPr>
          <w:color w:val="212529"/>
        </w:rPr>
      </w:pPr>
    </w:p>
    <w:p w14:paraId="55CBE77B" w14:textId="77777777" w:rsidR="001E4A04" w:rsidRPr="004A7BD9" w:rsidRDefault="00302B11" w:rsidP="005D5E5F">
      <w:pPr>
        <w:pStyle w:val="NormalWeb"/>
        <w:shd w:val="clear" w:color="auto" w:fill="FFFFFF"/>
        <w:spacing w:before="0" w:beforeAutospacing="0" w:after="0" w:afterAutospacing="0" w:line="360" w:lineRule="auto"/>
        <w:jc w:val="both"/>
        <w:rPr>
          <w:color w:val="212529"/>
        </w:rPr>
      </w:pPr>
      <w:r w:rsidRPr="004A7BD9">
        <w:rPr>
          <w:color w:val="212529"/>
        </w:rPr>
        <w:t xml:space="preserve">He relied on rule </w:t>
      </w:r>
      <w:r w:rsidR="001E4A04" w:rsidRPr="004A7BD9">
        <w:rPr>
          <w:color w:val="212529"/>
        </w:rPr>
        <w:t xml:space="preserve">69(3) </w:t>
      </w:r>
      <w:r w:rsidRPr="004A7BD9">
        <w:rPr>
          <w:color w:val="212529"/>
        </w:rPr>
        <w:t xml:space="preserve">of the High Court Rules, 2021 which </w:t>
      </w:r>
      <w:r w:rsidR="001E4A04" w:rsidRPr="004A7BD9">
        <w:rPr>
          <w:color w:val="212529"/>
        </w:rPr>
        <w:t>states as follows:</w:t>
      </w:r>
    </w:p>
    <w:p w14:paraId="0A7C37B9" w14:textId="77777777" w:rsidR="001E4A04" w:rsidRPr="004A7BD9" w:rsidRDefault="001E4A04" w:rsidP="005D5E5F">
      <w:pPr>
        <w:pStyle w:val="NormalWeb"/>
        <w:shd w:val="clear" w:color="auto" w:fill="FFFFFF"/>
        <w:spacing w:before="0" w:beforeAutospacing="0" w:after="0" w:afterAutospacing="0"/>
        <w:ind w:left="720"/>
        <w:jc w:val="both"/>
        <w:rPr>
          <w:color w:val="212529"/>
        </w:rPr>
      </w:pPr>
      <w:r w:rsidRPr="004A7BD9">
        <w:rPr>
          <w:color w:val="212529"/>
        </w:rPr>
        <w:t>“No writ of execution shall be issued after the judgment has become superannuated, unless the said judgment has first been revived, but a writ of execution once issued shall remain in force until such time as the judgment has been satisfied.”</w:t>
      </w:r>
    </w:p>
    <w:p w14:paraId="5A72661C" w14:textId="77777777" w:rsidR="005D5E5F" w:rsidRDefault="005D5E5F" w:rsidP="005D5E5F">
      <w:pPr>
        <w:pStyle w:val="NormalWeb"/>
        <w:shd w:val="clear" w:color="auto" w:fill="FFFFFF"/>
        <w:spacing w:before="0" w:beforeAutospacing="0" w:after="0" w:afterAutospacing="0"/>
        <w:jc w:val="both"/>
        <w:rPr>
          <w:color w:val="212529"/>
        </w:rPr>
      </w:pPr>
    </w:p>
    <w:p w14:paraId="71C418F6" w14:textId="7693C176" w:rsidR="00CC3887" w:rsidRDefault="00302B11" w:rsidP="00B06847">
      <w:pPr>
        <w:pStyle w:val="NormalWeb"/>
        <w:shd w:val="clear" w:color="auto" w:fill="FFFFFF"/>
        <w:spacing w:before="0" w:beforeAutospacing="0" w:after="0" w:afterAutospacing="0" w:line="360" w:lineRule="auto"/>
        <w:ind w:firstLine="720"/>
        <w:jc w:val="both"/>
        <w:rPr>
          <w:color w:val="212529"/>
        </w:rPr>
      </w:pPr>
      <w:r w:rsidRPr="004A7BD9">
        <w:rPr>
          <w:color w:val="212529"/>
        </w:rPr>
        <w:t xml:space="preserve">His </w:t>
      </w:r>
      <w:r w:rsidR="00CC3887" w:rsidRPr="004A7BD9">
        <w:rPr>
          <w:color w:val="212529"/>
        </w:rPr>
        <w:t>argument is that</w:t>
      </w:r>
      <w:r w:rsidRPr="004A7BD9">
        <w:rPr>
          <w:color w:val="212529"/>
        </w:rPr>
        <w:t xml:space="preserve"> t</w:t>
      </w:r>
      <w:r w:rsidR="001E4A04" w:rsidRPr="004A7BD9">
        <w:rPr>
          <w:color w:val="212529"/>
        </w:rPr>
        <w:t xml:space="preserve">he writ </w:t>
      </w:r>
      <w:r w:rsidR="004A7BD9" w:rsidRPr="004A7BD9">
        <w:rPr>
          <w:color w:val="212529"/>
        </w:rPr>
        <w:t xml:space="preserve">of execution </w:t>
      </w:r>
      <w:r w:rsidR="001E4A04" w:rsidRPr="004A7BD9">
        <w:rPr>
          <w:color w:val="212529"/>
        </w:rPr>
        <w:t>was issued before the judgment superannuated</w:t>
      </w:r>
      <w:r w:rsidR="00B06847">
        <w:rPr>
          <w:color w:val="212529"/>
        </w:rPr>
        <w:t>,</w:t>
      </w:r>
      <w:r w:rsidR="001E4A04" w:rsidRPr="004A7BD9">
        <w:rPr>
          <w:color w:val="212529"/>
        </w:rPr>
        <w:t xml:space="preserve"> and therefore</w:t>
      </w:r>
      <w:r w:rsidR="00B06847">
        <w:rPr>
          <w:color w:val="212529"/>
        </w:rPr>
        <w:t>,</w:t>
      </w:r>
      <w:r w:rsidR="001E4A04" w:rsidRPr="004A7BD9">
        <w:rPr>
          <w:color w:val="212529"/>
        </w:rPr>
        <w:t xml:space="preserve"> it remains extant until the judgment debt has been discharged.</w:t>
      </w:r>
      <w:r w:rsidRPr="004A7BD9">
        <w:rPr>
          <w:color w:val="212529"/>
        </w:rPr>
        <w:t xml:space="preserve"> I entirely agree with counsel’s interpretation of the statute</w:t>
      </w:r>
      <w:r w:rsidR="00B06847">
        <w:rPr>
          <w:color w:val="212529"/>
        </w:rPr>
        <w:t>;</w:t>
      </w:r>
      <w:r w:rsidR="00B06847" w:rsidRPr="004A7BD9">
        <w:rPr>
          <w:color w:val="212529"/>
        </w:rPr>
        <w:t xml:space="preserve"> </w:t>
      </w:r>
      <w:r w:rsidRPr="004A7BD9">
        <w:rPr>
          <w:color w:val="212529"/>
        </w:rPr>
        <w:t>however</w:t>
      </w:r>
      <w:r w:rsidR="00B06847">
        <w:rPr>
          <w:color w:val="212529"/>
        </w:rPr>
        <w:t>,</w:t>
      </w:r>
      <w:r w:rsidRPr="004A7BD9">
        <w:rPr>
          <w:color w:val="212529"/>
        </w:rPr>
        <w:t xml:space="preserve"> I understood Mr </w:t>
      </w:r>
      <w:r w:rsidRPr="004A7BD9">
        <w:rPr>
          <w:i/>
          <w:color w:val="212529"/>
        </w:rPr>
        <w:t>Masiye Moyo</w:t>
      </w:r>
      <w:r w:rsidRPr="004A7BD9">
        <w:rPr>
          <w:color w:val="212529"/>
        </w:rPr>
        <w:t>’s argument to mean that</w:t>
      </w:r>
      <w:r w:rsidR="004A7BD9" w:rsidRPr="004A7BD9">
        <w:rPr>
          <w:color w:val="212529"/>
        </w:rPr>
        <w:t xml:space="preserve"> </w:t>
      </w:r>
      <w:r w:rsidR="00CC3887" w:rsidRPr="004A7BD9">
        <w:rPr>
          <w:color w:val="212529"/>
        </w:rPr>
        <w:t>since</w:t>
      </w:r>
      <w:r w:rsidR="004A7BD9" w:rsidRPr="004A7BD9">
        <w:rPr>
          <w:color w:val="212529"/>
        </w:rPr>
        <w:t xml:space="preserve"> the order under HC 2566/12</w:t>
      </w:r>
      <w:r w:rsidR="004A7BD9" w:rsidRPr="004A7BD9">
        <w:t xml:space="preserve"> offered alternative remedies: specific performance (transfer of the property) or a monetary refund of US$15,000.00. The </w:t>
      </w:r>
      <w:r w:rsidR="00B06847">
        <w:t>a</w:t>
      </w:r>
      <w:r w:rsidR="004A7BD9" w:rsidRPr="004A7BD9">
        <w:t xml:space="preserve">pplicant's current preference for specific performance stemmed from the fact that he had attempted and had failed to execute the alternative remedy for the refund of the purchase price. </w:t>
      </w:r>
      <w:r w:rsidR="004A7BD9" w:rsidRPr="004A7BD9">
        <w:rPr>
          <w:color w:val="212529"/>
        </w:rPr>
        <w:t xml:space="preserve">He therefore sought to </w:t>
      </w:r>
      <w:r w:rsidR="004A7BD9">
        <w:rPr>
          <w:color w:val="212529"/>
        </w:rPr>
        <w:t>enforce the main part of the order</w:t>
      </w:r>
      <w:r w:rsidR="0030578B">
        <w:rPr>
          <w:color w:val="212529"/>
        </w:rPr>
        <w:t>,</w:t>
      </w:r>
      <w:r w:rsidR="004A7BD9">
        <w:rPr>
          <w:color w:val="212529"/>
        </w:rPr>
        <w:t xml:space="preserve"> which required the 1</w:t>
      </w:r>
      <w:r w:rsidR="004A7BD9" w:rsidRPr="004A7BD9">
        <w:rPr>
          <w:color w:val="212529"/>
          <w:vertAlign w:val="superscript"/>
        </w:rPr>
        <w:t>st</w:t>
      </w:r>
      <w:r w:rsidR="004A7BD9">
        <w:rPr>
          <w:color w:val="212529"/>
        </w:rPr>
        <w:t xml:space="preserve"> respondent to transfer the rights, title and in</w:t>
      </w:r>
      <w:r w:rsidR="005D5E5F">
        <w:rPr>
          <w:color w:val="212529"/>
        </w:rPr>
        <w:t xml:space="preserve">terests in the property to him. </w:t>
      </w:r>
      <w:r w:rsidR="004A7BD9">
        <w:rPr>
          <w:color w:val="212529"/>
        </w:rPr>
        <w:t>T</w:t>
      </w:r>
      <w:r w:rsidR="00CC3887" w:rsidRPr="004A7BD9">
        <w:rPr>
          <w:color w:val="212529"/>
        </w:rPr>
        <w:t>he doctrine of superannuation does not mean that the debt is extinguished or prescribed</w:t>
      </w:r>
      <w:r w:rsidR="0030578B">
        <w:rPr>
          <w:color w:val="212529"/>
        </w:rPr>
        <w:t>;</w:t>
      </w:r>
      <w:r w:rsidR="0030578B" w:rsidRPr="004A7BD9">
        <w:rPr>
          <w:color w:val="212529"/>
        </w:rPr>
        <w:t xml:space="preserve"> </w:t>
      </w:r>
      <w:r w:rsidR="00CC3887" w:rsidRPr="004A7BD9">
        <w:rPr>
          <w:color w:val="212529"/>
        </w:rPr>
        <w:t>in simple terms</w:t>
      </w:r>
      <w:r w:rsidR="0030578B">
        <w:rPr>
          <w:color w:val="212529"/>
        </w:rPr>
        <w:t>,</w:t>
      </w:r>
      <w:r w:rsidR="00CC3887" w:rsidRPr="004A7BD9">
        <w:rPr>
          <w:color w:val="212529"/>
        </w:rPr>
        <w:t xml:space="preserve"> it means that the </w:t>
      </w:r>
      <w:r w:rsidR="0030578B">
        <w:rPr>
          <w:color w:val="212529"/>
        </w:rPr>
        <w:t>judgment</w:t>
      </w:r>
      <w:r w:rsidR="0030578B" w:rsidRPr="004A7BD9">
        <w:rPr>
          <w:color w:val="212529"/>
        </w:rPr>
        <w:t xml:space="preserve"> </w:t>
      </w:r>
      <w:r w:rsidR="00CC3887" w:rsidRPr="004A7BD9">
        <w:rPr>
          <w:color w:val="212529"/>
        </w:rPr>
        <w:t xml:space="preserve">is too old to use but can be brought back to life through a formal application for revival. </w:t>
      </w:r>
      <w:r w:rsidR="004A7BD9">
        <w:rPr>
          <w:color w:val="212529"/>
        </w:rPr>
        <w:t xml:space="preserve">This application is a continuation of the original proceedings, allowing the court to </w:t>
      </w:r>
      <w:r w:rsidR="004A7BD9">
        <w:rPr>
          <w:color w:val="212529"/>
        </w:rPr>
        <w:lastRenderedPageBreak/>
        <w:t>make the judgment executable again.</w:t>
      </w:r>
      <w:r w:rsidR="005D5E5F">
        <w:rPr>
          <w:color w:val="212529"/>
        </w:rPr>
        <w:t xml:space="preserve"> I am inclined to grant the application as the applicant has made a good case for the result. I find no reason to make a special order for costs.</w:t>
      </w:r>
    </w:p>
    <w:p w14:paraId="65927920" w14:textId="77777777" w:rsidR="0030578B" w:rsidRDefault="0030578B" w:rsidP="00EB7678">
      <w:pPr>
        <w:pStyle w:val="NormalWeb"/>
        <w:shd w:val="clear" w:color="auto" w:fill="FFFFFF"/>
        <w:spacing w:before="0" w:beforeAutospacing="0" w:after="0" w:afterAutospacing="0" w:line="360" w:lineRule="auto"/>
        <w:ind w:firstLine="720"/>
        <w:jc w:val="both"/>
        <w:rPr>
          <w:color w:val="212529"/>
        </w:rPr>
      </w:pPr>
    </w:p>
    <w:p w14:paraId="0AFE7893" w14:textId="5660EB1D" w:rsidR="005D5E5F" w:rsidRPr="004A7BD9" w:rsidRDefault="005D5E5F" w:rsidP="005D5E5F">
      <w:pPr>
        <w:pStyle w:val="NormalWeb"/>
        <w:shd w:val="clear" w:color="auto" w:fill="FFFFFF"/>
        <w:spacing w:before="0" w:beforeAutospacing="0" w:after="0" w:afterAutospacing="0" w:line="360" w:lineRule="auto"/>
        <w:jc w:val="both"/>
        <w:rPr>
          <w:color w:val="212529"/>
        </w:rPr>
      </w:pPr>
      <w:r>
        <w:rPr>
          <w:color w:val="212529"/>
        </w:rPr>
        <w:t>Resultantly</w:t>
      </w:r>
      <w:r w:rsidR="0030578B">
        <w:rPr>
          <w:color w:val="212529"/>
        </w:rPr>
        <w:t>,</w:t>
      </w:r>
      <w:r>
        <w:rPr>
          <w:color w:val="212529"/>
        </w:rPr>
        <w:t xml:space="preserve"> the order is granted as prayed for with costs on an ordinary scale. </w:t>
      </w:r>
    </w:p>
    <w:p w14:paraId="5F6465C2" w14:textId="77777777" w:rsidR="00CC3887" w:rsidRPr="004A7BD9" w:rsidRDefault="00CC3887" w:rsidP="005D5E5F">
      <w:pPr>
        <w:pStyle w:val="NormalWeb"/>
        <w:shd w:val="clear" w:color="auto" w:fill="FFFFFF"/>
        <w:spacing w:before="0" w:beforeAutospacing="0" w:after="0" w:afterAutospacing="0" w:line="360" w:lineRule="auto"/>
        <w:jc w:val="both"/>
        <w:rPr>
          <w:color w:val="212529"/>
        </w:rPr>
      </w:pPr>
    </w:p>
    <w:p w14:paraId="29A0B2D2" w14:textId="77777777" w:rsidR="00CC3887" w:rsidRPr="004A7BD9" w:rsidRDefault="00CC3887" w:rsidP="005D5E5F">
      <w:pPr>
        <w:pStyle w:val="NormalWeb"/>
        <w:shd w:val="clear" w:color="auto" w:fill="FFFFFF"/>
        <w:spacing w:before="0" w:beforeAutospacing="0" w:after="0" w:afterAutospacing="0" w:line="360" w:lineRule="auto"/>
        <w:jc w:val="both"/>
        <w:rPr>
          <w:color w:val="212529"/>
        </w:rPr>
      </w:pPr>
    </w:p>
    <w:p w14:paraId="37E6827B" w14:textId="77777777" w:rsidR="00C42EB2" w:rsidRDefault="00C42EB2" w:rsidP="005D5E5F">
      <w:pPr>
        <w:pStyle w:val="NormalWeb"/>
        <w:shd w:val="clear" w:color="auto" w:fill="FFFFFF"/>
        <w:spacing w:before="0" w:beforeAutospacing="0" w:after="0" w:afterAutospacing="0" w:line="360" w:lineRule="auto"/>
        <w:jc w:val="both"/>
        <w:rPr>
          <w:i/>
          <w:color w:val="212529"/>
        </w:rPr>
      </w:pPr>
    </w:p>
    <w:p w14:paraId="27B9C27C" w14:textId="77777777" w:rsidR="00C42EB2" w:rsidRDefault="00EB7678" w:rsidP="005D5E5F">
      <w:pPr>
        <w:pStyle w:val="NormalWeb"/>
        <w:shd w:val="clear" w:color="auto" w:fill="FFFFFF"/>
        <w:spacing w:before="0" w:beforeAutospacing="0" w:after="0" w:afterAutospacing="0" w:line="360" w:lineRule="auto"/>
        <w:jc w:val="both"/>
        <w:rPr>
          <w:color w:val="212529"/>
        </w:rPr>
      </w:pPr>
      <w:proofErr w:type="spellStart"/>
      <w:r w:rsidRPr="00C42EB2">
        <w:rPr>
          <w:i/>
          <w:color w:val="212529"/>
        </w:rPr>
        <w:t>Masiye</w:t>
      </w:r>
      <w:proofErr w:type="spellEnd"/>
      <w:r w:rsidRPr="00C42EB2">
        <w:rPr>
          <w:i/>
          <w:color w:val="212529"/>
        </w:rPr>
        <w:t xml:space="preserve"> </w:t>
      </w:r>
      <w:proofErr w:type="spellStart"/>
      <w:r w:rsidRPr="00C42EB2">
        <w:rPr>
          <w:i/>
          <w:color w:val="212529"/>
        </w:rPr>
        <w:t>Moyo</w:t>
      </w:r>
      <w:proofErr w:type="spellEnd"/>
      <w:r w:rsidRPr="00C42EB2">
        <w:rPr>
          <w:i/>
          <w:color w:val="212529"/>
        </w:rPr>
        <w:t xml:space="preserve"> and associates</w:t>
      </w:r>
      <w:r>
        <w:rPr>
          <w:color w:val="212529"/>
        </w:rPr>
        <w:t>, applicant’s legal practitioners</w:t>
      </w:r>
    </w:p>
    <w:p w14:paraId="14F8F8FC" w14:textId="170863BA" w:rsidR="00CC3887" w:rsidRPr="004A7BD9" w:rsidRDefault="00C42EB2" w:rsidP="005D5E5F">
      <w:pPr>
        <w:pStyle w:val="NormalWeb"/>
        <w:shd w:val="clear" w:color="auto" w:fill="FFFFFF"/>
        <w:spacing w:before="0" w:beforeAutospacing="0" w:after="0" w:afterAutospacing="0" w:line="360" w:lineRule="auto"/>
        <w:jc w:val="both"/>
        <w:rPr>
          <w:color w:val="212529"/>
        </w:rPr>
      </w:pPr>
      <w:proofErr w:type="spellStart"/>
      <w:r w:rsidRPr="00C42EB2">
        <w:rPr>
          <w:i/>
          <w:color w:val="212529"/>
        </w:rPr>
        <w:t>Chinawa</w:t>
      </w:r>
      <w:proofErr w:type="spellEnd"/>
      <w:r w:rsidRPr="00C42EB2">
        <w:rPr>
          <w:i/>
          <w:color w:val="212529"/>
        </w:rPr>
        <w:t xml:space="preserve"> Law Chambers</w:t>
      </w:r>
      <w:r>
        <w:rPr>
          <w:color w:val="212529"/>
        </w:rPr>
        <w:t>, 1</w:t>
      </w:r>
      <w:r w:rsidRPr="00C42EB2">
        <w:rPr>
          <w:color w:val="212529"/>
          <w:vertAlign w:val="superscript"/>
        </w:rPr>
        <w:t>st</w:t>
      </w:r>
      <w:r>
        <w:rPr>
          <w:color w:val="212529"/>
        </w:rPr>
        <w:t xml:space="preserve"> respondent’s legal practitioners</w:t>
      </w:r>
    </w:p>
    <w:p w14:paraId="2E749518" w14:textId="77777777" w:rsidR="00CC3887" w:rsidRPr="004A7BD9" w:rsidRDefault="00CC3887" w:rsidP="005D5E5F">
      <w:pPr>
        <w:pStyle w:val="NormalWeb"/>
        <w:shd w:val="clear" w:color="auto" w:fill="FFFFFF"/>
        <w:spacing w:before="0" w:beforeAutospacing="0" w:after="0" w:afterAutospacing="0" w:line="360" w:lineRule="auto"/>
        <w:jc w:val="both"/>
        <w:rPr>
          <w:color w:val="212529"/>
        </w:rPr>
      </w:pPr>
    </w:p>
    <w:p w14:paraId="49888060" w14:textId="77777777" w:rsidR="00CC3887" w:rsidRPr="004A7BD9" w:rsidRDefault="00CC3887" w:rsidP="005D5E5F">
      <w:pPr>
        <w:pStyle w:val="NormalWeb"/>
        <w:shd w:val="clear" w:color="auto" w:fill="FFFFFF"/>
        <w:spacing w:before="0" w:beforeAutospacing="0" w:after="0" w:afterAutospacing="0" w:line="360" w:lineRule="auto"/>
        <w:jc w:val="both"/>
        <w:rPr>
          <w:color w:val="212529"/>
        </w:rPr>
      </w:pPr>
    </w:p>
    <w:p w14:paraId="14B1C7BB" w14:textId="77777777" w:rsidR="00CC3887" w:rsidRPr="004A7BD9" w:rsidRDefault="00CC3887" w:rsidP="005D5E5F">
      <w:pPr>
        <w:pStyle w:val="NormalWeb"/>
        <w:shd w:val="clear" w:color="auto" w:fill="FFFFFF"/>
        <w:spacing w:before="0" w:beforeAutospacing="0" w:after="0" w:afterAutospacing="0" w:line="360" w:lineRule="auto"/>
        <w:jc w:val="both"/>
        <w:rPr>
          <w:color w:val="212529"/>
        </w:rPr>
      </w:pPr>
    </w:p>
    <w:p w14:paraId="03481725" w14:textId="77777777" w:rsidR="001E4A04" w:rsidRPr="00E867F6" w:rsidRDefault="001E4A04" w:rsidP="00E867F6">
      <w:pPr>
        <w:spacing w:before="100" w:beforeAutospacing="1" w:after="100" w:afterAutospacing="1" w:line="240" w:lineRule="auto"/>
        <w:ind w:left="720"/>
        <w:jc w:val="both"/>
        <w:rPr>
          <w:rFonts w:ascii="Times New Roman" w:eastAsia="Times New Roman" w:hAnsi="Times New Roman" w:cs="Times New Roman"/>
          <w:sz w:val="24"/>
          <w:szCs w:val="24"/>
          <w:lang w:eastAsia="en-ZW"/>
        </w:rPr>
      </w:pPr>
    </w:p>
    <w:sectPr w:rsidR="001E4A04" w:rsidRPr="00E867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107C" w14:textId="77777777" w:rsidR="00F73623" w:rsidRDefault="00F73623" w:rsidP="00E867F6">
      <w:pPr>
        <w:spacing w:after="0" w:line="240" w:lineRule="auto"/>
      </w:pPr>
      <w:r>
        <w:separator/>
      </w:r>
    </w:p>
  </w:endnote>
  <w:endnote w:type="continuationSeparator" w:id="0">
    <w:p w14:paraId="186374EA" w14:textId="77777777" w:rsidR="00F73623" w:rsidRDefault="00F73623" w:rsidP="00E8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A0B32" w14:textId="77777777" w:rsidR="00F73623" w:rsidRDefault="00F73623" w:rsidP="00E867F6">
      <w:pPr>
        <w:spacing w:after="0" w:line="240" w:lineRule="auto"/>
      </w:pPr>
      <w:r>
        <w:separator/>
      </w:r>
    </w:p>
  </w:footnote>
  <w:footnote w:type="continuationSeparator" w:id="0">
    <w:p w14:paraId="21231591" w14:textId="77777777" w:rsidR="00F73623" w:rsidRDefault="00F73623" w:rsidP="00E86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527935"/>
      <w:docPartObj>
        <w:docPartGallery w:val="Page Numbers (Top of Page)"/>
        <w:docPartUnique/>
      </w:docPartObj>
    </w:sdtPr>
    <w:sdtEndPr>
      <w:rPr>
        <w:noProof/>
      </w:rPr>
    </w:sdtEndPr>
    <w:sdtContent>
      <w:p w14:paraId="11D56035" w14:textId="77777777" w:rsidR="00B90393" w:rsidRDefault="00B90393">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14:paraId="0A126282" w14:textId="77777777" w:rsidR="00B90393" w:rsidRDefault="00B90393">
        <w:pPr>
          <w:pStyle w:val="Header"/>
          <w:jc w:val="right"/>
          <w:rPr>
            <w:noProof/>
          </w:rPr>
        </w:pPr>
        <w:r>
          <w:rPr>
            <w:noProof/>
          </w:rPr>
          <w:t>HB 121/25</w:t>
        </w:r>
      </w:p>
      <w:p w14:paraId="6DF3F99F" w14:textId="408EF9DA" w:rsidR="00B90393" w:rsidRDefault="00B90393">
        <w:pPr>
          <w:pStyle w:val="Header"/>
          <w:jc w:val="right"/>
        </w:pPr>
        <w:r>
          <w:rPr>
            <w:noProof/>
          </w:rPr>
          <w:t>HCBC 980/24</w:t>
        </w:r>
      </w:p>
    </w:sdtContent>
  </w:sdt>
  <w:p w14:paraId="44A15E50" w14:textId="77777777" w:rsidR="00E867F6" w:rsidRPr="00E867F6" w:rsidRDefault="00E867F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20636"/>
    <w:multiLevelType w:val="multilevel"/>
    <w:tmpl w:val="E1F06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CB7678"/>
    <w:multiLevelType w:val="multilevel"/>
    <w:tmpl w:val="77AC9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A60700"/>
    <w:multiLevelType w:val="multilevel"/>
    <w:tmpl w:val="93BA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97801"/>
    <w:multiLevelType w:val="hybridMultilevel"/>
    <w:tmpl w:val="116246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B724D1A"/>
    <w:multiLevelType w:val="multilevel"/>
    <w:tmpl w:val="301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72870"/>
    <w:multiLevelType w:val="multilevel"/>
    <w:tmpl w:val="F8C8B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A539D5"/>
    <w:multiLevelType w:val="multilevel"/>
    <w:tmpl w:val="C9E6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920DE4"/>
    <w:multiLevelType w:val="multilevel"/>
    <w:tmpl w:val="4F7E1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04"/>
    <w:rsid w:val="00007EB1"/>
    <w:rsid w:val="000C0302"/>
    <w:rsid w:val="000C26BA"/>
    <w:rsid w:val="00141527"/>
    <w:rsid w:val="001D5625"/>
    <w:rsid w:val="001E4A04"/>
    <w:rsid w:val="00226532"/>
    <w:rsid w:val="00247DD2"/>
    <w:rsid w:val="00302B11"/>
    <w:rsid w:val="0030578B"/>
    <w:rsid w:val="003A5ECF"/>
    <w:rsid w:val="003C5D92"/>
    <w:rsid w:val="003F7BD8"/>
    <w:rsid w:val="004A7BD9"/>
    <w:rsid w:val="00502801"/>
    <w:rsid w:val="005D3282"/>
    <w:rsid w:val="005D5E5F"/>
    <w:rsid w:val="006258E2"/>
    <w:rsid w:val="00681EEB"/>
    <w:rsid w:val="00687EF9"/>
    <w:rsid w:val="00696722"/>
    <w:rsid w:val="006F0F4A"/>
    <w:rsid w:val="006F4D3F"/>
    <w:rsid w:val="007831DF"/>
    <w:rsid w:val="00894EE1"/>
    <w:rsid w:val="00932CC9"/>
    <w:rsid w:val="009A2DF4"/>
    <w:rsid w:val="00A14F18"/>
    <w:rsid w:val="00A832C9"/>
    <w:rsid w:val="00A87B5D"/>
    <w:rsid w:val="00AC457F"/>
    <w:rsid w:val="00B06847"/>
    <w:rsid w:val="00B764CC"/>
    <w:rsid w:val="00B82DBF"/>
    <w:rsid w:val="00B90393"/>
    <w:rsid w:val="00BD1276"/>
    <w:rsid w:val="00BF4A55"/>
    <w:rsid w:val="00C42EB2"/>
    <w:rsid w:val="00C55610"/>
    <w:rsid w:val="00C831CF"/>
    <w:rsid w:val="00CC3887"/>
    <w:rsid w:val="00D811B0"/>
    <w:rsid w:val="00DE3010"/>
    <w:rsid w:val="00DF67AA"/>
    <w:rsid w:val="00E867F6"/>
    <w:rsid w:val="00EB7678"/>
    <w:rsid w:val="00ED56B9"/>
    <w:rsid w:val="00F45E77"/>
    <w:rsid w:val="00F73623"/>
    <w:rsid w:val="00F83245"/>
    <w:rsid w:val="00F92A8C"/>
    <w:rsid w:val="00FC5542"/>
    <w:rsid w:val="00FD5B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BF261"/>
  <w15:chartTrackingRefBased/>
  <w15:docId w15:val="{DCBBB47B-CC9D-48FD-8B5E-2AFBDEF2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A0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selected">
    <w:name w:val="selected"/>
    <w:basedOn w:val="DefaultParagraphFont"/>
    <w:rsid w:val="00247DD2"/>
  </w:style>
  <w:style w:type="paragraph" w:styleId="ListParagraph">
    <w:name w:val="List Paragraph"/>
    <w:basedOn w:val="Normal"/>
    <w:uiPriority w:val="34"/>
    <w:qFormat/>
    <w:rsid w:val="00302B11"/>
    <w:pPr>
      <w:ind w:left="720"/>
      <w:contextualSpacing/>
    </w:pPr>
  </w:style>
  <w:style w:type="paragraph" w:styleId="Header">
    <w:name w:val="header"/>
    <w:basedOn w:val="Normal"/>
    <w:link w:val="HeaderChar"/>
    <w:uiPriority w:val="99"/>
    <w:unhideWhenUsed/>
    <w:rsid w:val="00E86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7F6"/>
  </w:style>
  <w:style w:type="paragraph" w:styleId="Footer">
    <w:name w:val="footer"/>
    <w:basedOn w:val="Normal"/>
    <w:link w:val="FooterChar"/>
    <w:uiPriority w:val="99"/>
    <w:unhideWhenUsed/>
    <w:rsid w:val="00E86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7F6"/>
  </w:style>
  <w:style w:type="paragraph" w:styleId="Revision">
    <w:name w:val="Revision"/>
    <w:hidden/>
    <w:uiPriority w:val="99"/>
    <w:semiHidden/>
    <w:rsid w:val="00502801"/>
    <w:pPr>
      <w:spacing w:after="0" w:line="240" w:lineRule="auto"/>
    </w:pPr>
  </w:style>
  <w:style w:type="paragraph" w:styleId="BalloonText">
    <w:name w:val="Balloon Text"/>
    <w:basedOn w:val="Normal"/>
    <w:link w:val="BalloonTextChar"/>
    <w:uiPriority w:val="99"/>
    <w:semiHidden/>
    <w:unhideWhenUsed/>
    <w:rsid w:val="00FC5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27561">
      <w:bodyDiv w:val="1"/>
      <w:marLeft w:val="0"/>
      <w:marRight w:val="0"/>
      <w:marTop w:val="0"/>
      <w:marBottom w:val="0"/>
      <w:divBdr>
        <w:top w:val="none" w:sz="0" w:space="0" w:color="auto"/>
        <w:left w:val="none" w:sz="0" w:space="0" w:color="auto"/>
        <w:bottom w:val="none" w:sz="0" w:space="0" w:color="auto"/>
        <w:right w:val="none" w:sz="0" w:space="0" w:color="auto"/>
      </w:divBdr>
    </w:div>
    <w:div w:id="455030744">
      <w:bodyDiv w:val="1"/>
      <w:marLeft w:val="0"/>
      <w:marRight w:val="0"/>
      <w:marTop w:val="0"/>
      <w:marBottom w:val="0"/>
      <w:divBdr>
        <w:top w:val="none" w:sz="0" w:space="0" w:color="auto"/>
        <w:left w:val="none" w:sz="0" w:space="0" w:color="auto"/>
        <w:bottom w:val="none" w:sz="0" w:space="0" w:color="auto"/>
        <w:right w:val="none" w:sz="0" w:space="0" w:color="auto"/>
      </w:divBdr>
    </w:div>
    <w:div w:id="506210963">
      <w:bodyDiv w:val="1"/>
      <w:marLeft w:val="0"/>
      <w:marRight w:val="0"/>
      <w:marTop w:val="0"/>
      <w:marBottom w:val="0"/>
      <w:divBdr>
        <w:top w:val="none" w:sz="0" w:space="0" w:color="auto"/>
        <w:left w:val="none" w:sz="0" w:space="0" w:color="auto"/>
        <w:bottom w:val="none" w:sz="0" w:space="0" w:color="auto"/>
        <w:right w:val="none" w:sz="0" w:space="0" w:color="auto"/>
      </w:divBdr>
    </w:div>
    <w:div w:id="1145509238">
      <w:bodyDiv w:val="1"/>
      <w:marLeft w:val="0"/>
      <w:marRight w:val="0"/>
      <w:marTop w:val="0"/>
      <w:marBottom w:val="0"/>
      <w:divBdr>
        <w:top w:val="none" w:sz="0" w:space="0" w:color="auto"/>
        <w:left w:val="none" w:sz="0" w:space="0" w:color="auto"/>
        <w:bottom w:val="none" w:sz="0" w:space="0" w:color="auto"/>
        <w:right w:val="none" w:sz="0" w:space="0" w:color="auto"/>
      </w:divBdr>
    </w:div>
    <w:div w:id="1150557645">
      <w:bodyDiv w:val="1"/>
      <w:marLeft w:val="0"/>
      <w:marRight w:val="0"/>
      <w:marTop w:val="0"/>
      <w:marBottom w:val="0"/>
      <w:divBdr>
        <w:top w:val="none" w:sz="0" w:space="0" w:color="auto"/>
        <w:left w:val="none" w:sz="0" w:space="0" w:color="auto"/>
        <w:bottom w:val="none" w:sz="0" w:space="0" w:color="auto"/>
        <w:right w:val="none" w:sz="0" w:space="0" w:color="auto"/>
      </w:divBdr>
    </w:div>
    <w:div w:id="1233085340">
      <w:bodyDiv w:val="1"/>
      <w:marLeft w:val="0"/>
      <w:marRight w:val="0"/>
      <w:marTop w:val="0"/>
      <w:marBottom w:val="0"/>
      <w:divBdr>
        <w:top w:val="none" w:sz="0" w:space="0" w:color="auto"/>
        <w:left w:val="none" w:sz="0" w:space="0" w:color="auto"/>
        <w:bottom w:val="none" w:sz="0" w:space="0" w:color="auto"/>
        <w:right w:val="none" w:sz="0" w:space="0" w:color="auto"/>
      </w:divBdr>
      <w:divsChild>
        <w:div w:id="977300665">
          <w:marLeft w:val="0"/>
          <w:marRight w:val="0"/>
          <w:marTop w:val="0"/>
          <w:marBottom w:val="0"/>
          <w:divBdr>
            <w:top w:val="none" w:sz="0" w:space="0" w:color="auto"/>
            <w:left w:val="none" w:sz="0" w:space="0" w:color="auto"/>
            <w:bottom w:val="none" w:sz="0" w:space="0" w:color="auto"/>
            <w:right w:val="none" w:sz="0" w:space="0" w:color="auto"/>
          </w:divBdr>
        </w:div>
        <w:div w:id="1449857868">
          <w:marLeft w:val="0"/>
          <w:marRight w:val="0"/>
          <w:marTop w:val="0"/>
          <w:marBottom w:val="0"/>
          <w:divBdr>
            <w:top w:val="none" w:sz="0" w:space="0" w:color="auto"/>
            <w:left w:val="none" w:sz="0" w:space="0" w:color="auto"/>
            <w:bottom w:val="none" w:sz="0" w:space="0" w:color="auto"/>
            <w:right w:val="none" w:sz="0" w:space="0" w:color="auto"/>
          </w:divBdr>
          <w:divsChild>
            <w:div w:id="1499926334">
              <w:marLeft w:val="0"/>
              <w:marRight w:val="0"/>
              <w:marTop w:val="0"/>
              <w:marBottom w:val="0"/>
              <w:divBdr>
                <w:top w:val="none" w:sz="0" w:space="0" w:color="auto"/>
                <w:left w:val="none" w:sz="0" w:space="0" w:color="auto"/>
                <w:bottom w:val="none" w:sz="0" w:space="0" w:color="auto"/>
                <w:right w:val="none" w:sz="0" w:space="0" w:color="auto"/>
              </w:divBdr>
              <w:divsChild>
                <w:div w:id="450788923">
                  <w:marLeft w:val="0"/>
                  <w:marRight w:val="0"/>
                  <w:marTop w:val="0"/>
                  <w:marBottom w:val="0"/>
                  <w:divBdr>
                    <w:top w:val="none" w:sz="0" w:space="0" w:color="auto"/>
                    <w:left w:val="none" w:sz="0" w:space="0" w:color="auto"/>
                    <w:bottom w:val="none" w:sz="0" w:space="0" w:color="auto"/>
                    <w:right w:val="none" w:sz="0" w:space="0" w:color="auto"/>
                  </w:divBdr>
                </w:div>
                <w:div w:id="35815132">
                  <w:marLeft w:val="0"/>
                  <w:marRight w:val="0"/>
                  <w:marTop w:val="0"/>
                  <w:marBottom w:val="0"/>
                  <w:divBdr>
                    <w:top w:val="none" w:sz="0" w:space="0" w:color="auto"/>
                    <w:left w:val="none" w:sz="0" w:space="0" w:color="auto"/>
                    <w:bottom w:val="none" w:sz="0" w:space="0" w:color="auto"/>
                    <w:right w:val="none" w:sz="0" w:space="0" w:color="auto"/>
                  </w:divBdr>
                  <w:divsChild>
                    <w:div w:id="2004814588">
                      <w:marLeft w:val="0"/>
                      <w:marRight w:val="0"/>
                      <w:marTop w:val="0"/>
                      <w:marBottom w:val="0"/>
                      <w:divBdr>
                        <w:top w:val="none" w:sz="0" w:space="0" w:color="auto"/>
                        <w:left w:val="none" w:sz="0" w:space="0" w:color="auto"/>
                        <w:bottom w:val="none" w:sz="0" w:space="0" w:color="auto"/>
                        <w:right w:val="none" w:sz="0" w:space="0" w:color="auto"/>
                      </w:divBdr>
                      <w:divsChild>
                        <w:div w:id="1010454537">
                          <w:marLeft w:val="0"/>
                          <w:marRight w:val="0"/>
                          <w:marTop w:val="0"/>
                          <w:marBottom w:val="0"/>
                          <w:divBdr>
                            <w:top w:val="none" w:sz="0" w:space="0" w:color="auto"/>
                            <w:left w:val="none" w:sz="0" w:space="0" w:color="auto"/>
                            <w:bottom w:val="none" w:sz="0" w:space="0" w:color="auto"/>
                            <w:right w:val="none" w:sz="0" w:space="0" w:color="auto"/>
                          </w:divBdr>
                          <w:divsChild>
                            <w:div w:id="871188617">
                              <w:marLeft w:val="0"/>
                              <w:marRight w:val="0"/>
                              <w:marTop w:val="0"/>
                              <w:marBottom w:val="0"/>
                              <w:divBdr>
                                <w:top w:val="none" w:sz="0" w:space="0" w:color="auto"/>
                                <w:left w:val="none" w:sz="0" w:space="0" w:color="auto"/>
                                <w:bottom w:val="none" w:sz="0" w:space="0" w:color="auto"/>
                                <w:right w:val="none" w:sz="0" w:space="0" w:color="auto"/>
                              </w:divBdr>
                              <w:divsChild>
                                <w:div w:id="1355037918">
                                  <w:marLeft w:val="0"/>
                                  <w:marRight w:val="0"/>
                                  <w:marTop w:val="0"/>
                                  <w:marBottom w:val="0"/>
                                  <w:divBdr>
                                    <w:top w:val="none" w:sz="0" w:space="0" w:color="auto"/>
                                    <w:left w:val="none" w:sz="0" w:space="0" w:color="auto"/>
                                    <w:bottom w:val="none" w:sz="0" w:space="0" w:color="auto"/>
                                    <w:right w:val="none" w:sz="0" w:space="0" w:color="auto"/>
                                  </w:divBdr>
                                  <w:divsChild>
                                    <w:div w:id="12084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5867-7471-4A35-A4CD-5D3D2571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5</cp:revision>
  <dcterms:created xsi:type="dcterms:W3CDTF">2025-07-18T09:28:00Z</dcterms:created>
  <dcterms:modified xsi:type="dcterms:W3CDTF">2025-07-18T10:50:00Z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d37e7106-55ee-4965-8751-009bef842654</vt:lpwstr>
  </property>
</Properties>
</file>