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tabs>
          <w:tab w:pos="5321" w:val="left" w:leader="none"/>
        </w:tabs>
        <w:spacing w:before="117"/>
      </w:pPr>
      <w:r>
        <w:rPr/>
        <w:t>IN THE LABOUR COURT</w:t>
      </w:r>
      <w:r>
        <w:rPr>
          <w:spacing w:val="-3"/>
        </w:rPr>
        <w:t> </w:t>
      </w:r>
      <w:r>
        <w:rPr/>
        <w:t>OF</w:t>
      </w:r>
      <w:r>
        <w:rPr>
          <w:spacing w:val="-1"/>
        </w:rPr>
        <w:t> </w:t>
      </w:r>
      <w:r>
        <w:rPr/>
        <w:t>ZIMBABWE</w:t>
        <w:tab/>
        <w:t>JUDGMENT NO LC/H/69/2023</w:t>
      </w:r>
    </w:p>
    <w:p>
      <w:pPr>
        <w:pStyle w:val="BodyText"/>
        <w:rPr>
          <w:b/>
        </w:rPr>
      </w:pPr>
    </w:p>
    <w:p>
      <w:pPr>
        <w:tabs>
          <w:tab w:pos="5201" w:val="left" w:leader="none"/>
        </w:tabs>
        <w:spacing w:before="0"/>
        <w:ind w:left="100" w:right="0" w:firstLine="0"/>
        <w:jc w:val="left"/>
        <w:rPr>
          <w:b/>
          <w:sz w:val="24"/>
        </w:rPr>
      </w:pPr>
      <w:r>
        <w:rPr>
          <w:b/>
          <w:sz w:val="24"/>
        </w:rPr>
        <w:t>HARARE, 14 FEBRUARY</w:t>
      </w:r>
      <w:r>
        <w:rPr>
          <w:b/>
          <w:spacing w:val="59"/>
          <w:sz w:val="24"/>
        </w:rPr>
        <w:t> </w:t>
      </w:r>
      <w:r>
        <w:rPr>
          <w:b/>
          <w:sz w:val="24"/>
        </w:rPr>
        <w:t>2023 &amp;</w:t>
        <w:tab/>
        <w:t>CASE NO:</w:t>
      </w:r>
      <w:r>
        <w:rPr>
          <w:b/>
          <w:spacing w:val="-2"/>
          <w:sz w:val="24"/>
        </w:rPr>
        <w:t> </w:t>
      </w:r>
      <w:r>
        <w:rPr>
          <w:b/>
          <w:sz w:val="24"/>
        </w:rPr>
        <w:t>LC/H/1009/22</w:t>
      </w:r>
    </w:p>
    <w:p>
      <w:pPr>
        <w:tabs>
          <w:tab w:pos="1811" w:val="left" w:leader="none"/>
          <w:tab w:pos="5141" w:val="left" w:leader="none"/>
        </w:tabs>
        <w:spacing w:before="0"/>
        <w:ind w:left="100" w:right="0" w:firstLine="0"/>
        <w:jc w:val="left"/>
        <w:rPr>
          <w:b/>
          <w:sz w:val="24"/>
        </w:rPr>
      </w:pPr>
      <w:r>
        <w:rPr>
          <w:b/>
          <w:sz w:val="24"/>
        </w:rPr>
        <w:t>2</w:t>
      </w:r>
      <w:r>
        <w:rPr>
          <w:b/>
          <w:spacing w:val="-1"/>
          <w:sz w:val="24"/>
        </w:rPr>
        <w:t> </w:t>
      </w:r>
      <w:r>
        <w:rPr>
          <w:b/>
          <w:sz w:val="24"/>
        </w:rPr>
        <w:t>MARCH</w:t>
        <w:tab/>
        <w:t>2023</w:t>
        <w:tab/>
        <w:t>REF CASE NO:</w:t>
      </w:r>
      <w:r>
        <w:rPr>
          <w:b/>
          <w:spacing w:val="-2"/>
          <w:sz w:val="24"/>
        </w:rPr>
        <w:t> </w:t>
      </w:r>
      <w:r>
        <w:rPr>
          <w:b/>
          <w:sz w:val="24"/>
        </w:rPr>
        <w:t>LC/H/REV/119/19</w:t>
      </w:r>
    </w:p>
    <w:p>
      <w:pPr>
        <w:pStyle w:val="BodyText"/>
        <w:rPr>
          <w:b/>
          <w:sz w:val="26"/>
        </w:rPr>
      </w:pPr>
    </w:p>
    <w:p>
      <w:pPr>
        <w:pStyle w:val="BodyText"/>
        <w:rPr>
          <w:b/>
          <w:sz w:val="22"/>
        </w:rPr>
      </w:pPr>
    </w:p>
    <w:p>
      <w:pPr>
        <w:pStyle w:val="BodyText"/>
        <w:ind w:left="100"/>
      </w:pPr>
      <w:r>
        <w:rPr/>
        <w:t>In the matter between: -</w:t>
      </w:r>
    </w:p>
    <w:p>
      <w:pPr>
        <w:pStyle w:val="BodyText"/>
        <w:rPr>
          <w:sz w:val="26"/>
        </w:rPr>
      </w:pPr>
    </w:p>
    <w:p>
      <w:pPr>
        <w:pStyle w:val="BodyText"/>
        <w:rPr>
          <w:sz w:val="22"/>
        </w:rPr>
      </w:pPr>
    </w:p>
    <w:p>
      <w:pPr>
        <w:pStyle w:val="Heading1"/>
        <w:tabs>
          <w:tab w:pos="6581" w:val="left" w:leader="none"/>
        </w:tabs>
      </w:pPr>
      <w:r>
        <w:rPr/>
        <w:t>MALVERN</w:t>
      </w:r>
      <w:r>
        <w:rPr>
          <w:spacing w:val="-1"/>
        </w:rPr>
        <w:t> </w:t>
      </w:r>
      <w:r>
        <w:rPr/>
        <w:t>MANO</w:t>
        <w:tab/>
        <w:t>APPLICANT</w:t>
      </w:r>
    </w:p>
    <w:p>
      <w:pPr>
        <w:pStyle w:val="BodyText"/>
        <w:rPr>
          <w:b/>
          <w:sz w:val="26"/>
        </w:rPr>
      </w:pPr>
    </w:p>
    <w:p>
      <w:pPr>
        <w:pStyle w:val="BodyText"/>
        <w:spacing w:before="1"/>
        <w:rPr>
          <w:b/>
          <w:sz w:val="22"/>
        </w:rPr>
      </w:pPr>
    </w:p>
    <w:p>
      <w:pPr>
        <w:tabs>
          <w:tab w:pos="6581" w:val="left" w:leader="none"/>
        </w:tabs>
        <w:spacing w:before="0"/>
        <w:ind w:left="100" w:right="745" w:firstLine="0"/>
        <w:jc w:val="left"/>
        <w:rPr>
          <w:b/>
          <w:sz w:val="24"/>
        </w:rPr>
      </w:pPr>
      <w:r>
        <w:rPr>
          <w:b/>
          <w:sz w:val="24"/>
        </w:rPr>
        <w:t>EMMANUEL TSHUMA (IN HIS</w:t>
      </w:r>
      <w:r>
        <w:rPr>
          <w:b/>
          <w:spacing w:val="-3"/>
          <w:sz w:val="24"/>
        </w:rPr>
        <w:t> </w:t>
      </w:r>
      <w:r>
        <w:rPr>
          <w:b/>
          <w:sz w:val="24"/>
        </w:rPr>
        <w:t>OFFICIAL</w:t>
      </w:r>
      <w:r>
        <w:rPr>
          <w:b/>
          <w:spacing w:val="-1"/>
          <w:sz w:val="24"/>
        </w:rPr>
        <w:t> </w:t>
      </w:r>
      <w:r>
        <w:rPr>
          <w:b/>
          <w:sz w:val="24"/>
        </w:rPr>
        <w:t>CAPACITY</w:t>
        <w:tab/>
        <w:t>1</w:t>
      </w:r>
      <w:r>
        <w:rPr>
          <w:b/>
          <w:sz w:val="24"/>
          <w:vertAlign w:val="superscript"/>
        </w:rPr>
        <w:t>st</w:t>
      </w:r>
      <w:r>
        <w:rPr>
          <w:b/>
          <w:spacing w:val="-24"/>
          <w:sz w:val="24"/>
          <w:vertAlign w:val="baseline"/>
        </w:rPr>
        <w:t> </w:t>
      </w:r>
      <w:r>
        <w:rPr>
          <w:b/>
          <w:sz w:val="24"/>
          <w:vertAlign w:val="baseline"/>
        </w:rPr>
        <w:t>RESPONDENT AS CHAIRMAN OF THE DISCIPLINARY</w:t>
      </w:r>
      <w:r>
        <w:rPr>
          <w:b/>
          <w:spacing w:val="-1"/>
          <w:sz w:val="24"/>
          <w:vertAlign w:val="baseline"/>
        </w:rPr>
        <w:t> </w:t>
      </w:r>
      <w:r>
        <w:rPr>
          <w:b/>
          <w:sz w:val="24"/>
          <w:vertAlign w:val="baseline"/>
        </w:rPr>
        <w:t>COMMITTEE</w:t>
      </w:r>
    </w:p>
    <w:p>
      <w:pPr>
        <w:spacing w:before="0"/>
        <w:ind w:left="100" w:right="0" w:firstLine="0"/>
        <w:jc w:val="left"/>
        <w:rPr>
          <w:b/>
          <w:sz w:val="24"/>
        </w:rPr>
      </w:pPr>
      <w:r>
        <w:rPr>
          <w:b/>
          <w:sz w:val="24"/>
        </w:rPr>
        <w:t>MEDICAL AID SOCIETY OF CENTRAL AFRICA)</w:t>
      </w:r>
    </w:p>
    <w:p>
      <w:pPr>
        <w:pStyle w:val="BodyText"/>
        <w:spacing w:before="6"/>
        <w:rPr>
          <w:b/>
          <w:sz w:val="23"/>
        </w:rPr>
      </w:pPr>
    </w:p>
    <w:p>
      <w:pPr>
        <w:tabs>
          <w:tab w:pos="6581" w:val="left" w:leader="none"/>
        </w:tabs>
        <w:spacing w:before="0"/>
        <w:ind w:left="100" w:right="0" w:firstLine="0"/>
        <w:jc w:val="left"/>
        <w:rPr>
          <w:b/>
          <w:sz w:val="24"/>
        </w:rPr>
      </w:pPr>
      <w:r>
        <w:rPr>
          <w:b/>
          <w:sz w:val="24"/>
        </w:rPr>
        <w:t>MEDICAL AID SOCIETY FOR</w:t>
      </w:r>
      <w:r>
        <w:rPr>
          <w:b/>
          <w:spacing w:val="-3"/>
          <w:sz w:val="24"/>
        </w:rPr>
        <w:t> </w:t>
      </w:r>
      <w:r>
        <w:rPr>
          <w:b/>
          <w:sz w:val="24"/>
        </w:rPr>
        <w:t>CENTRAL</w:t>
      </w:r>
      <w:r>
        <w:rPr>
          <w:b/>
          <w:spacing w:val="-1"/>
          <w:sz w:val="24"/>
        </w:rPr>
        <w:t> </w:t>
      </w:r>
      <w:r>
        <w:rPr>
          <w:b/>
          <w:sz w:val="24"/>
        </w:rPr>
        <w:t>AFRICA</w:t>
        <w:tab/>
        <w:t>2</w:t>
      </w:r>
      <w:r>
        <w:rPr>
          <w:b/>
          <w:position w:val="8"/>
          <w:sz w:val="16"/>
        </w:rPr>
        <w:t>nd</w:t>
      </w:r>
      <w:r>
        <w:rPr>
          <w:b/>
          <w:spacing w:val="19"/>
          <w:position w:val="8"/>
          <w:sz w:val="16"/>
        </w:rPr>
        <w:t> </w:t>
      </w:r>
      <w:r>
        <w:rPr>
          <w:b/>
          <w:sz w:val="24"/>
        </w:rPr>
        <w:t>RESPONDENT</w:t>
      </w:r>
    </w:p>
    <w:p>
      <w:pPr>
        <w:pStyle w:val="BodyText"/>
        <w:rPr>
          <w:b/>
          <w:sz w:val="26"/>
        </w:rPr>
      </w:pPr>
    </w:p>
    <w:p>
      <w:pPr>
        <w:pStyle w:val="BodyText"/>
        <w:rPr>
          <w:b/>
          <w:sz w:val="26"/>
        </w:rPr>
      </w:pPr>
    </w:p>
    <w:p>
      <w:pPr>
        <w:pStyle w:val="BodyText"/>
        <w:spacing w:before="230"/>
        <w:ind w:left="100"/>
      </w:pPr>
      <w:r>
        <w:rPr/>
        <w:t>Before the Honourable Kudya J</w:t>
      </w:r>
    </w:p>
    <w:p>
      <w:pPr>
        <w:pStyle w:val="BodyText"/>
      </w:pPr>
    </w:p>
    <w:p>
      <w:pPr>
        <w:pStyle w:val="Heading1"/>
        <w:tabs>
          <w:tab w:pos="2980" w:val="left" w:leader="none"/>
        </w:tabs>
      </w:pPr>
      <w:r>
        <w:rPr/>
        <w:t>For</w:t>
      </w:r>
      <w:r>
        <w:rPr>
          <w:spacing w:val="-3"/>
        </w:rPr>
        <w:t> </w:t>
      </w:r>
      <w:r>
        <w:rPr/>
        <w:t>the</w:t>
      </w:r>
      <w:r>
        <w:rPr>
          <w:spacing w:val="-1"/>
        </w:rPr>
        <w:t> </w:t>
      </w:r>
      <w:r>
        <w:rPr/>
        <w:t>Applicant</w:t>
        <w:tab/>
        <w:t>S.N. Muhambi (Unionist)</w:t>
      </w:r>
    </w:p>
    <w:p>
      <w:pPr>
        <w:pStyle w:val="BodyText"/>
        <w:rPr>
          <w:b/>
        </w:rPr>
      </w:pPr>
    </w:p>
    <w:p>
      <w:pPr>
        <w:tabs>
          <w:tab w:pos="2980" w:val="left" w:leader="none"/>
        </w:tabs>
        <w:spacing w:line="480" w:lineRule="auto" w:before="0"/>
        <w:ind w:left="100" w:right="2650" w:firstLine="0"/>
        <w:jc w:val="left"/>
        <w:rPr>
          <w:b/>
          <w:sz w:val="24"/>
        </w:rPr>
      </w:pPr>
      <w:r>
        <w:rPr>
          <w:b/>
          <w:sz w:val="24"/>
        </w:rPr>
        <w:t>For</w:t>
      </w:r>
      <w:r>
        <w:rPr>
          <w:b/>
          <w:spacing w:val="-3"/>
          <w:sz w:val="24"/>
        </w:rPr>
        <w:t> </w:t>
      </w:r>
      <w:r>
        <w:rPr>
          <w:b/>
          <w:sz w:val="24"/>
        </w:rPr>
        <w:t>the</w:t>
      </w:r>
      <w:r>
        <w:rPr>
          <w:b/>
          <w:spacing w:val="-1"/>
          <w:sz w:val="24"/>
        </w:rPr>
        <w:t> </w:t>
      </w:r>
      <w:r>
        <w:rPr>
          <w:b/>
          <w:sz w:val="24"/>
        </w:rPr>
        <w:t>Respondent</w:t>
        <w:tab/>
        <w:t>N. Mugandiwa (Legal Practitioner) KUDYA,</w:t>
      </w:r>
      <w:r>
        <w:rPr>
          <w:b/>
          <w:spacing w:val="-1"/>
          <w:sz w:val="24"/>
        </w:rPr>
        <w:t> </w:t>
      </w:r>
      <w:r>
        <w:rPr>
          <w:b/>
          <w:sz w:val="24"/>
        </w:rPr>
        <w:t>J:</w:t>
      </w:r>
    </w:p>
    <w:p>
      <w:pPr>
        <w:pStyle w:val="BodyText"/>
        <w:spacing w:line="360" w:lineRule="auto" w:before="1"/>
        <w:ind w:left="100" w:right="120" w:firstLine="719"/>
        <w:jc w:val="right"/>
      </w:pPr>
      <w:r>
        <w:rPr/>
        <w:t>This</w:t>
      </w:r>
      <w:r>
        <w:rPr>
          <w:spacing w:val="42"/>
        </w:rPr>
        <w:t> </w:t>
      </w:r>
      <w:r>
        <w:rPr/>
        <w:t>is</w:t>
      </w:r>
      <w:r>
        <w:rPr>
          <w:spacing w:val="42"/>
        </w:rPr>
        <w:t> </w:t>
      </w:r>
      <w:r>
        <w:rPr/>
        <w:t>an</w:t>
      </w:r>
      <w:r>
        <w:rPr>
          <w:spacing w:val="41"/>
        </w:rPr>
        <w:t> </w:t>
      </w:r>
      <w:r>
        <w:rPr/>
        <w:t>application</w:t>
      </w:r>
      <w:r>
        <w:rPr>
          <w:spacing w:val="41"/>
        </w:rPr>
        <w:t> </w:t>
      </w:r>
      <w:r>
        <w:rPr/>
        <w:t>for</w:t>
      </w:r>
      <w:r>
        <w:rPr>
          <w:spacing w:val="41"/>
        </w:rPr>
        <w:t> </w:t>
      </w:r>
      <w:r>
        <w:rPr/>
        <w:t>the</w:t>
      </w:r>
      <w:r>
        <w:rPr>
          <w:spacing w:val="41"/>
        </w:rPr>
        <w:t> </w:t>
      </w:r>
      <w:r>
        <w:rPr/>
        <w:t>rescission</w:t>
      </w:r>
      <w:r>
        <w:rPr>
          <w:spacing w:val="42"/>
        </w:rPr>
        <w:t> </w:t>
      </w:r>
      <w:r>
        <w:rPr/>
        <w:t>of</w:t>
      </w:r>
      <w:r>
        <w:rPr>
          <w:spacing w:val="41"/>
        </w:rPr>
        <w:t> </w:t>
      </w:r>
      <w:r>
        <w:rPr/>
        <w:t>a</w:t>
      </w:r>
      <w:r>
        <w:rPr>
          <w:spacing w:val="41"/>
        </w:rPr>
        <w:t> </w:t>
      </w:r>
      <w:r>
        <w:rPr/>
        <w:t>default</w:t>
      </w:r>
      <w:r>
        <w:rPr>
          <w:spacing w:val="43"/>
        </w:rPr>
        <w:t> </w:t>
      </w:r>
      <w:r>
        <w:rPr/>
        <w:t>judgment</w:t>
      </w:r>
      <w:r>
        <w:rPr>
          <w:spacing w:val="42"/>
        </w:rPr>
        <w:t> </w:t>
      </w:r>
      <w:r>
        <w:rPr/>
        <w:t>handed</w:t>
      </w:r>
      <w:r>
        <w:rPr>
          <w:spacing w:val="44"/>
        </w:rPr>
        <w:t> </w:t>
      </w:r>
      <w:r>
        <w:rPr/>
        <w:t>down</w:t>
      </w:r>
      <w:r>
        <w:rPr>
          <w:spacing w:val="41"/>
        </w:rPr>
        <w:t> </w:t>
      </w:r>
      <w:r>
        <w:rPr/>
        <w:t>on</w:t>
      </w:r>
      <w:r>
        <w:rPr>
          <w:spacing w:val="41"/>
        </w:rPr>
        <w:t> </w:t>
      </w:r>
      <w:r>
        <w:rPr/>
        <w:t>4 October 2022 in a labour dispute pitting the applicant employee and the</w:t>
      </w:r>
      <w:r>
        <w:rPr>
          <w:spacing w:val="-11"/>
        </w:rPr>
        <w:t> </w:t>
      </w:r>
      <w:r>
        <w:rPr/>
        <w:t>respondent</w:t>
      </w:r>
      <w:r>
        <w:rPr>
          <w:spacing w:val="-1"/>
        </w:rPr>
        <w:t> </w:t>
      </w:r>
      <w:r>
        <w:rPr/>
        <w:t>employer. The</w:t>
      </w:r>
      <w:r>
        <w:rPr>
          <w:spacing w:val="7"/>
        </w:rPr>
        <w:t> </w:t>
      </w:r>
      <w:r>
        <w:rPr/>
        <w:t>background</w:t>
      </w:r>
      <w:r>
        <w:rPr>
          <w:spacing w:val="8"/>
        </w:rPr>
        <w:t> </w:t>
      </w:r>
      <w:r>
        <w:rPr/>
        <w:t>to</w:t>
      </w:r>
      <w:r>
        <w:rPr>
          <w:spacing w:val="8"/>
        </w:rPr>
        <w:t> </w:t>
      </w:r>
      <w:r>
        <w:rPr/>
        <w:t>the</w:t>
      </w:r>
      <w:r>
        <w:rPr>
          <w:spacing w:val="8"/>
        </w:rPr>
        <w:t> </w:t>
      </w:r>
      <w:r>
        <w:rPr/>
        <w:t>matter</w:t>
      </w:r>
      <w:r>
        <w:rPr>
          <w:spacing w:val="8"/>
        </w:rPr>
        <w:t> </w:t>
      </w:r>
      <w:r>
        <w:rPr/>
        <w:t>is</w:t>
      </w:r>
      <w:r>
        <w:rPr>
          <w:spacing w:val="9"/>
        </w:rPr>
        <w:t> </w:t>
      </w:r>
      <w:r>
        <w:rPr/>
        <w:t>that</w:t>
      </w:r>
      <w:r>
        <w:rPr>
          <w:spacing w:val="9"/>
        </w:rPr>
        <w:t> </w:t>
      </w:r>
      <w:r>
        <w:rPr/>
        <w:t>the</w:t>
      </w:r>
      <w:r>
        <w:rPr>
          <w:spacing w:val="11"/>
        </w:rPr>
        <w:t> </w:t>
      </w:r>
      <w:r>
        <w:rPr/>
        <w:t>employee</w:t>
      </w:r>
      <w:r>
        <w:rPr>
          <w:spacing w:val="9"/>
        </w:rPr>
        <w:t> </w:t>
      </w:r>
      <w:r>
        <w:rPr/>
        <w:t>filed</w:t>
      </w:r>
      <w:r>
        <w:rPr>
          <w:spacing w:val="10"/>
        </w:rPr>
        <w:t> </w:t>
      </w:r>
      <w:r>
        <w:rPr/>
        <w:t>a</w:t>
      </w:r>
      <w:r>
        <w:rPr>
          <w:spacing w:val="8"/>
        </w:rPr>
        <w:t> </w:t>
      </w:r>
      <w:r>
        <w:rPr/>
        <w:t>review</w:t>
      </w:r>
      <w:r>
        <w:rPr>
          <w:spacing w:val="7"/>
        </w:rPr>
        <w:t> </w:t>
      </w:r>
      <w:r>
        <w:rPr/>
        <w:t>application</w:t>
      </w:r>
      <w:r>
        <w:rPr>
          <w:spacing w:val="9"/>
        </w:rPr>
        <w:t> </w:t>
      </w:r>
      <w:r>
        <w:rPr/>
        <w:t>with</w:t>
      </w:r>
      <w:r>
        <w:rPr>
          <w:spacing w:val="8"/>
        </w:rPr>
        <w:t> </w:t>
      </w:r>
      <w:r>
        <w:rPr/>
        <w:t>the Labour</w:t>
      </w:r>
      <w:r>
        <w:rPr>
          <w:spacing w:val="-14"/>
        </w:rPr>
        <w:t> </w:t>
      </w:r>
      <w:r>
        <w:rPr/>
        <w:t>Court</w:t>
      </w:r>
      <w:r>
        <w:rPr>
          <w:spacing w:val="-14"/>
        </w:rPr>
        <w:t> </w:t>
      </w:r>
      <w:r>
        <w:rPr/>
        <w:t>challenging</w:t>
      </w:r>
      <w:r>
        <w:rPr>
          <w:spacing w:val="-13"/>
        </w:rPr>
        <w:t> </w:t>
      </w:r>
      <w:r>
        <w:rPr/>
        <w:t>the</w:t>
      </w:r>
      <w:r>
        <w:rPr>
          <w:spacing w:val="-14"/>
        </w:rPr>
        <w:t> </w:t>
      </w:r>
      <w:r>
        <w:rPr/>
        <w:t>process</w:t>
      </w:r>
      <w:r>
        <w:rPr>
          <w:spacing w:val="-13"/>
        </w:rPr>
        <w:t> </w:t>
      </w:r>
      <w:r>
        <w:rPr/>
        <w:t>leading</w:t>
      </w:r>
      <w:r>
        <w:rPr>
          <w:spacing w:val="-13"/>
        </w:rPr>
        <w:t> </w:t>
      </w:r>
      <w:r>
        <w:rPr/>
        <w:t>to</w:t>
      </w:r>
      <w:r>
        <w:rPr>
          <w:spacing w:val="-13"/>
        </w:rPr>
        <w:t> </w:t>
      </w:r>
      <w:r>
        <w:rPr/>
        <w:t>his</w:t>
      </w:r>
      <w:r>
        <w:rPr>
          <w:spacing w:val="-13"/>
        </w:rPr>
        <w:t> </w:t>
      </w:r>
      <w:r>
        <w:rPr/>
        <w:t>dismissal</w:t>
      </w:r>
      <w:r>
        <w:rPr>
          <w:spacing w:val="-12"/>
        </w:rPr>
        <w:t> </w:t>
      </w:r>
      <w:r>
        <w:rPr/>
        <w:t>from</w:t>
      </w:r>
      <w:r>
        <w:rPr>
          <w:spacing w:val="-13"/>
        </w:rPr>
        <w:t> </w:t>
      </w:r>
      <w:r>
        <w:rPr/>
        <w:t>his</w:t>
      </w:r>
      <w:r>
        <w:rPr>
          <w:spacing w:val="-13"/>
        </w:rPr>
        <w:t> </w:t>
      </w:r>
      <w:r>
        <w:rPr/>
        <w:t>workplace.</w:t>
      </w:r>
      <w:r>
        <w:rPr>
          <w:spacing w:val="34"/>
        </w:rPr>
        <w:t> </w:t>
      </w:r>
      <w:r>
        <w:rPr/>
        <w:t>He</w:t>
      </w:r>
      <w:r>
        <w:rPr>
          <w:spacing w:val="-14"/>
        </w:rPr>
        <w:t> </w:t>
      </w:r>
      <w:r>
        <w:rPr/>
        <w:t>however did</w:t>
      </w:r>
      <w:r>
        <w:rPr>
          <w:spacing w:val="20"/>
        </w:rPr>
        <w:t> </w:t>
      </w:r>
      <w:r>
        <w:rPr/>
        <w:t>not</w:t>
      </w:r>
      <w:r>
        <w:rPr>
          <w:spacing w:val="21"/>
        </w:rPr>
        <w:t> </w:t>
      </w:r>
      <w:r>
        <w:rPr/>
        <w:t>attend</w:t>
      </w:r>
      <w:r>
        <w:rPr>
          <w:spacing w:val="21"/>
        </w:rPr>
        <w:t> </w:t>
      </w:r>
      <w:r>
        <w:rPr/>
        <w:t>court</w:t>
      </w:r>
      <w:r>
        <w:rPr>
          <w:spacing w:val="21"/>
        </w:rPr>
        <w:t> </w:t>
      </w:r>
      <w:r>
        <w:rPr/>
        <w:t>on</w:t>
      </w:r>
      <w:r>
        <w:rPr>
          <w:spacing w:val="21"/>
        </w:rPr>
        <w:t> </w:t>
      </w:r>
      <w:r>
        <w:rPr/>
        <w:t>the</w:t>
      </w:r>
      <w:r>
        <w:rPr>
          <w:spacing w:val="20"/>
        </w:rPr>
        <w:t> </w:t>
      </w:r>
      <w:r>
        <w:rPr/>
        <w:t>set</w:t>
      </w:r>
      <w:r>
        <w:rPr>
          <w:spacing w:val="21"/>
        </w:rPr>
        <w:t> </w:t>
      </w:r>
      <w:r>
        <w:rPr/>
        <w:t>down</w:t>
      </w:r>
      <w:r>
        <w:rPr>
          <w:spacing w:val="23"/>
        </w:rPr>
        <w:t> </w:t>
      </w:r>
      <w:r>
        <w:rPr/>
        <w:t>date</w:t>
      </w:r>
      <w:r>
        <w:rPr>
          <w:spacing w:val="19"/>
        </w:rPr>
        <w:t> </w:t>
      </w:r>
      <w:r>
        <w:rPr/>
        <w:t>despite</w:t>
      </w:r>
      <w:r>
        <w:rPr>
          <w:spacing w:val="22"/>
        </w:rPr>
        <w:t> </w:t>
      </w:r>
      <w:r>
        <w:rPr/>
        <w:t>service</w:t>
      </w:r>
      <w:r>
        <w:rPr>
          <w:spacing w:val="27"/>
        </w:rPr>
        <w:t> </w:t>
      </w:r>
      <w:r>
        <w:rPr/>
        <w:t>of</w:t>
      </w:r>
      <w:r>
        <w:rPr>
          <w:spacing w:val="20"/>
        </w:rPr>
        <w:t> </w:t>
      </w:r>
      <w:r>
        <w:rPr/>
        <w:t>the</w:t>
      </w:r>
      <w:r>
        <w:rPr>
          <w:spacing w:val="20"/>
        </w:rPr>
        <w:t> </w:t>
      </w:r>
      <w:r>
        <w:rPr/>
        <w:t>set</w:t>
      </w:r>
      <w:r>
        <w:rPr>
          <w:spacing w:val="21"/>
        </w:rPr>
        <w:t> </w:t>
      </w:r>
      <w:r>
        <w:rPr/>
        <w:t>down</w:t>
      </w:r>
      <w:r>
        <w:rPr>
          <w:spacing w:val="23"/>
        </w:rPr>
        <w:t> </w:t>
      </w:r>
      <w:r>
        <w:rPr/>
        <w:t>date</w:t>
      </w:r>
      <w:r>
        <w:rPr>
          <w:spacing w:val="20"/>
        </w:rPr>
        <w:t> </w:t>
      </w:r>
      <w:r>
        <w:rPr/>
        <w:t>on</w:t>
      </w:r>
      <w:r>
        <w:rPr>
          <w:spacing w:val="20"/>
        </w:rPr>
        <w:t> </w:t>
      </w:r>
      <w:r>
        <w:rPr/>
        <w:t>his</w:t>
      </w:r>
      <w:r>
        <w:rPr>
          <w:spacing w:val="22"/>
        </w:rPr>
        <w:t> </w:t>
      </w:r>
      <w:r>
        <w:rPr/>
        <w:t>union representatives.</w:t>
      </w:r>
      <w:r>
        <w:rPr>
          <w:spacing w:val="35"/>
        </w:rPr>
        <w:t> </w:t>
      </w:r>
      <w:r>
        <w:rPr/>
        <w:t>In</w:t>
      </w:r>
      <w:r>
        <w:rPr>
          <w:spacing w:val="-13"/>
        </w:rPr>
        <w:t> </w:t>
      </w:r>
      <w:r>
        <w:rPr/>
        <w:t>the</w:t>
      </w:r>
      <w:r>
        <w:rPr>
          <w:spacing w:val="-15"/>
        </w:rPr>
        <w:t> </w:t>
      </w:r>
      <w:r>
        <w:rPr/>
        <w:t>result</w:t>
      </w:r>
      <w:r>
        <w:rPr>
          <w:spacing w:val="-13"/>
        </w:rPr>
        <w:t> </w:t>
      </w:r>
      <w:r>
        <w:rPr/>
        <w:t>default</w:t>
      </w:r>
      <w:r>
        <w:rPr>
          <w:spacing w:val="-13"/>
        </w:rPr>
        <w:t> </w:t>
      </w:r>
      <w:r>
        <w:rPr/>
        <w:t>judgment</w:t>
      </w:r>
      <w:r>
        <w:rPr>
          <w:spacing w:val="-13"/>
        </w:rPr>
        <w:t> </w:t>
      </w:r>
      <w:r>
        <w:rPr/>
        <w:t>was</w:t>
      </w:r>
      <w:r>
        <w:rPr>
          <w:spacing w:val="-14"/>
        </w:rPr>
        <w:t> </w:t>
      </w:r>
      <w:r>
        <w:rPr/>
        <w:t>granted.</w:t>
      </w:r>
      <w:r>
        <w:rPr>
          <w:spacing w:val="33"/>
        </w:rPr>
        <w:t> </w:t>
      </w:r>
      <w:r>
        <w:rPr/>
        <w:t>He</w:t>
      </w:r>
      <w:r>
        <w:rPr>
          <w:spacing w:val="-15"/>
        </w:rPr>
        <w:t> </w:t>
      </w:r>
      <w:r>
        <w:rPr/>
        <w:t>now</w:t>
      </w:r>
      <w:r>
        <w:rPr>
          <w:spacing w:val="-15"/>
        </w:rPr>
        <w:t> </w:t>
      </w:r>
      <w:r>
        <w:rPr/>
        <w:t>wishes</w:t>
      </w:r>
      <w:r>
        <w:rPr>
          <w:spacing w:val="-11"/>
        </w:rPr>
        <w:t> </w:t>
      </w:r>
      <w:r>
        <w:rPr/>
        <w:t>to</w:t>
      </w:r>
      <w:r>
        <w:rPr>
          <w:spacing w:val="-13"/>
        </w:rPr>
        <w:t> </w:t>
      </w:r>
      <w:r>
        <w:rPr/>
        <w:t>have</w:t>
      </w:r>
      <w:r>
        <w:rPr>
          <w:spacing w:val="-15"/>
        </w:rPr>
        <w:t> </w:t>
      </w:r>
      <w:r>
        <w:rPr/>
        <w:t>that</w:t>
      </w:r>
      <w:r>
        <w:rPr>
          <w:spacing w:val="-13"/>
        </w:rPr>
        <w:t> </w:t>
      </w:r>
      <w:r>
        <w:rPr/>
        <w:t>default</w:t>
      </w:r>
    </w:p>
    <w:p>
      <w:pPr>
        <w:pStyle w:val="BodyText"/>
        <w:ind w:left="100"/>
      </w:pPr>
      <w:r>
        <w:rPr/>
        <w:t>judgment set aside so that his review application can be heard on its merits.</w:t>
      </w:r>
    </w:p>
    <w:p>
      <w:pPr>
        <w:pStyle w:val="BodyText"/>
        <w:spacing w:line="360" w:lineRule="auto" w:before="137"/>
        <w:ind w:left="100" w:firstLine="719"/>
      </w:pPr>
      <w:r>
        <w:rPr/>
        <w:t>The test for rescission of judgement is settled. See Stockhill v Griffiths 1992(1) ZLR 172 (SC). Each of the tests is addressed below;</w:t>
      </w:r>
    </w:p>
    <w:p>
      <w:pPr>
        <w:pStyle w:val="BodyText"/>
        <w:spacing w:before="1"/>
        <w:rPr>
          <w:sz w:val="36"/>
        </w:rPr>
      </w:pPr>
    </w:p>
    <w:p>
      <w:pPr>
        <w:pStyle w:val="Heading1"/>
        <w:spacing w:before="1"/>
        <w:jc w:val="both"/>
      </w:pPr>
      <w:r>
        <w:rPr>
          <w:u w:val="thick"/>
        </w:rPr>
        <w:t>Explanation for the default and the bona fides of the same</w:t>
      </w:r>
    </w:p>
    <w:p>
      <w:pPr>
        <w:pStyle w:val="BodyText"/>
        <w:spacing w:line="360" w:lineRule="auto" w:before="136"/>
        <w:ind w:left="100" w:right="120"/>
        <w:jc w:val="both"/>
      </w:pPr>
      <w:r>
        <w:rPr/>
        <w:t>The employee maintains that he defaulted because he was not aware of the set down date. He states further that service was effected on his union representatives yet he had prior to that service informed the court through the Registrar of his change of address. A reading of the</w:t>
      </w:r>
    </w:p>
    <w:p>
      <w:pPr>
        <w:spacing w:after="0" w:line="360" w:lineRule="auto"/>
        <w:jc w:val="both"/>
        <w:sectPr>
          <w:type w:val="continuous"/>
          <w:pgSz w:w="11910" w:h="16840"/>
          <w:pgMar w:top="1580" w:bottom="280" w:left="1340" w:right="1320"/>
        </w:sectPr>
      </w:pPr>
    </w:p>
    <w:p>
      <w:pPr>
        <w:pStyle w:val="BodyText"/>
        <w:spacing w:before="3"/>
        <w:rPr>
          <w:sz w:val="9"/>
        </w:rPr>
      </w:pPr>
    </w:p>
    <w:p>
      <w:pPr>
        <w:pStyle w:val="BodyText"/>
        <w:spacing w:line="360" w:lineRule="auto" w:before="90"/>
        <w:ind w:left="100" w:right="113"/>
        <w:jc w:val="both"/>
      </w:pPr>
      <w:r>
        <w:rPr/>
        <w:t>record shows that on 12 September 2022 the employee filed with the Registrar a document bearing his address of service being distinct from the union’s address. The Union in its oral address to the court stated that there were administrative issues that dogged the union during that</w:t>
      </w:r>
      <w:r>
        <w:rPr>
          <w:spacing w:val="-9"/>
        </w:rPr>
        <w:t> </w:t>
      </w:r>
      <w:r>
        <w:rPr/>
        <w:t>period</w:t>
      </w:r>
      <w:r>
        <w:rPr>
          <w:spacing w:val="-8"/>
        </w:rPr>
        <w:t> </w:t>
      </w:r>
      <w:r>
        <w:rPr/>
        <w:t>to</w:t>
      </w:r>
      <w:r>
        <w:rPr>
          <w:spacing w:val="-8"/>
        </w:rPr>
        <w:t> </w:t>
      </w:r>
      <w:r>
        <w:rPr/>
        <w:t>the</w:t>
      </w:r>
      <w:r>
        <w:rPr>
          <w:spacing w:val="-8"/>
        </w:rPr>
        <w:t> </w:t>
      </w:r>
      <w:r>
        <w:rPr/>
        <w:t>extent</w:t>
      </w:r>
      <w:r>
        <w:rPr>
          <w:spacing w:val="-9"/>
        </w:rPr>
        <w:t> </w:t>
      </w:r>
      <w:r>
        <w:rPr/>
        <w:t>that</w:t>
      </w:r>
      <w:r>
        <w:rPr>
          <w:spacing w:val="-8"/>
        </w:rPr>
        <w:t> </w:t>
      </w:r>
      <w:r>
        <w:rPr/>
        <w:t>over</w:t>
      </w:r>
      <w:r>
        <w:rPr>
          <w:spacing w:val="-9"/>
        </w:rPr>
        <w:t> </w:t>
      </w:r>
      <w:r>
        <w:rPr/>
        <w:t>that</w:t>
      </w:r>
      <w:r>
        <w:rPr>
          <w:spacing w:val="-8"/>
        </w:rPr>
        <w:t> </w:t>
      </w:r>
      <w:r>
        <w:rPr/>
        <w:t>period</w:t>
      </w:r>
      <w:r>
        <w:rPr>
          <w:spacing w:val="-9"/>
        </w:rPr>
        <w:t> </w:t>
      </w:r>
      <w:r>
        <w:rPr/>
        <w:t>the</w:t>
      </w:r>
      <w:r>
        <w:rPr>
          <w:spacing w:val="-6"/>
        </w:rPr>
        <w:t> </w:t>
      </w:r>
      <w:r>
        <w:rPr/>
        <w:t>employee</w:t>
      </w:r>
      <w:r>
        <w:rPr>
          <w:spacing w:val="-10"/>
        </w:rPr>
        <w:t> </w:t>
      </w:r>
      <w:r>
        <w:rPr/>
        <w:t>assumed</w:t>
      </w:r>
      <w:r>
        <w:rPr>
          <w:spacing w:val="-6"/>
        </w:rPr>
        <w:t> </w:t>
      </w:r>
      <w:r>
        <w:rPr/>
        <w:t>self-acting</w:t>
      </w:r>
      <w:r>
        <w:rPr>
          <w:spacing w:val="-8"/>
        </w:rPr>
        <w:t> </w:t>
      </w:r>
      <w:r>
        <w:rPr/>
        <w:t>status</w:t>
      </w:r>
      <w:r>
        <w:rPr>
          <w:spacing w:val="-7"/>
        </w:rPr>
        <w:t> </w:t>
      </w:r>
      <w:r>
        <w:rPr/>
        <w:t>but</w:t>
      </w:r>
      <w:r>
        <w:rPr>
          <w:spacing w:val="-8"/>
        </w:rPr>
        <w:t> </w:t>
      </w:r>
      <w:r>
        <w:rPr/>
        <w:t>at</w:t>
      </w:r>
      <w:r>
        <w:rPr>
          <w:spacing w:val="-7"/>
        </w:rPr>
        <w:t> </w:t>
      </w:r>
      <w:r>
        <w:rPr/>
        <w:t>the timer of filing of the rescission of judgment application or the union was functional to the extent that it again was representing the employee. If the court buys the union’s story it can excuse the employee’s inelegantly crafted notification of the change of address. To that</w:t>
      </w:r>
      <w:r>
        <w:rPr>
          <w:spacing w:val="-27"/>
        </w:rPr>
        <w:t> </w:t>
      </w:r>
      <w:r>
        <w:rPr/>
        <w:t>extent it would thus have been wrong for the court to serve the notification to attend the hearing on the union. It is clear that the employee at least made an effort to advise the court of the new address albeit inelegantly. The judgment which was granted on the basis of the return of sermon on the union can thus not stand in the face of the document of 12 September 2022. It is also settled that the enquiry is a holistic one so there is need for the court to deal with the other</w:t>
      </w:r>
      <w:r>
        <w:rPr>
          <w:spacing w:val="-11"/>
        </w:rPr>
        <w:t> </w:t>
      </w:r>
      <w:r>
        <w:rPr/>
        <w:t>tenets</w:t>
      </w:r>
      <w:r>
        <w:rPr>
          <w:spacing w:val="-8"/>
        </w:rPr>
        <w:t> </w:t>
      </w:r>
      <w:r>
        <w:rPr/>
        <w:t>before</w:t>
      </w:r>
      <w:r>
        <w:rPr>
          <w:spacing w:val="-10"/>
        </w:rPr>
        <w:t> </w:t>
      </w:r>
      <w:r>
        <w:rPr/>
        <w:t>a</w:t>
      </w:r>
      <w:r>
        <w:rPr>
          <w:spacing w:val="-10"/>
        </w:rPr>
        <w:t> </w:t>
      </w:r>
      <w:r>
        <w:rPr/>
        <w:t>conclusion</w:t>
      </w:r>
      <w:r>
        <w:rPr>
          <w:spacing w:val="-9"/>
        </w:rPr>
        <w:t> </w:t>
      </w:r>
      <w:r>
        <w:rPr/>
        <w:t>can</w:t>
      </w:r>
      <w:r>
        <w:rPr>
          <w:spacing w:val="-9"/>
        </w:rPr>
        <w:t> </w:t>
      </w:r>
      <w:r>
        <w:rPr/>
        <w:t>be</w:t>
      </w:r>
      <w:r>
        <w:rPr>
          <w:spacing w:val="-11"/>
        </w:rPr>
        <w:t> </w:t>
      </w:r>
      <w:r>
        <w:rPr/>
        <w:t>reached</w:t>
      </w:r>
      <w:r>
        <w:rPr>
          <w:spacing w:val="-9"/>
        </w:rPr>
        <w:t> </w:t>
      </w:r>
      <w:r>
        <w:rPr/>
        <w:t>on</w:t>
      </w:r>
      <w:r>
        <w:rPr>
          <w:spacing w:val="-6"/>
        </w:rPr>
        <w:t> </w:t>
      </w:r>
      <w:r>
        <w:rPr/>
        <w:t>whether</w:t>
      </w:r>
      <w:r>
        <w:rPr>
          <w:spacing w:val="-9"/>
        </w:rPr>
        <w:t> </w:t>
      </w:r>
      <w:r>
        <w:rPr/>
        <w:t>or</w:t>
      </w:r>
      <w:r>
        <w:rPr>
          <w:spacing w:val="-9"/>
        </w:rPr>
        <w:t> </w:t>
      </w:r>
      <w:r>
        <w:rPr/>
        <w:t>not</w:t>
      </w:r>
      <w:r>
        <w:rPr>
          <w:spacing w:val="-8"/>
        </w:rPr>
        <w:t> </w:t>
      </w:r>
      <w:r>
        <w:rPr/>
        <w:t>the</w:t>
      </w:r>
      <w:r>
        <w:rPr>
          <w:spacing w:val="-10"/>
        </w:rPr>
        <w:t> </w:t>
      </w:r>
      <w:r>
        <w:rPr/>
        <w:t>court</w:t>
      </w:r>
      <w:r>
        <w:rPr>
          <w:spacing w:val="-9"/>
        </w:rPr>
        <w:t> </w:t>
      </w:r>
      <w:r>
        <w:rPr/>
        <w:t>can</w:t>
      </w:r>
      <w:r>
        <w:rPr>
          <w:spacing w:val="-9"/>
        </w:rPr>
        <w:t> </w:t>
      </w:r>
      <w:r>
        <w:rPr/>
        <w:t>grant</w:t>
      </w:r>
      <w:r>
        <w:rPr>
          <w:spacing w:val="-8"/>
        </w:rPr>
        <w:t> </w:t>
      </w:r>
      <w:r>
        <w:rPr/>
        <w:t>rescission of judgment.</w:t>
      </w:r>
    </w:p>
    <w:p>
      <w:pPr>
        <w:pStyle w:val="BodyText"/>
        <w:spacing w:before="11"/>
        <w:rPr>
          <w:sz w:val="35"/>
        </w:rPr>
      </w:pPr>
    </w:p>
    <w:p>
      <w:pPr>
        <w:pStyle w:val="Heading1"/>
        <w:jc w:val="both"/>
      </w:pPr>
      <w:r>
        <w:rPr>
          <w:u w:val="thick"/>
        </w:rPr>
        <w:t>Prospects of success on the merits</w:t>
      </w:r>
    </w:p>
    <w:p>
      <w:pPr>
        <w:pStyle w:val="BodyText"/>
        <w:spacing w:line="360" w:lineRule="auto" w:before="137"/>
        <w:ind w:left="100" w:right="113"/>
        <w:jc w:val="both"/>
      </w:pPr>
      <w:r>
        <w:rPr/>
        <w:t>It is settled that an application stands/falls on the basis of the affidavit. See Director of Civil Aviation v Hall 1990(2) ZLR 354. In the case at hand the employee did not at all attempt to address the prospects of his founding affidavit. This is so despite the fact that at the time of the lodging of the rescission of judgement he now had trade union representation. The assumption is that he now had the benefit of representation of persons who appreciate what should be pleaded in a case of this nature. The net result is that the court is left wondering which prospects the applicant had to justify the relief sought. The union has tried in the heads of argument to set out the prospects of success. Sadly, the law is clear that heads of argument are not pleadings and cannot be used to augment pleadings where they are found wanting See Blooming Lily Investments Pvt Ltd v Ontage Resources Pvt Ltd HC-H-1-21. What this</w:t>
      </w:r>
      <w:r>
        <w:rPr>
          <w:spacing w:val="-37"/>
        </w:rPr>
        <w:t> </w:t>
      </w:r>
      <w:r>
        <w:rPr/>
        <w:t>means is that the prospects remained locked in the applicant’s head so cannot assist in the rescission of judgment case. The court would have been persuaded to excuse applicant had he been</w:t>
      </w:r>
      <w:r>
        <w:rPr>
          <w:spacing w:val="-39"/>
        </w:rPr>
        <w:t> </w:t>
      </w:r>
      <w:r>
        <w:rPr/>
        <w:t>self- acting</w:t>
      </w:r>
      <w:r>
        <w:rPr>
          <w:spacing w:val="-8"/>
        </w:rPr>
        <w:t> </w:t>
      </w:r>
      <w:r>
        <w:rPr/>
        <w:t>but</w:t>
      </w:r>
      <w:r>
        <w:rPr>
          <w:spacing w:val="-7"/>
        </w:rPr>
        <w:t> </w:t>
      </w:r>
      <w:r>
        <w:rPr/>
        <w:t>on</w:t>
      </w:r>
      <w:r>
        <w:rPr>
          <w:spacing w:val="-8"/>
        </w:rPr>
        <w:t> </w:t>
      </w:r>
      <w:r>
        <w:rPr/>
        <w:t>account</w:t>
      </w:r>
      <w:r>
        <w:rPr>
          <w:spacing w:val="-7"/>
        </w:rPr>
        <w:t> </w:t>
      </w:r>
      <w:r>
        <w:rPr/>
        <w:t>of</w:t>
      </w:r>
      <w:r>
        <w:rPr>
          <w:spacing w:val="-8"/>
        </w:rPr>
        <w:t> </w:t>
      </w:r>
      <w:r>
        <w:rPr/>
        <w:t>the</w:t>
      </w:r>
      <w:r>
        <w:rPr>
          <w:spacing w:val="-9"/>
        </w:rPr>
        <w:t> </w:t>
      </w:r>
      <w:r>
        <w:rPr/>
        <w:t>fact</w:t>
      </w:r>
      <w:r>
        <w:rPr>
          <w:spacing w:val="-8"/>
        </w:rPr>
        <w:t> </w:t>
      </w:r>
      <w:r>
        <w:rPr/>
        <w:t>that</w:t>
      </w:r>
      <w:r>
        <w:rPr>
          <w:spacing w:val="-8"/>
        </w:rPr>
        <w:t> </w:t>
      </w:r>
      <w:r>
        <w:rPr/>
        <w:t>he</w:t>
      </w:r>
      <w:r>
        <w:rPr>
          <w:spacing w:val="-4"/>
        </w:rPr>
        <w:t> </w:t>
      </w:r>
      <w:r>
        <w:rPr/>
        <w:t>is</w:t>
      </w:r>
      <w:r>
        <w:rPr>
          <w:spacing w:val="-7"/>
        </w:rPr>
        <w:t> </w:t>
      </w:r>
      <w:r>
        <w:rPr/>
        <w:t>represented</w:t>
      </w:r>
      <w:r>
        <w:rPr>
          <w:spacing w:val="-7"/>
        </w:rPr>
        <w:t> </w:t>
      </w:r>
      <w:r>
        <w:rPr/>
        <w:t>it</w:t>
      </w:r>
      <w:r>
        <w:rPr>
          <w:spacing w:val="-7"/>
        </w:rPr>
        <w:t> </w:t>
      </w:r>
      <w:r>
        <w:rPr/>
        <w:t>in</w:t>
      </w:r>
      <w:r>
        <w:rPr>
          <w:spacing w:val="-8"/>
        </w:rPr>
        <w:t> </w:t>
      </w:r>
      <w:r>
        <w:rPr/>
        <w:t>the</w:t>
      </w:r>
      <w:r>
        <w:rPr>
          <w:spacing w:val="-8"/>
        </w:rPr>
        <w:t> </w:t>
      </w:r>
      <w:r>
        <w:rPr/>
        <w:t>court’s</w:t>
      </w:r>
      <w:r>
        <w:rPr>
          <w:spacing w:val="-8"/>
        </w:rPr>
        <w:t> </w:t>
      </w:r>
      <w:r>
        <w:rPr/>
        <w:t>view</w:t>
      </w:r>
      <w:r>
        <w:rPr>
          <w:spacing w:val="-9"/>
        </w:rPr>
        <w:t> </w:t>
      </w:r>
      <w:r>
        <w:rPr/>
        <w:t>that</w:t>
      </w:r>
      <w:r>
        <w:rPr>
          <w:spacing w:val="-7"/>
        </w:rPr>
        <w:t> </w:t>
      </w:r>
      <w:r>
        <w:rPr/>
        <w:t>he</w:t>
      </w:r>
      <w:r>
        <w:rPr>
          <w:spacing w:val="-9"/>
        </w:rPr>
        <w:t> </w:t>
      </w:r>
      <w:r>
        <w:rPr/>
        <w:t>should</w:t>
      </w:r>
      <w:r>
        <w:rPr>
          <w:spacing w:val="-9"/>
        </w:rPr>
        <w:t> </w:t>
      </w:r>
      <w:r>
        <w:rPr/>
        <w:t>have complied with the law. In the result the court is satisfied that no good case for the rescission of judgment has been made out on the prospects</w:t>
      </w:r>
      <w:r>
        <w:rPr>
          <w:spacing w:val="-1"/>
        </w:rPr>
        <w:t> </w:t>
      </w:r>
      <w:r>
        <w:rPr/>
        <w:t>plane.</w:t>
      </w:r>
    </w:p>
    <w:p>
      <w:pPr>
        <w:spacing w:after="0" w:line="360" w:lineRule="auto"/>
        <w:jc w:val="both"/>
        <w:sectPr>
          <w:headerReference w:type="default" r:id="rId5"/>
          <w:pgSz w:w="11910" w:h="16840"/>
          <w:pgMar w:header="763" w:footer="0" w:top="1580" w:bottom="280" w:left="1340" w:right="1320"/>
          <w:pgNumType w:start="2"/>
        </w:sectPr>
      </w:pPr>
    </w:p>
    <w:p>
      <w:pPr>
        <w:pStyle w:val="BodyText"/>
        <w:spacing w:before="3"/>
        <w:rPr>
          <w:sz w:val="9"/>
        </w:rPr>
      </w:pPr>
    </w:p>
    <w:p>
      <w:pPr>
        <w:pStyle w:val="Heading1"/>
        <w:spacing w:before="90"/>
        <w:jc w:val="both"/>
      </w:pPr>
      <w:r>
        <w:rPr>
          <w:u w:val="thick"/>
        </w:rPr>
        <w:t>Interests of justice and finality to litigation</w:t>
      </w:r>
    </w:p>
    <w:p>
      <w:pPr>
        <w:pStyle w:val="BodyText"/>
        <w:spacing w:line="360" w:lineRule="auto" w:before="136"/>
        <w:ind w:left="100" w:right="115"/>
        <w:jc w:val="both"/>
      </w:pPr>
      <w:r>
        <w:rPr/>
        <w:t>A look at the facts of the case demonstrates that closure to the matter can only be reached if the</w:t>
      </w:r>
      <w:r>
        <w:rPr>
          <w:spacing w:val="-12"/>
        </w:rPr>
        <w:t> </w:t>
      </w:r>
      <w:r>
        <w:rPr/>
        <w:t>merits</w:t>
      </w:r>
      <w:r>
        <w:rPr>
          <w:spacing w:val="-10"/>
        </w:rPr>
        <w:t> </w:t>
      </w:r>
      <w:r>
        <w:rPr/>
        <w:t>of</w:t>
      </w:r>
      <w:r>
        <w:rPr>
          <w:spacing w:val="-9"/>
        </w:rPr>
        <w:t> </w:t>
      </w:r>
      <w:r>
        <w:rPr/>
        <w:t>review</w:t>
      </w:r>
      <w:r>
        <w:rPr>
          <w:spacing w:val="-12"/>
        </w:rPr>
        <w:t> </w:t>
      </w:r>
      <w:r>
        <w:rPr/>
        <w:t>are</w:t>
      </w:r>
      <w:r>
        <w:rPr>
          <w:spacing w:val="-9"/>
        </w:rPr>
        <w:t> </w:t>
      </w:r>
      <w:r>
        <w:rPr/>
        <w:t>entertained.</w:t>
      </w:r>
      <w:r>
        <w:rPr>
          <w:spacing w:val="45"/>
        </w:rPr>
        <w:t> </w:t>
      </w:r>
      <w:r>
        <w:rPr/>
        <w:t>That</w:t>
      </w:r>
      <w:r>
        <w:rPr>
          <w:spacing w:val="-11"/>
        </w:rPr>
        <w:t> </w:t>
      </w:r>
      <w:r>
        <w:rPr/>
        <w:t>would</w:t>
      </w:r>
      <w:r>
        <w:rPr>
          <w:spacing w:val="-8"/>
        </w:rPr>
        <w:t> </w:t>
      </w:r>
      <w:r>
        <w:rPr/>
        <w:t>seal</w:t>
      </w:r>
      <w:r>
        <w:rPr>
          <w:spacing w:val="-9"/>
        </w:rPr>
        <w:t> </w:t>
      </w:r>
      <w:r>
        <w:rPr/>
        <w:t>the</w:t>
      </w:r>
      <w:r>
        <w:rPr>
          <w:spacing w:val="-9"/>
        </w:rPr>
        <w:t> </w:t>
      </w:r>
      <w:r>
        <w:rPr/>
        <w:t>fate</w:t>
      </w:r>
      <w:r>
        <w:rPr>
          <w:spacing w:val="-8"/>
        </w:rPr>
        <w:t> </w:t>
      </w:r>
      <w:r>
        <w:rPr/>
        <w:t>of</w:t>
      </w:r>
      <w:r>
        <w:rPr>
          <w:spacing w:val="-11"/>
        </w:rPr>
        <w:t> </w:t>
      </w:r>
      <w:r>
        <w:rPr/>
        <w:t>the</w:t>
      </w:r>
      <w:r>
        <w:rPr>
          <w:spacing w:val="-11"/>
        </w:rPr>
        <w:t> </w:t>
      </w:r>
      <w:r>
        <w:rPr/>
        <w:t>matter</w:t>
      </w:r>
      <w:r>
        <w:rPr>
          <w:spacing w:val="-10"/>
        </w:rPr>
        <w:t> </w:t>
      </w:r>
      <w:r>
        <w:rPr/>
        <w:t>at</w:t>
      </w:r>
      <w:r>
        <w:rPr>
          <w:spacing w:val="-10"/>
        </w:rPr>
        <w:t> </w:t>
      </w:r>
      <w:r>
        <w:rPr/>
        <w:t>the</w:t>
      </w:r>
      <w:r>
        <w:rPr>
          <w:spacing w:val="-11"/>
        </w:rPr>
        <w:t> </w:t>
      </w:r>
      <w:r>
        <w:rPr/>
        <w:t>Labour</w:t>
      </w:r>
      <w:r>
        <w:rPr>
          <w:spacing w:val="-9"/>
        </w:rPr>
        <w:t> </w:t>
      </w:r>
      <w:r>
        <w:rPr/>
        <w:t>Court. It is in the interests of justice that the matter be concluded on its merits as that gives finality</w:t>
      </w:r>
      <w:r>
        <w:rPr>
          <w:spacing w:val="-27"/>
        </w:rPr>
        <w:t> </w:t>
      </w:r>
      <w:r>
        <w:rPr/>
        <w:t>to litigation on the</w:t>
      </w:r>
      <w:r>
        <w:rPr>
          <w:spacing w:val="-1"/>
        </w:rPr>
        <w:t> </w:t>
      </w:r>
      <w:r>
        <w:rPr/>
        <w:t>matter.</w:t>
      </w:r>
    </w:p>
    <w:p>
      <w:pPr>
        <w:pStyle w:val="BodyText"/>
        <w:spacing w:line="360" w:lineRule="auto" w:before="1"/>
        <w:ind w:left="100" w:right="125"/>
        <w:jc w:val="both"/>
      </w:pPr>
      <w:r>
        <w:rPr/>
        <w:t>The cumulative effect of the tests discussed above tilts the scale in favour of the grant of rescission so that the case be heard on its merits in finality to litigation.</w:t>
      </w:r>
    </w:p>
    <w:p>
      <w:pPr>
        <w:pStyle w:val="BodyText"/>
        <w:spacing w:before="10"/>
        <w:rPr>
          <w:sz w:val="35"/>
        </w:rPr>
      </w:pPr>
    </w:p>
    <w:p>
      <w:pPr>
        <w:pStyle w:val="Heading1"/>
        <w:spacing w:before="1"/>
        <w:jc w:val="both"/>
      </w:pPr>
      <w:r>
        <w:rPr/>
        <w:t>IT IS ORDERED THAT</w:t>
      </w:r>
    </w:p>
    <w:p>
      <w:pPr>
        <w:pStyle w:val="BodyText"/>
        <w:spacing w:line="360" w:lineRule="auto" w:before="139"/>
        <w:ind w:left="100" w:right="118"/>
        <w:jc w:val="both"/>
      </w:pPr>
      <w:r>
        <w:rPr/>
        <w:t>Application for rescission of judgment be and is hereby granted with each party bearing own costs.</w:t>
      </w:r>
    </w:p>
    <w:p>
      <w:pPr>
        <w:pStyle w:val="BodyText"/>
        <w:rPr>
          <w:sz w:val="26"/>
        </w:rPr>
      </w:pPr>
    </w:p>
    <w:p>
      <w:pPr>
        <w:pStyle w:val="BodyText"/>
        <w:rPr>
          <w:sz w:val="26"/>
        </w:rPr>
      </w:pPr>
    </w:p>
    <w:p>
      <w:pPr>
        <w:spacing w:before="230"/>
        <w:ind w:left="100" w:right="0" w:firstLine="0"/>
        <w:jc w:val="both"/>
        <w:rPr>
          <w:sz w:val="24"/>
        </w:rPr>
      </w:pPr>
      <w:r>
        <w:rPr>
          <w:i/>
          <w:sz w:val="24"/>
        </w:rPr>
        <w:t>Kantor &amp; Immerman</w:t>
      </w:r>
      <w:r>
        <w:rPr>
          <w:sz w:val="24"/>
        </w:rPr>
        <w:t>. Respondent’s Legal Practitioner</w:t>
      </w:r>
    </w:p>
    <w:sectPr>
      <w:pgSz w:w="11910" w:h="16840"/>
      <w:pgMar w:header="763" w:footer="0" w:top="158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rlito">
    <w:altName w:val="Carlito"/>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58.820007pt;margin-top:37.159985pt;width:67.7pt;height:39.950pt;mso-position-horizontal-relative:page;mso-position-vertical-relative:page;z-index:-15770112" type="#_x0000_t202" filled="false" stroked="false">
          <v:textbox inset="0,0,0,0">
            <w:txbxContent>
              <w:p>
                <w:pPr>
                  <w:spacing w:line="245" w:lineRule="exact" w:before="0"/>
                  <w:ind w:left="0" w:right="58" w:firstLine="0"/>
                  <w:jc w:val="right"/>
                  <w:rPr>
                    <w:rFonts w:ascii="Carlito"/>
                    <w:sz w:val="22"/>
                  </w:rPr>
                </w:pPr>
                <w:r>
                  <w:rPr/>
                  <w:fldChar w:fldCharType="begin"/>
                </w:r>
                <w:r>
                  <w:rPr>
                    <w:rFonts w:ascii="Carlito"/>
                    <w:w w:val="100"/>
                    <w:sz w:val="22"/>
                  </w:rPr>
                  <w:instrText> PAGE </w:instrText>
                </w:r>
                <w:r>
                  <w:rPr/>
                  <w:fldChar w:fldCharType="separate"/>
                </w:r>
                <w:r>
                  <w:rPr/>
                  <w:t>2</w:t>
                </w:r>
                <w:r>
                  <w:rPr/>
                  <w:fldChar w:fldCharType="end"/>
                </w:r>
              </w:p>
              <w:p>
                <w:pPr>
                  <w:spacing w:before="0"/>
                  <w:ind w:left="0" w:right="58" w:firstLine="0"/>
                  <w:jc w:val="right"/>
                  <w:rPr>
                    <w:rFonts w:ascii="Carlito"/>
                    <w:sz w:val="22"/>
                  </w:rPr>
                </w:pPr>
                <w:r>
                  <w:rPr>
                    <w:rFonts w:ascii="Carlito"/>
                    <w:sz w:val="22"/>
                  </w:rPr>
                  <w:t>LC/H/69/2023 LC/H/1009/22</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dcterms:created xsi:type="dcterms:W3CDTF">2023-05-15T09:47:05Z</dcterms:created>
  <dcterms:modified xsi:type="dcterms:W3CDTF">2023-05-15T09:47:05Z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Creator">
    <vt:lpwstr>Microsoft® Word 2019</vt:lpwstr>
  </property>
  <property fmtid="{D5CDD505-2E9C-101B-9397-08002B2CF9AE}" pid="4" name="LastSaved">
    <vt:filetime>2023-05-15T00:00:00Z</vt:filetime>
  </property>
</Properties>
</file>