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EA4" w:rsidRDefault="009B7F50">
      <w:pPr>
        <w:spacing w:after="0" w:line="240" w:lineRule="auto"/>
        <w:jc w:val="both"/>
        <w:rPr>
          <w:rFonts w:ascii="Times New Roman" w:hAnsi="Times New Roman" w:cs="Times New Roman"/>
          <w:sz w:val="24"/>
          <w:szCs w:val="24"/>
          <w:lang w:val="en-US"/>
        </w:rPr>
      </w:pPr>
      <w:bookmarkStart w:id="0" w:name="_Hlk198727269"/>
      <w:bookmarkStart w:id="1" w:name="_GoBack"/>
      <w:bookmarkEnd w:id="1"/>
      <w:r>
        <w:rPr>
          <w:rFonts w:ascii="Times New Roman" w:hAnsi="Times New Roman" w:cs="Times New Roman"/>
          <w:sz w:val="24"/>
          <w:szCs w:val="24"/>
        </w:rPr>
        <w:t xml:space="preserve">MAKOMBORERO MUZA  </w:t>
      </w:r>
      <w:r>
        <w:rPr>
          <w:rFonts w:ascii="Times New Roman" w:hAnsi="Times New Roman" w:cs="Times New Roman"/>
          <w:sz w:val="24"/>
          <w:szCs w:val="24"/>
          <w:lang w:val="en-US"/>
        </w:rPr>
        <w:t xml:space="preserve"> </w:t>
      </w:r>
    </w:p>
    <w:p w:rsidR="00FA0EA4" w:rsidRDefault="009B7F5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0EA4" w:rsidRDefault="009B7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POSTS (PVT) LTD T/A ZIMPOST</w:t>
      </w:r>
    </w:p>
    <w:p w:rsidR="00FA0EA4" w:rsidRDefault="009B7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FA0EA4" w:rsidRDefault="009B7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ZIMPOST PROPERTIES (PVT) LTD T/A POST PROPERTIES </w:t>
      </w:r>
    </w:p>
    <w:p w:rsidR="00FA0EA4" w:rsidRDefault="00FA0EA4">
      <w:pPr>
        <w:jc w:val="both"/>
        <w:rPr>
          <w:rFonts w:ascii="Times New Roman" w:hAnsi="Times New Roman" w:cs="Times New Roman"/>
          <w:sz w:val="24"/>
          <w:szCs w:val="24"/>
        </w:rPr>
      </w:pPr>
    </w:p>
    <w:p w:rsidR="00FA0EA4" w:rsidRDefault="009B7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A0EA4" w:rsidRDefault="009B7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COMMERCIAL DIVISION </w:t>
      </w:r>
    </w:p>
    <w:p w:rsidR="00FA0EA4" w:rsidRDefault="009B7F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CHILIMBE &amp; MUSHURE JJ </w:t>
      </w:r>
    </w:p>
    <w:p w:rsidR="00FA0EA4" w:rsidRDefault="009B7F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June &amp; 10 September 2025</w:t>
      </w:r>
    </w:p>
    <w:p w:rsidR="00FA0EA4" w:rsidRDefault="00FA0EA4">
      <w:pPr>
        <w:jc w:val="both"/>
        <w:rPr>
          <w:rFonts w:ascii="Times New Roman" w:hAnsi="Times New Roman" w:cs="Times New Roman"/>
          <w:sz w:val="24"/>
          <w:szCs w:val="24"/>
        </w:rPr>
      </w:pPr>
    </w:p>
    <w:p w:rsidR="00FA0EA4" w:rsidRDefault="009B7F50">
      <w:pPr>
        <w:jc w:val="both"/>
        <w:rPr>
          <w:rFonts w:ascii="Times New Roman" w:hAnsi="Times New Roman" w:cs="Times New Roman"/>
          <w:b/>
          <w:sz w:val="24"/>
          <w:szCs w:val="24"/>
        </w:rPr>
      </w:pPr>
      <w:r>
        <w:rPr>
          <w:rFonts w:ascii="Times New Roman" w:hAnsi="Times New Roman" w:cs="Times New Roman"/>
          <w:b/>
          <w:sz w:val="24"/>
          <w:szCs w:val="24"/>
        </w:rPr>
        <w:t xml:space="preserve">Commercial Appeal </w:t>
      </w:r>
    </w:p>
    <w:p w:rsidR="00FA0EA4" w:rsidRDefault="00FA0EA4">
      <w:pPr>
        <w:spacing w:after="0" w:line="240" w:lineRule="auto"/>
        <w:jc w:val="both"/>
        <w:rPr>
          <w:rFonts w:ascii="Times New Roman" w:hAnsi="Times New Roman" w:cs="Times New Roman"/>
          <w:sz w:val="24"/>
          <w:szCs w:val="24"/>
        </w:rPr>
      </w:pPr>
    </w:p>
    <w:p w:rsidR="00FA0EA4" w:rsidRDefault="009B7F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Ziro</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appellant </w:t>
      </w:r>
    </w:p>
    <w:p w:rsidR="00FA0EA4" w:rsidRDefault="009B7F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Makoni</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respondents</w:t>
      </w:r>
    </w:p>
    <w:p w:rsidR="00FA0EA4" w:rsidRDefault="00FA0EA4">
      <w:pPr>
        <w:jc w:val="both"/>
        <w:rPr>
          <w:rFonts w:ascii="Times New Roman" w:hAnsi="Times New Roman" w:cs="Times New Roman"/>
          <w:sz w:val="24"/>
          <w:szCs w:val="24"/>
        </w:rPr>
      </w:pPr>
    </w:p>
    <w:p w:rsidR="00FA0EA4" w:rsidRDefault="009B7F50">
      <w:pPr>
        <w:ind w:firstLine="720"/>
        <w:jc w:val="both"/>
        <w:rPr>
          <w:rFonts w:ascii="Times New Roman" w:hAnsi="Times New Roman" w:cs="Times New Roman"/>
          <w:sz w:val="24"/>
          <w:szCs w:val="24"/>
        </w:rPr>
      </w:pPr>
      <w:r>
        <w:rPr>
          <w:rFonts w:ascii="Times New Roman" w:hAnsi="Times New Roman" w:cs="Times New Roman"/>
          <w:sz w:val="24"/>
          <w:szCs w:val="24"/>
        </w:rPr>
        <w:t xml:space="preserve">MUSHURE J: </w:t>
      </w:r>
    </w:p>
    <w:p w:rsidR="00FA0EA4" w:rsidRDefault="009B7F50">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INTRODUCTION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This is an appeal against the whole judgment of the magistrates’ court handed down on 7 January 2025 granting the respondents’ claim for eviction, payment of arrear rentals and h</w:t>
      </w:r>
      <w:r>
        <w:rPr>
          <w:rFonts w:ascii="Times New Roman" w:hAnsi="Times New Roman" w:cs="Times New Roman"/>
          <w:sz w:val="24"/>
          <w:szCs w:val="24"/>
        </w:rPr>
        <w:t>olding over damages.</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facts are that in 2019, the first respondent, through its subsidiary the second respondent, entered into a renewable two-year lease agreement with the appellant for a shop known as shop number B7 at Harare Main Post Office (‘the sh</w:t>
      </w:r>
      <w:r>
        <w:rPr>
          <w:rFonts w:ascii="Times New Roman" w:hAnsi="Times New Roman" w:cs="Times New Roman"/>
          <w:sz w:val="24"/>
          <w:szCs w:val="24"/>
        </w:rPr>
        <w:t xml:space="preserve">op’). According to the respondents, the agreed rental was three-hundred United States dollars, exclusive of value added tax and operation costs. On 2 March 2023, the parties agreed to extend the lease agreement to 31 December 2023 and to that effect, they </w:t>
      </w:r>
      <w:r>
        <w:rPr>
          <w:rFonts w:ascii="Times New Roman" w:hAnsi="Times New Roman" w:cs="Times New Roman"/>
          <w:sz w:val="24"/>
          <w:szCs w:val="24"/>
        </w:rPr>
        <w:t>signed an addendum to the lease agreement. Contrary to the terms of the lease agreement, the appellant failed to pay the agreed monthly rentals, prompting the respondents to give the appellant notice to remedy the breach within 14 days from 14 November 202</w:t>
      </w:r>
      <w:r>
        <w:rPr>
          <w:rFonts w:ascii="Times New Roman" w:hAnsi="Times New Roman" w:cs="Times New Roman"/>
          <w:sz w:val="24"/>
          <w:szCs w:val="24"/>
        </w:rPr>
        <w:t xml:space="preserve">3. The appellant did not remedy the breach. Consequently, the respondents proceeded to cancel the lease agreement.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respondents then sued summons out of the magistrates’ court, seeking the appellant’s eviction from the shop; payment of arrear rentals i</w:t>
      </w:r>
      <w:r>
        <w:rPr>
          <w:rFonts w:ascii="Times New Roman" w:hAnsi="Times New Roman" w:cs="Times New Roman"/>
          <w:sz w:val="24"/>
          <w:szCs w:val="24"/>
        </w:rPr>
        <w:t>n the sum of US$4 416.25 or its equivalent in local currency at the prevailing bank rate; US$347</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 as holding over </w:t>
      </w:r>
      <w:r>
        <w:rPr>
          <w:rFonts w:ascii="Times New Roman" w:hAnsi="Times New Roman" w:cs="Times New Roman"/>
          <w:sz w:val="24"/>
          <w:szCs w:val="24"/>
        </w:rPr>
        <w:lastRenderedPageBreak/>
        <w:t xml:space="preserve">damages per month from 1 November 2023 to the date of payment in full; interest and costs of suit on a punitive scale.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 appellant defend</w:t>
      </w:r>
      <w:r>
        <w:rPr>
          <w:rFonts w:ascii="Times New Roman" w:hAnsi="Times New Roman" w:cs="Times New Roman"/>
          <w:sz w:val="24"/>
          <w:szCs w:val="24"/>
        </w:rPr>
        <w:t>ed the action, pleading that the parties never agreed on US$300 as monthly rentals. He contended that the parties had agreed on ZW$300. The appellant denied breaching the agreement, asserting that he had agreed with the respondents’ employees to set off th</w:t>
      </w:r>
      <w:r>
        <w:rPr>
          <w:rFonts w:ascii="Times New Roman" w:hAnsi="Times New Roman" w:cs="Times New Roman"/>
          <w:sz w:val="24"/>
          <w:szCs w:val="24"/>
        </w:rPr>
        <w:t xml:space="preserve">e amounts owed for rentals against certain improvements the appellant had made on the shop, after he had been a victim of several burglaries. He accused the respondents on being coy and evasive in discussing and finalising this issue. The appellant argued </w:t>
      </w:r>
      <w:r>
        <w:rPr>
          <w:rFonts w:ascii="Times New Roman" w:hAnsi="Times New Roman" w:cs="Times New Roman"/>
          <w:sz w:val="24"/>
          <w:szCs w:val="24"/>
        </w:rPr>
        <w:t>that the respondents owed him US$9 000, being the amount he had expended on aesthetic and security improvements on the shop. Whilst acknowledging that a notice had been issued, the appellant contended that it was without legal premise. To his knowledge, th</w:t>
      </w:r>
      <w:r>
        <w:rPr>
          <w:rFonts w:ascii="Times New Roman" w:hAnsi="Times New Roman" w:cs="Times New Roman"/>
          <w:sz w:val="24"/>
          <w:szCs w:val="24"/>
        </w:rPr>
        <w:t>e lease agreement had not been cancelled. The appellant questioned the computation and legal justification for holding over damages and the eviction claim. The appellant also counterclaimed US$9 000 for the improvements which, he said, he had done with the</w:t>
      </w:r>
      <w:r>
        <w:rPr>
          <w:rFonts w:ascii="Times New Roman" w:hAnsi="Times New Roman" w:cs="Times New Roman"/>
          <w:sz w:val="24"/>
          <w:szCs w:val="24"/>
        </w:rPr>
        <w:t xml:space="preserve"> respondents’ consent. He claimed that the respondents had failed, refused or neglected to pay or reimburse the US$9 000 despite demand.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At the pre-trial conference stage, the matter was referred for trial on the following issues: </w:t>
      </w:r>
    </w:p>
    <w:p w:rsidR="00FA0EA4" w:rsidRDefault="009B7F50">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Whether or not the </w:t>
      </w:r>
      <w:r>
        <w:rPr>
          <w:rFonts w:ascii="Times New Roman" w:hAnsi="Times New Roman" w:cs="Times New Roman"/>
        </w:rPr>
        <w:t>defendant owes the plaintiff outstanding rentals? If so, the quantum thereof?</w:t>
      </w:r>
    </w:p>
    <w:p w:rsidR="00FA0EA4" w:rsidRDefault="009B7F50">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Whether or not the defendant has a lawful right to remain in occupation of Shop No. B7 Harare Main Post Office?</w:t>
      </w:r>
    </w:p>
    <w:p w:rsidR="00FA0EA4" w:rsidRDefault="009B7F50">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Whether or not the defendant must pay holding-over damages. </w:t>
      </w:r>
    </w:p>
    <w:p w:rsidR="00FA0EA4" w:rsidRDefault="009B7F50">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Whether or not the plaintiff is liable to the defendant in the sum of USD 9,000.00 for the improvements effected to the shop?</w:t>
      </w:r>
    </w:p>
    <w:p w:rsidR="00FA0EA4" w:rsidRDefault="009B7F50">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Whether or not the plaintiff should pay costs? If so, the scale applicable thereof. </w:t>
      </w:r>
    </w:p>
    <w:p w:rsidR="00FA0EA4" w:rsidRDefault="00FA0EA4">
      <w:pPr>
        <w:pStyle w:val="ListParagraph"/>
        <w:spacing w:after="0" w:line="240" w:lineRule="auto"/>
        <w:ind w:left="1080"/>
        <w:jc w:val="both"/>
        <w:rPr>
          <w:rFonts w:ascii="Times New Roman" w:hAnsi="Times New Roman" w:cs="Times New Roman"/>
        </w:rPr>
      </w:pP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court a </w:t>
      </w:r>
      <w:r>
        <w:rPr>
          <w:rFonts w:ascii="Times New Roman" w:hAnsi="Times New Roman" w:cs="Times New Roman"/>
          <w:i/>
          <w:iCs/>
          <w:sz w:val="24"/>
          <w:szCs w:val="24"/>
        </w:rPr>
        <w:t>quo</w:t>
      </w:r>
      <w:r>
        <w:rPr>
          <w:rFonts w:ascii="Times New Roman" w:hAnsi="Times New Roman" w:cs="Times New Roman"/>
          <w:sz w:val="24"/>
          <w:szCs w:val="24"/>
        </w:rPr>
        <w:t xml:space="preserve"> found in favour of the respo</w:t>
      </w:r>
      <w:r>
        <w:rPr>
          <w:rFonts w:ascii="Times New Roman" w:hAnsi="Times New Roman" w:cs="Times New Roman"/>
          <w:sz w:val="24"/>
          <w:szCs w:val="24"/>
        </w:rPr>
        <w:t>ndents and ordered that: -</w:t>
      </w:r>
    </w:p>
    <w:p w:rsidR="00FA0EA4" w:rsidRDefault="009B7F50">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The defendant and all those claiming occupation through him from shop no. B7 Harare Main Post Office to vacate within 7 days of receipt of this order. </w:t>
      </w:r>
    </w:p>
    <w:p w:rsidR="00FA0EA4" w:rsidRDefault="009B7F50">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Defendant to pay USD 4 416.25 or the equivalent in local currency at the prev</w:t>
      </w:r>
      <w:r>
        <w:rPr>
          <w:rFonts w:ascii="Times New Roman" w:hAnsi="Times New Roman" w:cs="Times New Roman"/>
        </w:rPr>
        <w:t xml:space="preserve">ailing bank rate. </w:t>
      </w:r>
    </w:p>
    <w:p w:rsidR="00FA0EA4" w:rsidRDefault="009B7F50">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Payment of USD 1 347.00 being holding over damages per month from 1 November 2023 to date of final settlement. </w:t>
      </w:r>
    </w:p>
    <w:p w:rsidR="00FA0EA4" w:rsidRDefault="009B7F50">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 xml:space="preserve">Interest at the prescribed rate from the date of summons to the date of final settlement. </w:t>
      </w:r>
    </w:p>
    <w:p w:rsidR="00FA0EA4" w:rsidRDefault="009B7F50">
      <w:pPr>
        <w:pStyle w:val="ListParagraph"/>
        <w:numPr>
          <w:ilvl w:val="0"/>
          <w:numId w:val="3"/>
        </w:numPr>
        <w:spacing w:line="240" w:lineRule="auto"/>
        <w:jc w:val="both"/>
        <w:rPr>
          <w:rFonts w:ascii="Times New Roman" w:hAnsi="Times New Roman" w:cs="Times New Roman"/>
        </w:rPr>
      </w:pPr>
      <w:r>
        <w:rPr>
          <w:rFonts w:ascii="Times New Roman" w:hAnsi="Times New Roman" w:cs="Times New Roman"/>
        </w:rPr>
        <w:t>Costs of suit”</w:t>
      </w:r>
    </w:p>
    <w:p w:rsidR="00FA0EA4" w:rsidRDefault="00FA0EA4">
      <w:pPr>
        <w:pStyle w:val="ListParagraph"/>
        <w:spacing w:line="240" w:lineRule="auto"/>
        <w:ind w:left="1080"/>
        <w:jc w:val="both"/>
        <w:rPr>
          <w:rFonts w:ascii="Times New Roman" w:hAnsi="Times New Roman" w:cs="Times New Roman"/>
        </w:rPr>
      </w:pP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With regards the </w:t>
      </w:r>
      <w:r>
        <w:rPr>
          <w:rFonts w:ascii="Times New Roman" w:hAnsi="Times New Roman" w:cs="Times New Roman"/>
          <w:sz w:val="24"/>
          <w:szCs w:val="24"/>
        </w:rPr>
        <w:t xml:space="preserve">counterclaim, the court a </w:t>
      </w:r>
      <w:r>
        <w:rPr>
          <w:rFonts w:ascii="Times New Roman" w:hAnsi="Times New Roman" w:cs="Times New Roman"/>
          <w:i/>
          <w:iCs/>
          <w:sz w:val="24"/>
          <w:szCs w:val="24"/>
        </w:rPr>
        <w:t>quo</w:t>
      </w:r>
      <w:r>
        <w:rPr>
          <w:rFonts w:ascii="Times New Roman" w:hAnsi="Times New Roman" w:cs="Times New Roman"/>
          <w:sz w:val="24"/>
          <w:szCs w:val="24"/>
        </w:rPr>
        <w:t xml:space="preserve"> found that the appellant had not discharged the onus to prove the improvements he had done on the shop.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Clearly unhappy with the turn of events, the appellant has appealed against the judgment of the court a </w:t>
      </w:r>
      <w:r>
        <w:rPr>
          <w:rFonts w:ascii="Times New Roman" w:hAnsi="Times New Roman" w:cs="Times New Roman"/>
          <w:i/>
          <w:iCs/>
          <w:sz w:val="24"/>
          <w:szCs w:val="24"/>
        </w:rPr>
        <w:t>quo</w:t>
      </w:r>
      <w:r>
        <w:rPr>
          <w:rFonts w:ascii="Times New Roman" w:hAnsi="Times New Roman" w:cs="Times New Roman"/>
          <w:sz w:val="24"/>
          <w:szCs w:val="24"/>
        </w:rPr>
        <w:t xml:space="preserve"> on the follow</w:t>
      </w:r>
      <w:r>
        <w:rPr>
          <w:rFonts w:ascii="Times New Roman" w:hAnsi="Times New Roman" w:cs="Times New Roman"/>
          <w:sz w:val="24"/>
          <w:szCs w:val="24"/>
        </w:rPr>
        <w:t xml:space="preserve">ing grounds: </w:t>
      </w:r>
    </w:p>
    <w:p w:rsidR="00FA0EA4" w:rsidRDefault="009B7F5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w:t>
      </w:r>
      <w:r>
        <w:rPr>
          <w:rFonts w:ascii="Times New Roman" w:hAnsi="Times New Roman" w:cs="Times New Roman"/>
          <w:i/>
          <w:iCs/>
          <w:sz w:val="24"/>
          <w:szCs w:val="24"/>
        </w:rPr>
        <w:t>quo</w:t>
      </w:r>
      <w:r>
        <w:rPr>
          <w:rFonts w:ascii="Times New Roman" w:hAnsi="Times New Roman" w:cs="Times New Roman"/>
          <w:sz w:val="24"/>
          <w:szCs w:val="24"/>
        </w:rPr>
        <w:t xml:space="preserve"> misdirected itself and erred on a point of law and fact in ordering eviction of appellant without confirmation of cancellation of the alleged contract sought or granted. </w:t>
      </w:r>
    </w:p>
    <w:p w:rsidR="00FA0EA4" w:rsidRDefault="009B7F5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w:t>
      </w:r>
      <w:r>
        <w:rPr>
          <w:rFonts w:ascii="Times New Roman" w:hAnsi="Times New Roman" w:cs="Times New Roman"/>
          <w:i/>
          <w:iCs/>
          <w:sz w:val="24"/>
          <w:szCs w:val="24"/>
        </w:rPr>
        <w:t>quo</w:t>
      </w:r>
      <w:r>
        <w:rPr>
          <w:rFonts w:ascii="Times New Roman" w:hAnsi="Times New Roman" w:cs="Times New Roman"/>
          <w:sz w:val="24"/>
          <w:szCs w:val="24"/>
        </w:rPr>
        <w:t xml:space="preserve"> misdirected itself and erred on a point</w:t>
      </w:r>
      <w:r>
        <w:rPr>
          <w:rFonts w:ascii="Times New Roman" w:hAnsi="Times New Roman" w:cs="Times New Roman"/>
          <w:sz w:val="24"/>
          <w:szCs w:val="24"/>
        </w:rPr>
        <w:t xml:space="preserve"> of law and fact in ordering payment of holding over damages and eviction of appellant on the ground of non-payment of rentals when it was clear from the evidence that parties had agreed to set off rentals with the amount from the improvements done by the </w:t>
      </w:r>
      <w:r>
        <w:rPr>
          <w:rFonts w:ascii="Times New Roman" w:hAnsi="Times New Roman" w:cs="Times New Roman"/>
          <w:sz w:val="24"/>
          <w:szCs w:val="24"/>
        </w:rPr>
        <w:t xml:space="preserve">appellant. </w:t>
      </w:r>
    </w:p>
    <w:p w:rsidR="00FA0EA4" w:rsidRDefault="009B7F5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w:t>
      </w:r>
      <w:r>
        <w:rPr>
          <w:rFonts w:ascii="Times New Roman" w:hAnsi="Times New Roman" w:cs="Times New Roman"/>
          <w:i/>
          <w:iCs/>
          <w:sz w:val="24"/>
          <w:szCs w:val="24"/>
        </w:rPr>
        <w:t>quo</w:t>
      </w:r>
      <w:r>
        <w:rPr>
          <w:rFonts w:ascii="Times New Roman" w:hAnsi="Times New Roman" w:cs="Times New Roman"/>
          <w:sz w:val="24"/>
          <w:szCs w:val="24"/>
        </w:rPr>
        <w:t xml:space="preserve"> misdirected itself and erred on a point of law and fact in ordering payment of holding over damages and eviction of appellant on the ground of non-payment of rentals when the alleged amount owed for rentals was not clear. </w:t>
      </w:r>
    </w:p>
    <w:p w:rsidR="00FA0EA4" w:rsidRDefault="009B7F5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c</w:t>
      </w:r>
      <w:r>
        <w:rPr>
          <w:rFonts w:ascii="Times New Roman" w:hAnsi="Times New Roman" w:cs="Times New Roman"/>
          <w:sz w:val="24"/>
          <w:szCs w:val="24"/>
        </w:rPr>
        <w:t xml:space="preserve">ourt a </w:t>
      </w:r>
      <w:r>
        <w:rPr>
          <w:rFonts w:ascii="Times New Roman" w:hAnsi="Times New Roman" w:cs="Times New Roman"/>
          <w:i/>
          <w:iCs/>
          <w:sz w:val="24"/>
          <w:szCs w:val="24"/>
        </w:rPr>
        <w:t>quo</w:t>
      </w:r>
      <w:r>
        <w:rPr>
          <w:rFonts w:ascii="Times New Roman" w:hAnsi="Times New Roman" w:cs="Times New Roman"/>
          <w:sz w:val="24"/>
          <w:szCs w:val="24"/>
        </w:rPr>
        <w:t xml:space="preserve"> misdirected itself and erred on a point of law and fact in dismissing appellant’s counter claim when it was clear from the evidence that the parties had agreed to set off rentals with the amount for the improvements done by the appellant, and th</w:t>
      </w:r>
      <w:r>
        <w:rPr>
          <w:rFonts w:ascii="Times New Roman" w:hAnsi="Times New Roman" w:cs="Times New Roman"/>
          <w:sz w:val="24"/>
          <w:szCs w:val="24"/>
        </w:rPr>
        <w:t>e appellant had proved his claim.</w:t>
      </w:r>
    </w:p>
    <w:p w:rsidR="00FA0EA4" w:rsidRDefault="009B7F50">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SUBMISSIONS BEFORE THIS COURT </w:t>
      </w:r>
    </w:p>
    <w:p w:rsidR="00FA0EA4" w:rsidRDefault="009B7F50">
      <w:pPr>
        <w:pStyle w:val="ListParagraph"/>
        <w:numPr>
          <w:ilvl w:val="0"/>
          <w:numId w:val="1"/>
        </w:numPr>
        <w:spacing w:line="360" w:lineRule="auto"/>
        <w:ind w:left="426" w:hanging="426"/>
        <w:jc w:val="both"/>
        <w:rPr>
          <w:rFonts w:ascii="Times New Roman" w:hAnsi="Times New Roman" w:cs="Times New Roman"/>
          <w:b/>
          <w:sz w:val="24"/>
          <w:szCs w:val="24"/>
        </w:rPr>
      </w:pPr>
      <w:r>
        <w:rPr>
          <w:rFonts w:ascii="Times New Roman" w:hAnsi="Times New Roman" w:cs="Times New Roman"/>
          <w:sz w:val="24"/>
          <w:szCs w:val="24"/>
        </w:rPr>
        <w:t xml:space="preserve">At the hearing of this appeal, Mr </w:t>
      </w:r>
      <w:proofErr w:type="spellStart"/>
      <w:r>
        <w:rPr>
          <w:rFonts w:ascii="Times New Roman" w:hAnsi="Times New Roman" w:cs="Times New Roman"/>
          <w:i/>
          <w:sz w:val="24"/>
          <w:szCs w:val="24"/>
        </w:rPr>
        <w:t>Ziro</w:t>
      </w:r>
      <w:proofErr w:type="spellEnd"/>
      <w:r>
        <w:rPr>
          <w:rFonts w:ascii="Times New Roman" w:hAnsi="Times New Roman" w:cs="Times New Roman"/>
          <w:sz w:val="24"/>
          <w:szCs w:val="24"/>
        </w:rPr>
        <w:t>, for the appellant, argued that an order for eviction becomes incompetent without ordering confirmation of cancellation of the lease agreement. He asserted that contrary to the position of the law, the respondents did not even seek an order for confirmati</w:t>
      </w:r>
      <w:r>
        <w:rPr>
          <w:rFonts w:ascii="Times New Roman" w:hAnsi="Times New Roman" w:cs="Times New Roman"/>
          <w:sz w:val="24"/>
          <w:szCs w:val="24"/>
        </w:rPr>
        <w:t>on of cancellation of the lease agreement. During discourse with the court, he could not pin point specific cases to support his averments. He then pointed out that the jurisprudence in this jurisdiction is inclined towards a party first seeking confirmati</w:t>
      </w:r>
      <w:r>
        <w:rPr>
          <w:rFonts w:ascii="Times New Roman" w:hAnsi="Times New Roman" w:cs="Times New Roman"/>
          <w:sz w:val="24"/>
          <w:szCs w:val="24"/>
        </w:rPr>
        <w:t xml:space="preserve">on of the cancellation of the lease agreement before ordering eviction. He conceded that the issue of the respondent’s failure to firstly seek cancellation of the lease agreement was not specifically raised in the court a </w:t>
      </w:r>
      <w:r>
        <w:rPr>
          <w:rFonts w:ascii="Times New Roman" w:hAnsi="Times New Roman" w:cs="Times New Roman"/>
          <w:i/>
          <w:iCs/>
          <w:sz w:val="24"/>
          <w:szCs w:val="24"/>
        </w:rPr>
        <w:t xml:space="preserve">quo. </w:t>
      </w:r>
      <w:r>
        <w:rPr>
          <w:rFonts w:ascii="Times New Roman" w:hAnsi="Times New Roman" w:cs="Times New Roman"/>
          <w:sz w:val="24"/>
          <w:szCs w:val="24"/>
        </w:rPr>
        <w:t>He reasoned that this was bec</w:t>
      </w:r>
      <w:r>
        <w:rPr>
          <w:rFonts w:ascii="Times New Roman" w:hAnsi="Times New Roman" w:cs="Times New Roman"/>
          <w:sz w:val="24"/>
          <w:szCs w:val="24"/>
        </w:rPr>
        <w:t xml:space="preserve">ause it had not been raised in summons. He argued that the court a </w:t>
      </w:r>
      <w:r>
        <w:rPr>
          <w:rFonts w:ascii="Times New Roman" w:hAnsi="Times New Roman" w:cs="Times New Roman"/>
          <w:i/>
          <w:iCs/>
          <w:sz w:val="24"/>
          <w:szCs w:val="24"/>
        </w:rPr>
        <w:t>quo</w:t>
      </w:r>
      <w:r>
        <w:rPr>
          <w:rFonts w:ascii="Times New Roman" w:hAnsi="Times New Roman" w:cs="Times New Roman"/>
          <w:sz w:val="24"/>
          <w:szCs w:val="24"/>
        </w:rPr>
        <w:t xml:space="preserve"> should have made this an issue but it did not.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respect of the order for payment of rentals and holding over damages granted by the court </w:t>
      </w:r>
      <w:r>
        <w:rPr>
          <w:rFonts w:ascii="Times New Roman" w:hAnsi="Times New Roman" w:cs="Times New Roman"/>
          <w:i/>
          <w:sz w:val="24"/>
          <w:szCs w:val="24"/>
        </w:rPr>
        <w:t>a quo</w:t>
      </w:r>
      <w:r>
        <w:rPr>
          <w:rFonts w:ascii="Times New Roman" w:hAnsi="Times New Roman" w:cs="Times New Roman"/>
          <w:sz w:val="24"/>
          <w:szCs w:val="24"/>
        </w:rPr>
        <w:t xml:space="preserve">, Mr </w:t>
      </w:r>
      <w:proofErr w:type="spellStart"/>
      <w:r>
        <w:rPr>
          <w:rFonts w:ascii="Times New Roman" w:hAnsi="Times New Roman" w:cs="Times New Roman"/>
          <w:i/>
          <w:sz w:val="24"/>
          <w:szCs w:val="24"/>
        </w:rPr>
        <w:t>Ziro</w:t>
      </w:r>
      <w:proofErr w:type="spellEnd"/>
      <w:r>
        <w:rPr>
          <w:rFonts w:ascii="Times New Roman" w:hAnsi="Times New Roman" w:cs="Times New Roman"/>
          <w:sz w:val="24"/>
          <w:szCs w:val="24"/>
        </w:rPr>
        <w:t xml:space="preserve"> argued that there was an agreement that rentals would be set off for the improvements made to the shop. He referred the court to e-mail correspondence </w:t>
      </w:r>
      <w:r>
        <w:rPr>
          <w:rFonts w:ascii="Times New Roman" w:hAnsi="Times New Roman" w:cs="Times New Roman"/>
          <w:sz w:val="24"/>
          <w:szCs w:val="24"/>
        </w:rPr>
        <w:lastRenderedPageBreak/>
        <w:t xml:space="preserve">between the appellant and one of the respondents’ employees, a Mr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He argued that the email referr</w:t>
      </w:r>
      <w:r>
        <w:rPr>
          <w:rFonts w:ascii="Times New Roman" w:hAnsi="Times New Roman" w:cs="Times New Roman"/>
          <w:sz w:val="24"/>
          <w:szCs w:val="24"/>
        </w:rPr>
        <w:t xml:space="preserve">ed to a verbal agreement between the parties regarding improvements for which the appellant ought to be compensated. He further submitted that in the court </w:t>
      </w:r>
      <w:r>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quo,</w:t>
      </w:r>
      <w:r>
        <w:rPr>
          <w:rFonts w:ascii="Times New Roman" w:hAnsi="Times New Roman" w:cs="Times New Roman"/>
          <w:sz w:val="24"/>
          <w:szCs w:val="24"/>
        </w:rPr>
        <w:t xml:space="preserve"> the respondents disputed the set off on the ground that, in terms of the lease agreement, imp</w:t>
      </w:r>
      <w:r>
        <w:rPr>
          <w:rFonts w:ascii="Times New Roman" w:hAnsi="Times New Roman" w:cs="Times New Roman"/>
          <w:sz w:val="24"/>
          <w:szCs w:val="24"/>
        </w:rPr>
        <w:t xml:space="preserve">rovements had to be approved in writing between the parties. Mr </w:t>
      </w:r>
      <w:proofErr w:type="spellStart"/>
      <w:r>
        <w:rPr>
          <w:rFonts w:ascii="Times New Roman" w:hAnsi="Times New Roman" w:cs="Times New Roman"/>
          <w:i/>
          <w:iCs/>
          <w:sz w:val="24"/>
          <w:szCs w:val="24"/>
        </w:rPr>
        <w:t>Ziro</w:t>
      </w:r>
      <w:proofErr w:type="spellEnd"/>
      <w:r>
        <w:rPr>
          <w:rFonts w:ascii="Times New Roman" w:hAnsi="Times New Roman" w:cs="Times New Roman"/>
          <w:sz w:val="24"/>
          <w:szCs w:val="24"/>
        </w:rPr>
        <w:t xml:space="preserve"> contended that there was no written approval for the improvements because they had been orally sanctioned in 2018 (the same year he had taken occupation of the shop), which </w:t>
      </w:r>
      <w:proofErr w:type="gramStart"/>
      <w:r>
        <w:rPr>
          <w:rFonts w:ascii="Times New Roman" w:hAnsi="Times New Roman" w:cs="Times New Roman"/>
          <w:sz w:val="24"/>
          <w:szCs w:val="24"/>
        </w:rPr>
        <w:t>was a period p</w:t>
      </w:r>
      <w:r>
        <w:rPr>
          <w:rFonts w:ascii="Times New Roman" w:hAnsi="Times New Roman" w:cs="Times New Roman"/>
          <w:sz w:val="24"/>
          <w:szCs w:val="24"/>
        </w:rPr>
        <w:t>rior to the lease agreement</w:t>
      </w:r>
      <w:proofErr w:type="gramEnd"/>
      <w:r>
        <w:rPr>
          <w:rFonts w:ascii="Times New Roman" w:hAnsi="Times New Roman" w:cs="Times New Roman"/>
          <w:sz w:val="24"/>
          <w:szCs w:val="24"/>
        </w:rPr>
        <w:t xml:space="preserve"> entered into in 2019. It was his argument that these improvements were not only orally agreed upon but they were necessary. He argued that this issue was put to the court a </w:t>
      </w:r>
      <w:r>
        <w:rPr>
          <w:rFonts w:ascii="Times New Roman" w:hAnsi="Times New Roman" w:cs="Times New Roman"/>
          <w:i/>
          <w:iCs/>
          <w:sz w:val="24"/>
          <w:szCs w:val="24"/>
        </w:rPr>
        <w:t>quo</w:t>
      </w:r>
      <w:r>
        <w:rPr>
          <w:rFonts w:ascii="Times New Roman" w:hAnsi="Times New Roman" w:cs="Times New Roman"/>
          <w:sz w:val="24"/>
          <w:szCs w:val="24"/>
        </w:rPr>
        <w:t xml:space="preserve"> as a counterclaim but the court a </w:t>
      </w:r>
      <w:r>
        <w:rPr>
          <w:rFonts w:ascii="Times New Roman" w:hAnsi="Times New Roman" w:cs="Times New Roman"/>
          <w:i/>
          <w:iCs/>
          <w:sz w:val="24"/>
          <w:szCs w:val="24"/>
        </w:rPr>
        <w:t>quo</w:t>
      </w:r>
      <w:r>
        <w:rPr>
          <w:rFonts w:ascii="Times New Roman" w:hAnsi="Times New Roman" w:cs="Times New Roman"/>
          <w:sz w:val="24"/>
          <w:szCs w:val="24"/>
        </w:rPr>
        <w:t xml:space="preserve"> totally disre</w:t>
      </w:r>
      <w:r>
        <w:rPr>
          <w:rFonts w:ascii="Times New Roman" w:hAnsi="Times New Roman" w:cs="Times New Roman"/>
          <w:sz w:val="24"/>
          <w:szCs w:val="24"/>
        </w:rPr>
        <w:t xml:space="preserve">garded the counterclaim, yet there was no evidence to dispute the value which was in the pictures, quotations and receipts placed before the court. Mr </w:t>
      </w:r>
      <w:proofErr w:type="spellStart"/>
      <w:r>
        <w:rPr>
          <w:rFonts w:ascii="Times New Roman" w:hAnsi="Times New Roman" w:cs="Times New Roman"/>
          <w:i/>
          <w:iCs/>
          <w:sz w:val="24"/>
          <w:szCs w:val="24"/>
        </w:rPr>
        <w:t>Ziro</w:t>
      </w:r>
      <w:proofErr w:type="spellEnd"/>
      <w:r>
        <w:rPr>
          <w:rFonts w:ascii="Times New Roman" w:hAnsi="Times New Roman" w:cs="Times New Roman"/>
          <w:sz w:val="24"/>
          <w:szCs w:val="24"/>
        </w:rPr>
        <w:t xml:space="preserve"> conceded that the issue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was not about the value of improvements but the autho</w:t>
      </w:r>
      <w:r>
        <w:rPr>
          <w:rFonts w:ascii="Times New Roman" w:hAnsi="Times New Roman" w:cs="Times New Roman"/>
          <w:sz w:val="24"/>
          <w:szCs w:val="24"/>
        </w:rPr>
        <w:t xml:space="preserve">risation to carry out the improvements.  At the invitation of the court to clarify why the appellant had continued to pay some of the rentals despite the set off agreement, Mr </w:t>
      </w:r>
      <w:proofErr w:type="spellStart"/>
      <w:r>
        <w:rPr>
          <w:rFonts w:ascii="Times New Roman" w:hAnsi="Times New Roman" w:cs="Times New Roman"/>
          <w:i/>
          <w:iCs/>
          <w:sz w:val="24"/>
          <w:szCs w:val="24"/>
        </w:rPr>
        <w:t>Ziro</w:t>
      </w:r>
      <w:proofErr w:type="spellEnd"/>
      <w:r>
        <w:rPr>
          <w:rFonts w:ascii="Times New Roman" w:hAnsi="Times New Roman" w:cs="Times New Roman"/>
          <w:sz w:val="24"/>
          <w:szCs w:val="24"/>
        </w:rPr>
        <w:t xml:space="preserve"> made the point that although there was an agreement, it was being contested</w:t>
      </w:r>
      <w:r>
        <w:rPr>
          <w:rFonts w:ascii="Times New Roman" w:hAnsi="Times New Roman" w:cs="Times New Roman"/>
          <w:sz w:val="24"/>
          <w:szCs w:val="24"/>
        </w:rPr>
        <w:t xml:space="preserve"> to at some point so the appellant continued to pay the rentals as he was legally obliged to do under such circumstances.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Further, Mr </w:t>
      </w:r>
      <w:proofErr w:type="spellStart"/>
      <w:r>
        <w:rPr>
          <w:rFonts w:ascii="Times New Roman" w:hAnsi="Times New Roman" w:cs="Times New Roman"/>
          <w:i/>
          <w:sz w:val="24"/>
          <w:szCs w:val="24"/>
        </w:rPr>
        <w:t>Ziro</w:t>
      </w:r>
      <w:proofErr w:type="spellEnd"/>
      <w:r>
        <w:rPr>
          <w:rFonts w:ascii="Times New Roman" w:hAnsi="Times New Roman" w:cs="Times New Roman"/>
          <w:sz w:val="24"/>
          <w:szCs w:val="24"/>
        </w:rPr>
        <w:t xml:space="preserve"> questioned the computation of the rentals by the court </w:t>
      </w:r>
      <w:r>
        <w:rPr>
          <w:rFonts w:ascii="Times New Roman" w:hAnsi="Times New Roman" w:cs="Times New Roman"/>
          <w:i/>
          <w:sz w:val="24"/>
          <w:szCs w:val="24"/>
        </w:rPr>
        <w:t>a quo</w:t>
      </w:r>
      <w:r>
        <w:rPr>
          <w:rFonts w:ascii="Times New Roman" w:hAnsi="Times New Roman" w:cs="Times New Roman"/>
          <w:sz w:val="24"/>
          <w:szCs w:val="24"/>
        </w:rPr>
        <w:t xml:space="preserve">, stating that the court </w:t>
      </w:r>
      <w:r>
        <w:rPr>
          <w:rFonts w:ascii="Times New Roman" w:hAnsi="Times New Roman" w:cs="Times New Roman"/>
          <w:i/>
          <w:sz w:val="24"/>
          <w:szCs w:val="24"/>
        </w:rPr>
        <w:t>a quo</w:t>
      </w:r>
      <w:r>
        <w:rPr>
          <w:rFonts w:ascii="Times New Roman" w:hAnsi="Times New Roman" w:cs="Times New Roman"/>
          <w:sz w:val="24"/>
          <w:szCs w:val="24"/>
        </w:rPr>
        <w:t xml:space="preserve"> simply ordered payment of</w:t>
      </w:r>
      <w:r>
        <w:rPr>
          <w:rFonts w:ascii="Times New Roman" w:hAnsi="Times New Roman" w:cs="Times New Roman"/>
          <w:sz w:val="24"/>
          <w:szCs w:val="24"/>
        </w:rPr>
        <w:t xml:space="preserve"> outstanding rentals as claimed by the respondents without a clear formula as to how the rentals were arrived at.  It was his submission that at the time the lease agreement was initially entered into 2019, the rentals were in Zimbabwean dollars,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ther</w:t>
      </w:r>
      <w:r>
        <w:rPr>
          <w:rFonts w:ascii="Times New Roman" w:hAnsi="Times New Roman" w:cs="Times New Roman"/>
          <w:sz w:val="24"/>
          <w:szCs w:val="24"/>
        </w:rPr>
        <w:t>e was a gap from 2021when that lease agreement expired until 2023 when there was an addendum to the lease. It was his argument that it was only after the renewal of the lease agreement in 2023 that the rentals were pegged in United States dollars. With res</w:t>
      </w:r>
      <w:r>
        <w:rPr>
          <w:rFonts w:ascii="Times New Roman" w:hAnsi="Times New Roman" w:cs="Times New Roman"/>
          <w:sz w:val="24"/>
          <w:szCs w:val="24"/>
        </w:rPr>
        <w:t xml:space="preserve">pect to the counterclaim, he argued that the appellant had shown that it ought to have been compensated for the improvements done on the shop. The appellant asserted that he did not breach the lease agreement and it did not default the payment of rentals.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i/>
          <w:sz w:val="24"/>
          <w:szCs w:val="24"/>
        </w:rPr>
        <w:t>Per contra</w:t>
      </w:r>
      <w:r>
        <w:rPr>
          <w:rFonts w:ascii="Times New Roman" w:hAnsi="Times New Roman" w:cs="Times New Roman"/>
          <w:sz w:val="24"/>
          <w:szCs w:val="24"/>
        </w:rPr>
        <w:t xml:space="preserve">, Mr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xml:space="preserve"> for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refuted the appellant's submissions with regard the claim that cancellation should first be sought before eviction can be granted. </w:t>
      </w:r>
      <w:r>
        <w:rPr>
          <w:rFonts w:ascii="Times New Roman" w:hAnsi="Times New Roman" w:cs="Times New Roman"/>
          <w:sz w:val="24"/>
          <w:szCs w:val="24"/>
        </w:rPr>
        <w:lastRenderedPageBreak/>
        <w:t xml:space="preserve">He disputed that this was a position of the law. He submitted that when a tenant </w:t>
      </w:r>
      <w:r>
        <w:rPr>
          <w:rFonts w:ascii="Times New Roman" w:hAnsi="Times New Roman" w:cs="Times New Roman"/>
          <w:sz w:val="24"/>
          <w:szCs w:val="24"/>
        </w:rPr>
        <w:t xml:space="preserve">has not paid rentals, termination is automatic and there is no need to seek cancellation of the lease agreement.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On the argument that the appellant had made set off for the rentals through the improvements, Mr </w:t>
      </w:r>
      <w:proofErr w:type="spellStart"/>
      <w:r>
        <w:rPr>
          <w:rFonts w:ascii="Times New Roman" w:hAnsi="Times New Roman" w:cs="Times New Roman"/>
          <w:i/>
          <w:iCs/>
          <w:sz w:val="24"/>
          <w:szCs w:val="24"/>
        </w:rPr>
        <w:t>Makoni</w:t>
      </w:r>
      <w:proofErr w:type="spellEnd"/>
      <w:r>
        <w:rPr>
          <w:rFonts w:ascii="Times New Roman" w:hAnsi="Times New Roman" w:cs="Times New Roman"/>
          <w:sz w:val="24"/>
          <w:szCs w:val="24"/>
        </w:rPr>
        <w:t xml:space="preserve"> submitted that the nature of the secon</w:t>
      </w:r>
      <w:r>
        <w:rPr>
          <w:rFonts w:ascii="Times New Roman" w:hAnsi="Times New Roman" w:cs="Times New Roman"/>
          <w:sz w:val="24"/>
          <w:szCs w:val="24"/>
        </w:rPr>
        <w:t>d ground of appeal constituted an admission by the appellant that rentals were owed. He submitted, further, that in terms of the lease agreement, one could not make additions and alternations to the shop without written consent from the respondents.  In an</w:t>
      </w:r>
      <w:r>
        <w:rPr>
          <w:rFonts w:ascii="Times New Roman" w:hAnsi="Times New Roman" w:cs="Times New Roman"/>
          <w:sz w:val="24"/>
          <w:szCs w:val="24"/>
        </w:rPr>
        <w:t xml:space="preserve">y event, he went on to state, the lease agreement specifically stated in clause 8.7.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such additions and alterations would be to the appellant’s account so in the circumstances, the appellant’s claim for compensation and set off was faulty.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denied the existence of the verbal agreement. He further argued that clause 27 of the lease agreement provided that the agreement was the whole agreement and anything else to the contrary must be in writing and signed off by the parties. If ever there was </w:t>
      </w:r>
      <w:r>
        <w:rPr>
          <w:rFonts w:ascii="Times New Roman" w:hAnsi="Times New Roman" w:cs="Times New Roman"/>
          <w:sz w:val="24"/>
          <w:szCs w:val="24"/>
        </w:rPr>
        <w:t xml:space="preserve">any such oral agreement between the parties prior to 2019, clause 27 would have been worded differently to cater for that oral agreement because the lease agreement was substituting any other agreement the parties may have had in the past. Therefore, Mr </w:t>
      </w:r>
      <w:proofErr w:type="spellStart"/>
      <w:r>
        <w:rPr>
          <w:rFonts w:ascii="Times New Roman" w:hAnsi="Times New Roman" w:cs="Times New Roman"/>
          <w:i/>
          <w:iCs/>
          <w:sz w:val="24"/>
          <w:szCs w:val="24"/>
        </w:rPr>
        <w:t>Ma</w:t>
      </w:r>
      <w:r>
        <w:rPr>
          <w:rFonts w:ascii="Times New Roman" w:hAnsi="Times New Roman" w:cs="Times New Roman"/>
          <w:i/>
          <w:iCs/>
          <w:sz w:val="24"/>
          <w:szCs w:val="24"/>
        </w:rPr>
        <w:t>koni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contended, and the appellant ought to have insisted on clause 27 reading differently. Instead, the appellant signed off the agreement well knowing the existence of the alleged verbal agreement.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xml:space="preserve"> further disputed the email correspondence re</w:t>
      </w:r>
      <w:r>
        <w:rPr>
          <w:rFonts w:ascii="Times New Roman" w:hAnsi="Times New Roman" w:cs="Times New Roman"/>
          <w:sz w:val="24"/>
          <w:szCs w:val="24"/>
        </w:rPr>
        <w:t>lied on by the appellant to prove the existence of the verbal agreement, arguing that the email did not prove any authorisation to effect improvements. It was his submission that the email was simply an email to the respondents, which had not been responde</w:t>
      </w:r>
      <w:r>
        <w:rPr>
          <w:rFonts w:ascii="Times New Roman" w:hAnsi="Times New Roman" w:cs="Times New Roman"/>
          <w:sz w:val="24"/>
          <w:szCs w:val="24"/>
        </w:rPr>
        <w:t xml:space="preserve">d to and that the recipient of the email, Mr </w:t>
      </w:r>
      <w:proofErr w:type="spellStart"/>
      <w:r>
        <w:rPr>
          <w:rFonts w:ascii="Times New Roman" w:hAnsi="Times New Roman" w:cs="Times New Roman"/>
          <w:iCs/>
          <w:sz w:val="24"/>
          <w:szCs w:val="24"/>
        </w:rPr>
        <w:t>Nhema</w:t>
      </w:r>
      <w:proofErr w:type="spellEnd"/>
      <w:r>
        <w:rPr>
          <w:rFonts w:ascii="Times New Roman" w:hAnsi="Times New Roman" w:cs="Times New Roman"/>
          <w:iCs/>
          <w:sz w:val="24"/>
          <w:szCs w:val="24"/>
        </w:rPr>
        <w:t>,</w:t>
      </w:r>
      <w:r>
        <w:rPr>
          <w:rFonts w:ascii="Times New Roman" w:hAnsi="Times New Roman" w:cs="Times New Roman"/>
          <w:sz w:val="24"/>
          <w:szCs w:val="24"/>
        </w:rPr>
        <w:t xml:space="preserve"> did not give evidence on the email in the court a </w:t>
      </w:r>
      <w:r>
        <w:rPr>
          <w:rFonts w:ascii="Times New Roman" w:hAnsi="Times New Roman" w:cs="Times New Roman"/>
          <w:i/>
          <w:iCs/>
          <w:sz w:val="24"/>
          <w:szCs w:val="24"/>
        </w:rPr>
        <w:t>quo</w:t>
      </w:r>
      <w:r>
        <w:rPr>
          <w:rFonts w:ascii="Times New Roman" w:hAnsi="Times New Roman" w:cs="Times New Roman"/>
          <w:sz w:val="24"/>
          <w:szCs w:val="24"/>
        </w:rPr>
        <w:t xml:space="preserve"> and the appellant’s excuse was that Mr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xml:space="preserve"> was indisposed. He asserted that the appellant did not even seek a postponement of the matter to enable t</w:t>
      </w:r>
      <w:r>
        <w:rPr>
          <w:rFonts w:ascii="Times New Roman" w:hAnsi="Times New Roman" w:cs="Times New Roman"/>
          <w:sz w:val="24"/>
          <w:szCs w:val="24"/>
        </w:rPr>
        <w:t xml:space="preserve">he said Mr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xml:space="preserve"> to come and testify.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On the order for holding over damages, Mr </w:t>
      </w:r>
      <w:proofErr w:type="spellStart"/>
      <w:r>
        <w:rPr>
          <w:rFonts w:ascii="Times New Roman" w:hAnsi="Times New Roman" w:cs="Times New Roman"/>
          <w:i/>
          <w:iCs/>
          <w:sz w:val="24"/>
          <w:szCs w:val="24"/>
        </w:rPr>
        <w:t>Makoni</w:t>
      </w:r>
      <w:proofErr w:type="spellEnd"/>
      <w:r>
        <w:rPr>
          <w:rFonts w:ascii="Times New Roman" w:hAnsi="Times New Roman" w:cs="Times New Roman"/>
          <w:sz w:val="24"/>
          <w:szCs w:val="24"/>
        </w:rPr>
        <w:t xml:space="preserve"> submitted that holding over damages literally follow the rentals. He submitted, further, that the appellant agreed that there was a lease agreement concluded 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of March 2023 and effective from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of January </w:t>
      </w:r>
      <w:r>
        <w:rPr>
          <w:rFonts w:ascii="Times New Roman" w:hAnsi="Times New Roman" w:cs="Times New Roman"/>
          <w:sz w:val="24"/>
          <w:szCs w:val="24"/>
        </w:rPr>
        <w:lastRenderedPageBreak/>
        <w:t>2023. In terms of that lease agreement, the rental was US$347.00.  He argued that that was the basis upon which holding over damages were calculated. They were calculated post termination of the lease agreem</w:t>
      </w:r>
      <w:r>
        <w:rPr>
          <w:rFonts w:ascii="Times New Roman" w:hAnsi="Times New Roman" w:cs="Times New Roman"/>
          <w:sz w:val="24"/>
          <w:szCs w:val="24"/>
        </w:rPr>
        <w:t xml:space="preserve">ent until such a time the appellant would vacate the shop. There was therefore no misdirection on the part of the court a </w:t>
      </w:r>
      <w:r>
        <w:rPr>
          <w:rFonts w:ascii="Times New Roman" w:hAnsi="Times New Roman" w:cs="Times New Roman"/>
          <w:i/>
          <w:iCs/>
          <w:sz w:val="24"/>
          <w:szCs w:val="24"/>
        </w:rPr>
        <w:t>quo</w:t>
      </w:r>
      <w:r>
        <w:rPr>
          <w:rFonts w:ascii="Times New Roman" w:hAnsi="Times New Roman" w:cs="Times New Roman"/>
          <w:sz w:val="24"/>
          <w:szCs w:val="24"/>
        </w:rPr>
        <w:t xml:space="preserve"> in ordering holding over damages as it did. Mr </w:t>
      </w:r>
      <w:proofErr w:type="spellStart"/>
      <w:r>
        <w:rPr>
          <w:rFonts w:ascii="Times New Roman" w:hAnsi="Times New Roman" w:cs="Times New Roman"/>
          <w:i/>
          <w:iCs/>
          <w:sz w:val="24"/>
          <w:szCs w:val="24"/>
        </w:rPr>
        <w:t>Makoni</w:t>
      </w:r>
      <w:proofErr w:type="spellEnd"/>
      <w:r>
        <w:rPr>
          <w:rFonts w:ascii="Times New Roman" w:hAnsi="Times New Roman" w:cs="Times New Roman"/>
          <w:sz w:val="24"/>
          <w:szCs w:val="24"/>
        </w:rPr>
        <w:t xml:space="preserve"> referred the court to the computations done by the respondents. He submitted</w:t>
      </w:r>
      <w:r>
        <w:rPr>
          <w:rFonts w:ascii="Times New Roman" w:hAnsi="Times New Roman" w:cs="Times New Roman"/>
          <w:sz w:val="24"/>
          <w:szCs w:val="24"/>
        </w:rPr>
        <w:t xml:space="preserve"> that notwithstanding the gap referred to by Mr </w:t>
      </w:r>
      <w:proofErr w:type="spellStart"/>
      <w:r>
        <w:rPr>
          <w:rFonts w:ascii="Times New Roman" w:hAnsi="Times New Roman" w:cs="Times New Roman"/>
          <w:i/>
          <w:iCs/>
          <w:sz w:val="24"/>
          <w:szCs w:val="24"/>
        </w:rPr>
        <w:t>Ziro</w:t>
      </w:r>
      <w:proofErr w:type="spellEnd"/>
      <w:r>
        <w:rPr>
          <w:rFonts w:ascii="Times New Roman" w:hAnsi="Times New Roman" w:cs="Times New Roman"/>
          <w:sz w:val="24"/>
          <w:szCs w:val="24"/>
        </w:rPr>
        <w:t>, the computations would show that on the 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2022, the appellant paid US$347.50 and on 1</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and 7 May 2022, the appellant had paid rentals in United States dollars. Mr </w:t>
      </w:r>
      <w:proofErr w:type="spellStart"/>
      <w:r>
        <w:rPr>
          <w:rFonts w:ascii="Times New Roman" w:hAnsi="Times New Roman" w:cs="Times New Roman"/>
          <w:i/>
          <w:iCs/>
          <w:sz w:val="24"/>
          <w:szCs w:val="24"/>
        </w:rPr>
        <w:t>Makoni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submitted that the appellant subsequently defaulted for the remaining months of the year and attempts were made to pay rentals at the beginning of 2023.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There was a tacit acceptance of a rental increase through a letter dated 6 June 2022. Those rentals w</w:t>
      </w:r>
      <w:r>
        <w:rPr>
          <w:rFonts w:ascii="Times New Roman" w:hAnsi="Times New Roman" w:cs="Times New Roman"/>
          <w:sz w:val="24"/>
          <w:szCs w:val="24"/>
        </w:rPr>
        <w:t>ere pegged in United States dollars and even if the appellant did not respond to the email, he started paying rentals in United States dollars. He conceded that the initial lease agreement was in local currency but later on, the rentals were pegged in Unit</w:t>
      </w:r>
      <w:r>
        <w:rPr>
          <w:rFonts w:ascii="Times New Roman" w:hAnsi="Times New Roman" w:cs="Times New Roman"/>
          <w:sz w:val="24"/>
          <w:szCs w:val="24"/>
        </w:rPr>
        <w:t xml:space="preserve">ed States dollars. He submitted that the computation of the rentals was never challenged by the appellant in the court a </w:t>
      </w:r>
      <w:r>
        <w:rPr>
          <w:rFonts w:ascii="Times New Roman" w:hAnsi="Times New Roman" w:cs="Times New Roman"/>
          <w:i/>
          <w:iCs/>
          <w:sz w:val="24"/>
          <w:szCs w:val="24"/>
        </w:rPr>
        <w:t>quo</w:t>
      </w:r>
      <w:r>
        <w:rPr>
          <w:rFonts w:ascii="Times New Roman" w:hAnsi="Times New Roman" w:cs="Times New Roman"/>
          <w:sz w:val="24"/>
          <w:szCs w:val="24"/>
        </w:rPr>
        <w:t>. The only defence was on the claim for improvements.</w:t>
      </w:r>
    </w:p>
    <w:p w:rsidR="00FA0EA4" w:rsidRDefault="009B7F50">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ISSUES FOR DETERMINATION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It seems to me that the issues for determination fa</w:t>
      </w:r>
      <w:r>
        <w:rPr>
          <w:rFonts w:ascii="Times New Roman" w:hAnsi="Times New Roman" w:cs="Times New Roman"/>
          <w:sz w:val="24"/>
          <w:szCs w:val="24"/>
        </w:rPr>
        <w:t xml:space="preserve">ll squarely into three, namely- </w:t>
      </w:r>
    </w:p>
    <w:p w:rsidR="00FA0EA4" w:rsidRDefault="009B7F5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court a </w:t>
      </w:r>
      <w:r>
        <w:rPr>
          <w:rFonts w:ascii="Times New Roman" w:hAnsi="Times New Roman" w:cs="Times New Roman"/>
          <w:i/>
          <w:iCs/>
          <w:sz w:val="24"/>
          <w:szCs w:val="24"/>
        </w:rPr>
        <w:t>quo</w:t>
      </w:r>
      <w:r>
        <w:rPr>
          <w:rFonts w:ascii="Times New Roman" w:hAnsi="Times New Roman" w:cs="Times New Roman"/>
          <w:sz w:val="24"/>
          <w:szCs w:val="24"/>
        </w:rPr>
        <w:t xml:space="preserve"> erred in ordering the eviction of the appellant; </w:t>
      </w:r>
    </w:p>
    <w:p w:rsidR="00FA0EA4" w:rsidRDefault="009B7F5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a </w:t>
      </w:r>
      <w:r>
        <w:rPr>
          <w:rFonts w:ascii="Times New Roman" w:hAnsi="Times New Roman" w:cs="Times New Roman"/>
          <w:i/>
          <w:iCs/>
          <w:sz w:val="24"/>
          <w:szCs w:val="24"/>
        </w:rPr>
        <w:t>quo</w:t>
      </w:r>
      <w:r>
        <w:rPr>
          <w:rFonts w:ascii="Times New Roman" w:hAnsi="Times New Roman" w:cs="Times New Roman"/>
          <w:sz w:val="24"/>
          <w:szCs w:val="24"/>
        </w:rPr>
        <w:t xml:space="preserve"> erred in making a finding that there was no set off and whether or not the court erred in disregarding the appellant's</w:t>
      </w:r>
      <w:r>
        <w:rPr>
          <w:rFonts w:ascii="Times New Roman" w:hAnsi="Times New Roman" w:cs="Times New Roman"/>
          <w:sz w:val="24"/>
          <w:szCs w:val="24"/>
        </w:rPr>
        <w:t xml:space="preserve"> counterclaim; and</w:t>
      </w:r>
    </w:p>
    <w:p w:rsidR="00FA0EA4" w:rsidRDefault="009B7F5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court a quo erred in granting the amounts to be paid as outstanding rentals and holding over damages.</w:t>
      </w:r>
    </w:p>
    <w:p w:rsidR="00FA0EA4" w:rsidRDefault="009B7F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turn now to look at these issues ad </w:t>
      </w:r>
      <w:r>
        <w:rPr>
          <w:rFonts w:ascii="Times New Roman" w:hAnsi="Times New Roman" w:cs="Times New Roman"/>
          <w:i/>
          <w:iCs/>
          <w:sz w:val="24"/>
          <w:szCs w:val="24"/>
        </w:rPr>
        <w:t>seriatim</w:t>
      </w:r>
      <w:r>
        <w:rPr>
          <w:rFonts w:ascii="Times New Roman" w:hAnsi="Times New Roman" w:cs="Times New Roman"/>
          <w:sz w:val="24"/>
          <w:szCs w:val="24"/>
        </w:rPr>
        <w:t xml:space="preserve">. </w:t>
      </w:r>
    </w:p>
    <w:p w:rsidR="00FA0EA4" w:rsidRDefault="009B7F50">
      <w:pPr>
        <w:spacing w:line="36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t>WHETHER OR NOT THE COURT A QUO ERRED IN ORDERING THE EVICTION OF THE APPEL</w:t>
      </w:r>
      <w:r>
        <w:rPr>
          <w:rFonts w:ascii="Times New Roman" w:hAnsi="Times New Roman" w:cs="Times New Roman"/>
          <w:b/>
          <w:iCs/>
          <w:sz w:val="24"/>
          <w:szCs w:val="24"/>
          <w:u w:val="single"/>
        </w:rPr>
        <w:t>LANT</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An action for eviction is based on the principle of </w:t>
      </w:r>
      <w:proofErr w:type="spellStart"/>
      <w:r>
        <w:rPr>
          <w:rFonts w:ascii="Times New Roman" w:hAnsi="Times New Roman" w:cs="Times New Roman"/>
          <w:i/>
          <w:sz w:val="24"/>
          <w:szCs w:val="24"/>
        </w:rPr>
        <w:t>actio</w:t>
      </w:r>
      <w:proofErr w:type="spellEnd"/>
      <w:r>
        <w:rPr>
          <w:rFonts w:ascii="Times New Roman" w:hAnsi="Times New Roman" w:cs="Times New Roman"/>
          <w:i/>
          <w:sz w:val="24"/>
          <w:szCs w:val="24"/>
        </w:rPr>
        <w:t xml:space="preserve"> rei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Musindo</w:t>
      </w:r>
      <w:proofErr w:type="spellEnd"/>
      <w:r>
        <w:rPr>
          <w:rFonts w:ascii="Times New Roman" w:hAnsi="Times New Roman" w:cs="Times New Roman"/>
          <w:i/>
          <w:iCs/>
          <w:sz w:val="24"/>
          <w:szCs w:val="24"/>
        </w:rPr>
        <w:t xml:space="preserve"> v </w:t>
      </w:r>
      <w:proofErr w:type="spellStart"/>
      <w:r>
        <w:rPr>
          <w:rFonts w:ascii="Times New Roman" w:hAnsi="Times New Roman" w:cs="Times New Roman"/>
          <w:i/>
          <w:iCs/>
          <w:sz w:val="24"/>
          <w:szCs w:val="24"/>
        </w:rPr>
        <w:t>Kereke</w:t>
      </w:r>
      <w:proofErr w:type="spellEnd"/>
      <w:r>
        <w:rPr>
          <w:rFonts w:ascii="Times New Roman" w:hAnsi="Times New Roman" w:cs="Times New Roman"/>
          <w:i/>
          <w:iCs/>
          <w:sz w:val="24"/>
          <w:szCs w:val="24"/>
        </w:rPr>
        <w:t xml:space="preserve"> &amp; Anor</w:t>
      </w:r>
      <w:r>
        <w:rPr>
          <w:rFonts w:ascii="Times New Roman" w:hAnsi="Times New Roman" w:cs="Times New Roman"/>
          <w:sz w:val="24"/>
          <w:szCs w:val="24"/>
        </w:rPr>
        <w:t xml:space="preserve"> HMA-32-22 at p7. The owner of a thing is entitled to claim possession of his </w:t>
      </w:r>
      <w:r>
        <w:rPr>
          <w:rFonts w:ascii="Times New Roman" w:hAnsi="Times New Roman" w:cs="Times New Roman"/>
          <w:sz w:val="24"/>
          <w:szCs w:val="24"/>
        </w:rPr>
        <w:lastRenderedPageBreak/>
        <w:t xml:space="preserve">property from whoever is in possession of it without his consent: </w:t>
      </w:r>
      <w:proofErr w:type="spellStart"/>
      <w:r>
        <w:rPr>
          <w:rFonts w:ascii="Times New Roman" w:hAnsi="Times New Roman" w:cs="Times New Roman"/>
          <w:i/>
          <w:sz w:val="24"/>
          <w:szCs w:val="24"/>
        </w:rPr>
        <w:t>Jakamoko</w:t>
      </w:r>
      <w:proofErr w:type="spellEnd"/>
      <w:r>
        <w:rPr>
          <w:rFonts w:ascii="Times New Roman" w:hAnsi="Times New Roman" w:cs="Times New Roman"/>
          <w:i/>
          <w:sz w:val="24"/>
          <w:szCs w:val="24"/>
        </w:rPr>
        <w:t xml:space="preserve"> I</w:t>
      </w:r>
      <w:r>
        <w:rPr>
          <w:rFonts w:ascii="Times New Roman" w:hAnsi="Times New Roman" w:cs="Times New Roman"/>
          <w:i/>
          <w:sz w:val="24"/>
          <w:szCs w:val="24"/>
        </w:rPr>
        <w:t>nvestments (Pvt) Ltd</w:t>
      </w:r>
      <w:r>
        <w:rPr>
          <w:rFonts w:ascii="Times New Roman" w:hAnsi="Times New Roman" w:cs="Times New Roman"/>
          <w:sz w:val="24"/>
          <w:szCs w:val="24"/>
        </w:rPr>
        <w:t xml:space="preserve"> v </w:t>
      </w:r>
      <w:r>
        <w:rPr>
          <w:rFonts w:ascii="Times New Roman" w:hAnsi="Times New Roman" w:cs="Times New Roman"/>
          <w:i/>
          <w:sz w:val="24"/>
          <w:szCs w:val="24"/>
        </w:rPr>
        <w:t xml:space="preserve">De </w:t>
      </w:r>
      <w:proofErr w:type="spellStart"/>
      <w:r>
        <w:rPr>
          <w:rFonts w:ascii="Times New Roman" w:hAnsi="Times New Roman" w:cs="Times New Roman"/>
          <w:i/>
          <w:sz w:val="24"/>
          <w:szCs w:val="24"/>
        </w:rPr>
        <w:t>Bruyn</w:t>
      </w:r>
      <w:proofErr w:type="spellEnd"/>
      <w:r>
        <w:rPr>
          <w:rFonts w:ascii="Times New Roman" w:hAnsi="Times New Roman" w:cs="Times New Roman"/>
          <w:sz w:val="24"/>
          <w:szCs w:val="24"/>
        </w:rPr>
        <w:t xml:space="preserve"> HMA-67-22 at p6 and </w:t>
      </w:r>
      <w:r>
        <w:rPr>
          <w:rFonts w:ascii="Times New Roman" w:hAnsi="Times New Roman" w:cs="Times New Roman"/>
          <w:i/>
          <w:sz w:val="24"/>
          <w:szCs w:val="24"/>
        </w:rPr>
        <w:t xml:space="preserve">Aspire Investments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Westerhoff</w:t>
      </w:r>
      <w:proofErr w:type="spellEnd"/>
      <w:r>
        <w:rPr>
          <w:rFonts w:ascii="Times New Roman" w:hAnsi="Times New Roman" w:cs="Times New Roman"/>
          <w:sz w:val="24"/>
          <w:szCs w:val="24"/>
        </w:rPr>
        <w:t xml:space="preserve"> 2009 (2) ZLR 302 (H). The Supreme Court case of </w:t>
      </w:r>
      <w:proofErr w:type="spellStart"/>
      <w:r>
        <w:rPr>
          <w:rFonts w:ascii="Times New Roman" w:hAnsi="Times New Roman" w:cs="Times New Roman"/>
          <w:i/>
          <w:sz w:val="24"/>
          <w:szCs w:val="24"/>
        </w:rPr>
        <w:t>Chenga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Chikadaya</w:t>
      </w:r>
      <w:proofErr w:type="spellEnd"/>
      <w:r>
        <w:rPr>
          <w:rFonts w:ascii="Times New Roman" w:hAnsi="Times New Roman" w:cs="Times New Roman"/>
          <w:sz w:val="24"/>
          <w:szCs w:val="24"/>
        </w:rPr>
        <w:t xml:space="preserve"> S-7-13 holds that in a claim for </w:t>
      </w:r>
      <w:proofErr w:type="spellStart"/>
      <w:r>
        <w:rPr>
          <w:rFonts w:ascii="Times New Roman" w:hAnsi="Times New Roman" w:cs="Times New Roman"/>
          <w:i/>
          <w:sz w:val="24"/>
          <w:szCs w:val="24"/>
        </w:rPr>
        <w:t>actio</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rei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one must prove two essential elements, namely; own</w:t>
      </w:r>
      <w:r>
        <w:rPr>
          <w:rFonts w:ascii="Times New Roman" w:hAnsi="Times New Roman" w:cs="Times New Roman"/>
          <w:sz w:val="24"/>
          <w:szCs w:val="24"/>
        </w:rPr>
        <w:t xml:space="preserve">ership of the property and possession of the property by the respondent.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Once an individual claiming </w:t>
      </w:r>
      <w:proofErr w:type="spellStart"/>
      <w:r>
        <w:rPr>
          <w:rFonts w:ascii="Times New Roman" w:hAnsi="Times New Roman" w:cs="Times New Roman"/>
          <w:i/>
          <w:sz w:val="24"/>
          <w:szCs w:val="24"/>
        </w:rPr>
        <w:t>actio</w:t>
      </w:r>
      <w:proofErr w:type="spellEnd"/>
      <w:r>
        <w:rPr>
          <w:rFonts w:ascii="Times New Roman" w:hAnsi="Times New Roman" w:cs="Times New Roman"/>
          <w:i/>
          <w:sz w:val="24"/>
          <w:szCs w:val="24"/>
        </w:rPr>
        <w:t xml:space="preserve"> rei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xml:space="preserve"> meets the above requirements, the onus shifts to the defendant/respondent to justify their possession of the claimant’s property. See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Barzem</w:t>
      </w:r>
      <w:proofErr w:type="spellEnd"/>
      <w:r>
        <w:rPr>
          <w:rFonts w:ascii="Times New Roman" w:hAnsi="Times New Roman" w:cs="Times New Roman"/>
          <w:i/>
          <w:sz w:val="24"/>
          <w:szCs w:val="24"/>
        </w:rPr>
        <w:t xml:space="preserve"> Enterprises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Gonye</w:t>
      </w:r>
      <w:proofErr w:type="spellEnd"/>
      <w:r>
        <w:rPr>
          <w:rFonts w:ascii="Times New Roman" w:hAnsi="Times New Roman" w:cs="Times New Roman"/>
          <w:sz w:val="24"/>
          <w:szCs w:val="24"/>
        </w:rPr>
        <w:t xml:space="preserve"> HH-279-25 at p6.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defences available to a claim of </w:t>
      </w:r>
      <w:proofErr w:type="spellStart"/>
      <w:r>
        <w:rPr>
          <w:rFonts w:ascii="Times New Roman" w:hAnsi="Times New Roman" w:cs="Times New Roman"/>
          <w:i/>
          <w:sz w:val="24"/>
          <w:szCs w:val="24"/>
        </w:rPr>
        <w:t>actio</w:t>
      </w:r>
      <w:proofErr w:type="spellEnd"/>
      <w:r>
        <w:rPr>
          <w:rFonts w:ascii="Times New Roman" w:hAnsi="Times New Roman" w:cs="Times New Roman"/>
          <w:i/>
          <w:sz w:val="24"/>
          <w:szCs w:val="24"/>
        </w:rPr>
        <w:t xml:space="preserve"> rei </w:t>
      </w:r>
      <w:proofErr w:type="spellStart"/>
      <w:r>
        <w:rPr>
          <w:rFonts w:ascii="Times New Roman" w:hAnsi="Times New Roman" w:cs="Times New Roman"/>
          <w:i/>
          <w:sz w:val="24"/>
          <w:szCs w:val="24"/>
        </w:rPr>
        <w:t>vindicatio</w:t>
      </w:r>
      <w:proofErr w:type="spellEnd"/>
      <w:r>
        <w:rPr>
          <w:rFonts w:ascii="Times New Roman" w:hAnsi="Times New Roman" w:cs="Times New Roman"/>
          <w:sz w:val="24"/>
          <w:szCs w:val="24"/>
        </w:rPr>
        <w:t xml:space="preserve"> as</w:t>
      </w:r>
      <w:r>
        <w:rPr>
          <w:rFonts w:ascii="Times New Roman" w:hAnsi="Times New Roman" w:cs="Times New Roman"/>
          <w:sz w:val="24"/>
          <w:szCs w:val="24"/>
          <w:lang w:val="en-US"/>
        </w:rPr>
        <w:t xml:space="preserve"> aptly captured in </w:t>
      </w:r>
      <w:r>
        <w:rPr>
          <w:rFonts w:ascii="Times New Roman" w:hAnsi="Times New Roman" w:cs="Times New Roman"/>
          <w:i/>
          <w:sz w:val="24"/>
          <w:szCs w:val="24"/>
          <w:lang w:val="en-US"/>
        </w:rPr>
        <w:t xml:space="preserve">January </w:t>
      </w:r>
      <w:r>
        <w:rPr>
          <w:rFonts w:ascii="Times New Roman" w:hAnsi="Times New Roman" w:cs="Times New Roman"/>
          <w:sz w:val="24"/>
          <w:szCs w:val="24"/>
          <w:lang w:val="en-US"/>
        </w:rPr>
        <w:t>v</w:t>
      </w: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Maferefu</w:t>
      </w:r>
      <w:proofErr w:type="spellEnd"/>
      <w:r>
        <w:rPr>
          <w:rFonts w:ascii="Times New Roman" w:hAnsi="Times New Roman" w:cs="Times New Roman"/>
          <w:sz w:val="24"/>
          <w:szCs w:val="24"/>
          <w:lang w:val="en-US"/>
        </w:rPr>
        <w:t xml:space="preserve"> S-14-20 at p. 7 are </w:t>
      </w:r>
      <w:r>
        <w:rPr>
          <w:rFonts w:ascii="Times New Roman" w:eastAsia="Calibri" w:hAnsi="Times New Roman" w:cs="Times New Roman"/>
          <w:sz w:val="24"/>
          <w:szCs w:val="24"/>
          <w:lang w:val="en-US"/>
        </w:rPr>
        <w:t>that the applicant is not the owner of the property in question; that the property in question no longer exists and can no longer be identified; that the respondent’s possession of such property is lawful and that the respondent is no longer in physical co</w:t>
      </w:r>
      <w:r>
        <w:rPr>
          <w:rFonts w:ascii="Times New Roman" w:eastAsia="Calibri" w:hAnsi="Times New Roman" w:cs="Times New Roman"/>
          <w:sz w:val="24"/>
          <w:szCs w:val="24"/>
          <w:lang w:val="en-US"/>
        </w:rPr>
        <w:t xml:space="preserve">ntrol of the property.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That the respondents are the owners of the shop is not in dispute. This dispenses with the first legally laid down requirement. The next enquiry is whether the appellant was in possession of the shop when the respondents instituted </w:t>
      </w:r>
      <w:r>
        <w:rPr>
          <w:rFonts w:ascii="Times New Roman" w:hAnsi="Times New Roman" w:cs="Times New Roman"/>
          <w:sz w:val="24"/>
          <w:szCs w:val="24"/>
        </w:rPr>
        <w:t xml:space="preserve">summons for eviction in the court a </w:t>
      </w:r>
      <w:r>
        <w:rPr>
          <w:rFonts w:ascii="Times New Roman" w:hAnsi="Times New Roman" w:cs="Times New Roman"/>
          <w:i/>
          <w:iCs/>
          <w:sz w:val="24"/>
          <w:szCs w:val="24"/>
        </w:rPr>
        <w:t>quo</w:t>
      </w:r>
      <w:r>
        <w:rPr>
          <w:rFonts w:ascii="Times New Roman" w:hAnsi="Times New Roman" w:cs="Times New Roman"/>
          <w:sz w:val="24"/>
          <w:szCs w:val="24"/>
        </w:rPr>
        <w:t xml:space="preserve">. Again, this is not in dispute and this satisfies the second requirement.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If I understood Mr </w:t>
      </w:r>
      <w:proofErr w:type="spellStart"/>
      <w:r>
        <w:rPr>
          <w:rFonts w:ascii="Times New Roman" w:hAnsi="Times New Roman" w:cs="Times New Roman"/>
          <w:i/>
          <w:iCs/>
          <w:sz w:val="24"/>
          <w:szCs w:val="24"/>
        </w:rPr>
        <w:t>Ziro</w:t>
      </w:r>
      <w:r>
        <w:rPr>
          <w:rFonts w:ascii="Times New Roman" w:hAnsi="Times New Roman" w:cs="Times New Roman"/>
          <w:sz w:val="24"/>
          <w:szCs w:val="24"/>
        </w:rPr>
        <w:t>’s</w:t>
      </w:r>
      <w:proofErr w:type="spellEnd"/>
      <w:r>
        <w:rPr>
          <w:rFonts w:ascii="Times New Roman" w:hAnsi="Times New Roman" w:cs="Times New Roman"/>
          <w:sz w:val="24"/>
          <w:szCs w:val="24"/>
        </w:rPr>
        <w:t xml:space="preserve"> argument correctly, then the appellant’s basis for resisting the claim for eviction is that firstly, the respondent</w:t>
      </w:r>
      <w:r>
        <w:rPr>
          <w:rFonts w:ascii="Times New Roman" w:hAnsi="Times New Roman" w:cs="Times New Roman"/>
          <w:sz w:val="24"/>
          <w:szCs w:val="24"/>
        </w:rPr>
        <w:t xml:space="preserve"> did not seek confirmation of the cancellation of the lease agreement and secondly, the appellant is not in breach of the lease agreement because there was a set off.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i/>
          <w:sz w:val="24"/>
          <w:szCs w:val="24"/>
        </w:rPr>
        <w:t>Supline</w:t>
      </w:r>
      <w:proofErr w:type="spellEnd"/>
      <w:r>
        <w:rPr>
          <w:rFonts w:ascii="Times New Roman" w:hAnsi="Times New Roman" w:cs="Times New Roman"/>
          <w:i/>
          <w:sz w:val="24"/>
          <w:szCs w:val="24"/>
        </w:rPr>
        <w:t xml:space="preserve"> Investments (Pvt) Ltd</w:t>
      </w:r>
      <w:r>
        <w:rPr>
          <w:rFonts w:ascii="Times New Roman" w:hAnsi="Times New Roman" w:cs="Times New Roman"/>
          <w:sz w:val="24"/>
          <w:szCs w:val="24"/>
        </w:rPr>
        <w:t xml:space="preserve"> v </w:t>
      </w:r>
      <w:r>
        <w:rPr>
          <w:rFonts w:ascii="Times New Roman" w:hAnsi="Times New Roman" w:cs="Times New Roman"/>
          <w:i/>
          <w:sz w:val="24"/>
          <w:szCs w:val="24"/>
        </w:rPr>
        <w:t>Forestry Co of Zimbabwe</w:t>
      </w:r>
      <w:r>
        <w:rPr>
          <w:rFonts w:ascii="Times New Roman" w:hAnsi="Times New Roman" w:cs="Times New Roman"/>
          <w:sz w:val="24"/>
          <w:szCs w:val="24"/>
        </w:rPr>
        <w:t xml:space="preserve"> 2007 (2) ZLR 280 (H) is authori</w:t>
      </w:r>
      <w:r>
        <w:rPr>
          <w:rFonts w:ascii="Times New Roman" w:hAnsi="Times New Roman" w:cs="Times New Roman"/>
          <w:sz w:val="24"/>
          <w:szCs w:val="24"/>
        </w:rPr>
        <w:t>ty for the proposition that a tenant has an undisputed obligation to pay rentals for property that it leases and that failure to do so entitles the landlord to eject the tenant. In the circumstances, once a claim for eviction is based on non-payment of ren</w:t>
      </w:r>
      <w:r>
        <w:rPr>
          <w:rFonts w:ascii="Times New Roman" w:hAnsi="Times New Roman" w:cs="Times New Roman"/>
          <w:sz w:val="24"/>
          <w:szCs w:val="24"/>
        </w:rPr>
        <w:t xml:space="preserve">tals, the court is at large to grant eviction.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case of </w:t>
      </w:r>
      <w:proofErr w:type="spellStart"/>
      <w:r>
        <w:rPr>
          <w:rFonts w:ascii="Times New Roman" w:hAnsi="Times New Roman" w:cs="Times New Roman"/>
          <w:i/>
          <w:sz w:val="24"/>
          <w:szCs w:val="24"/>
        </w:rPr>
        <w:t>Rolen</w:t>
      </w:r>
      <w:proofErr w:type="spellEnd"/>
      <w:r>
        <w:rPr>
          <w:rFonts w:ascii="Times New Roman" w:hAnsi="Times New Roman" w:cs="Times New Roman"/>
          <w:i/>
          <w:sz w:val="24"/>
          <w:szCs w:val="24"/>
        </w:rPr>
        <w:t xml:space="preserve"> Trading (Private) Limited</w:t>
      </w:r>
      <w:r>
        <w:rPr>
          <w:rFonts w:ascii="Times New Roman" w:hAnsi="Times New Roman" w:cs="Times New Roman"/>
          <w:sz w:val="24"/>
          <w:szCs w:val="24"/>
        </w:rPr>
        <w:t xml:space="preserve"> v </w:t>
      </w:r>
      <w:r>
        <w:rPr>
          <w:rFonts w:ascii="Times New Roman" w:hAnsi="Times New Roman" w:cs="Times New Roman"/>
          <w:i/>
          <w:sz w:val="24"/>
          <w:szCs w:val="24"/>
        </w:rPr>
        <w:t>Parkside Holdings (Private) Limited</w:t>
      </w:r>
      <w:r>
        <w:rPr>
          <w:rFonts w:ascii="Times New Roman" w:hAnsi="Times New Roman" w:cs="Times New Roman"/>
          <w:sz w:val="24"/>
          <w:szCs w:val="24"/>
        </w:rPr>
        <w:t xml:space="preserve"> S-106-22, cited by the appellant to support his argument does not in any way assist him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when, as already alluded to ear</w:t>
      </w:r>
      <w:r>
        <w:rPr>
          <w:rFonts w:ascii="Times New Roman" w:hAnsi="Times New Roman" w:cs="Times New Roman"/>
          <w:sz w:val="24"/>
          <w:szCs w:val="24"/>
        </w:rPr>
        <w:t xml:space="preserve">lier on in this judgment, Mr </w:t>
      </w:r>
      <w:proofErr w:type="spellStart"/>
      <w:r>
        <w:rPr>
          <w:rFonts w:ascii="Times New Roman" w:hAnsi="Times New Roman" w:cs="Times New Roman"/>
          <w:i/>
          <w:iCs/>
          <w:sz w:val="24"/>
          <w:szCs w:val="24"/>
        </w:rPr>
        <w:t>Ziro</w:t>
      </w:r>
      <w:proofErr w:type="spellEnd"/>
      <w:r>
        <w:rPr>
          <w:rFonts w:ascii="Times New Roman" w:hAnsi="Times New Roman" w:cs="Times New Roman"/>
          <w:sz w:val="24"/>
          <w:szCs w:val="24"/>
        </w:rPr>
        <w:t xml:space="preserve"> failed to pin point exactly where in that judgment the court adverted to the requirement to seek </w:t>
      </w:r>
      <w:r>
        <w:rPr>
          <w:rFonts w:ascii="Times New Roman" w:hAnsi="Times New Roman" w:cs="Times New Roman"/>
          <w:sz w:val="24"/>
          <w:szCs w:val="24"/>
        </w:rPr>
        <w:lastRenderedPageBreak/>
        <w:t>confirmation of cancellation of a lease agreement as a pre-requisite to an order for eviction. This is simply because the jud</w:t>
      </w:r>
      <w:r>
        <w:rPr>
          <w:rFonts w:ascii="Times New Roman" w:hAnsi="Times New Roman" w:cs="Times New Roman"/>
          <w:sz w:val="24"/>
          <w:szCs w:val="24"/>
        </w:rPr>
        <w:t>gment does not support his argument.</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The appellant’s question has already been settled by this court in the case of </w:t>
      </w:r>
      <w:r>
        <w:rPr>
          <w:rFonts w:ascii="Times New Roman" w:hAnsi="Times New Roman" w:cs="Times New Roman"/>
          <w:i/>
          <w:sz w:val="24"/>
          <w:szCs w:val="24"/>
        </w:rPr>
        <w:t>National Railways of Zimbabwe Contributory Pension Fund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Verigy</w:t>
      </w:r>
      <w:proofErr w:type="spellEnd"/>
      <w:r>
        <w:rPr>
          <w:rFonts w:ascii="Times New Roman" w:hAnsi="Times New Roman" w:cs="Times New Roman"/>
          <w:i/>
          <w:sz w:val="24"/>
          <w:szCs w:val="24"/>
        </w:rPr>
        <w:t xml:space="preserve"> Enterprises (Pvt) Ltd t/a </w:t>
      </w:r>
      <w:proofErr w:type="spellStart"/>
      <w:r>
        <w:rPr>
          <w:rFonts w:ascii="Times New Roman" w:hAnsi="Times New Roman" w:cs="Times New Roman"/>
          <w:i/>
          <w:sz w:val="24"/>
          <w:szCs w:val="24"/>
        </w:rPr>
        <w:t>Piccola</w:t>
      </w:r>
      <w:proofErr w:type="spellEnd"/>
      <w:r>
        <w:rPr>
          <w:rFonts w:ascii="Times New Roman" w:hAnsi="Times New Roman" w:cs="Times New Roman"/>
          <w:i/>
          <w:sz w:val="24"/>
          <w:szCs w:val="24"/>
        </w:rPr>
        <w:t xml:space="preserve"> Roma and Others</w:t>
      </w:r>
      <w:r>
        <w:rPr>
          <w:rFonts w:ascii="Times New Roman" w:hAnsi="Times New Roman" w:cs="Times New Roman"/>
          <w:sz w:val="24"/>
          <w:szCs w:val="24"/>
        </w:rPr>
        <w:t xml:space="preserve"> HB-13-17 at p5, wherein</w:t>
      </w:r>
      <w:r>
        <w:rPr>
          <w:rFonts w:ascii="Times New Roman" w:hAnsi="Times New Roman" w:cs="Times New Roman"/>
          <w:sz w:val="24"/>
          <w:szCs w:val="24"/>
        </w:rPr>
        <w:t xml:space="preserve"> </w:t>
      </w:r>
      <w:proofErr w:type="spellStart"/>
      <w:r>
        <w:rPr>
          <w:rFonts w:ascii="Times New Roman" w:eastAsia="Calibri" w:hAnsi="Times New Roman" w:cs="Times New Roman"/>
          <w:bCs/>
          <w:smallCaps/>
          <w:sz w:val="24"/>
          <w:szCs w:val="24"/>
          <w:lang w:val="en-GB"/>
        </w:rPr>
        <w:t>Mathonsi</w:t>
      </w:r>
      <w:proofErr w:type="spellEnd"/>
      <w:r>
        <w:rPr>
          <w:rFonts w:ascii="Times New Roman" w:eastAsia="Calibri" w:hAnsi="Times New Roman" w:cs="Times New Roman"/>
          <w:bCs/>
          <w:smallCaps/>
          <w:sz w:val="24"/>
          <w:szCs w:val="24"/>
          <w:lang w:val="en-GB"/>
        </w:rPr>
        <w:t xml:space="preserve"> J </w:t>
      </w:r>
      <w:r>
        <w:rPr>
          <w:rFonts w:ascii="Times New Roman" w:hAnsi="Times New Roman" w:cs="Times New Roman"/>
          <w:sz w:val="24"/>
          <w:szCs w:val="24"/>
        </w:rPr>
        <w:t xml:space="preserve">(as he then was) remarked that: -  </w:t>
      </w:r>
    </w:p>
    <w:p w:rsidR="00FA0EA4" w:rsidRDefault="009B7F50">
      <w:pPr>
        <w:pStyle w:val="ListParagraph"/>
        <w:spacing w:line="240" w:lineRule="auto"/>
        <w:jc w:val="both"/>
        <w:rPr>
          <w:rFonts w:ascii="Times New Roman" w:hAnsi="Times New Roman" w:cs="Times New Roman"/>
        </w:rPr>
      </w:pPr>
      <w:r>
        <w:rPr>
          <w:rFonts w:ascii="Times New Roman" w:hAnsi="Times New Roman" w:cs="Times New Roman"/>
        </w:rPr>
        <w:t>“In any event, the summons for eviction was issued on 17 December 2015 at a time when the applicant alleges that rental even for the months of November and December 2015 had not been paid. Such non-payment entitled the landlord to litigate at the time that</w:t>
      </w:r>
      <w:r>
        <w:rPr>
          <w:rFonts w:ascii="Times New Roman" w:hAnsi="Times New Roman" w:cs="Times New Roman"/>
        </w:rPr>
        <w:t xml:space="preserve"> it did. </w:t>
      </w:r>
      <w:r>
        <w:rPr>
          <w:rFonts w:ascii="Times New Roman" w:hAnsi="Times New Roman" w:cs="Times New Roman"/>
          <w:bCs/>
          <w:i/>
          <w:u w:val="single"/>
        </w:rPr>
        <w:t>In addition, I am not in the least persuaded that before seeking eviction the landlord was required to first cancel the agreement. It is trite that an eviction summons is sufficient notice of a cancellation.</w:t>
      </w:r>
      <w:r>
        <w:rPr>
          <w:rFonts w:ascii="Times New Roman" w:hAnsi="Times New Roman" w:cs="Times New Roman"/>
        </w:rPr>
        <w:t xml:space="preserve"> The first respondent was in breach by f</w:t>
      </w:r>
      <w:r>
        <w:rPr>
          <w:rFonts w:ascii="Times New Roman" w:hAnsi="Times New Roman" w:cs="Times New Roman"/>
        </w:rPr>
        <w:t>ailing pay rent adequately and was therefore not a statutory tenant.” [</w:t>
      </w:r>
      <w:r>
        <w:rPr>
          <w:rFonts w:ascii="Times New Roman" w:hAnsi="Times New Roman" w:cs="Times New Roman"/>
          <w:sz w:val="24"/>
          <w:szCs w:val="24"/>
        </w:rPr>
        <w:t>Emphasis mine</w:t>
      </w:r>
      <w:r>
        <w:rPr>
          <w:rFonts w:ascii="Times New Roman" w:hAnsi="Times New Roman" w:cs="Times New Roman"/>
        </w:rPr>
        <w:t>]</w:t>
      </w:r>
    </w:p>
    <w:p w:rsidR="00FA0EA4" w:rsidRDefault="00FA0EA4">
      <w:pPr>
        <w:pStyle w:val="ListParagraph"/>
        <w:spacing w:line="240" w:lineRule="auto"/>
        <w:jc w:val="both"/>
        <w:rPr>
          <w:rFonts w:ascii="Times New Roman" w:hAnsi="Times New Roman" w:cs="Times New Roman"/>
        </w:rPr>
      </w:pP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On the basis of this authority, that the respondents did not seek cancellation of the lease agreement before claiming eviction is neither here nor there. The very fact that one has filed summons to evict suffices as a sufficient warning of intention to can</w:t>
      </w:r>
      <w:r>
        <w:rPr>
          <w:rFonts w:ascii="Times New Roman" w:hAnsi="Times New Roman" w:cs="Times New Roman"/>
          <w:sz w:val="24"/>
          <w:szCs w:val="24"/>
        </w:rPr>
        <w:t xml:space="preserve">cel the lease agreement.  </w:t>
      </w:r>
    </w:p>
    <w:p w:rsidR="00FA0EA4" w:rsidRDefault="009B7F50">
      <w:pPr>
        <w:pStyle w:val="ListParagraph"/>
        <w:numPr>
          <w:ilvl w:val="0"/>
          <w:numId w:val="1"/>
        </w:numPr>
        <w:spacing w:line="360" w:lineRule="auto"/>
        <w:ind w:left="426" w:hanging="426"/>
        <w:jc w:val="both"/>
        <w:rPr>
          <w:rFonts w:ascii="Times New Roman" w:hAnsi="Times New Roman" w:cs="Times New Roman"/>
          <w:b/>
          <w:i/>
          <w:sz w:val="24"/>
          <w:szCs w:val="24"/>
        </w:rPr>
      </w:pPr>
      <w:r>
        <w:rPr>
          <w:rFonts w:ascii="Times New Roman" w:hAnsi="Times New Roman" w:cs="Times New Roman"/>
          <w:sz w:val="24"/>
          <w:szCs w:val="24"/>
        </w:rPr>
        <w:t xml:space="preserve">I therefore find no misdirection or error in the court </w:t>
      </w:r>
      <w:r>
        <w:rPr>
          <w:rFonts w:ascii="Times New Roman" w:hAnsi="Times New Roman" w:cs="Times New Roman"/>
          <w:i/>
          <w:sz w:val="24"/>
          <w:szCs w:val="24"/>
        </w:rPr>
        <w:t>a quo</w:t>
      </w:r>
      <w:r>
        <w:rPr>
          <w:rFonts w:ascii="Times New Roman" w:hAnsi="Times New Roman" w:cs="Times New Roman"/>
          <w:sz w:val="24"/>
          <w:szCs w:val="24"/>
        </w:rPr>
        <w:t xml:space="preserve"> granting eviction without ordering cancellation of the lease agreement.  </w:t>
      </w:r>
    </w:p>
    <w:p w:rsidR="00FA0EA4" w:rsidRDefault="009B7F50">
      <w:pPr>
        <w:spacing w:line="36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t>WHETHER THE COURT A QUO ERRED IN MAKING A FINDING THAT THERE WAS NO SET OFF AND WHETHER OR NOT</w:t>
      </w:r>
      <w:r>
        <w:rPr>
          <w:rFonts w:ascii="Times New Roman" w:hAnsi="Times New Roman" w:cs="Times New Roman"/>
          <w:b/>
          <w:iCs/>
          <w:sz w:val="24"/>
          <w:szCs w:val="24"/>
          <w:u w:val="single"/>
        </w:rPr>
        <w:t xml:space="preserve"> THE COURT ERRED IN DISREGARDING THE APPELLANT'S COUNTERCLAIM</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 have co-joined these two issues for expediency since they speak to the same issue. The appellant claims that rental arrears ought to have been set off by the improvements made to the shop. Set</w:t>
      </w:r>
      <w:r>
        <w:rPr>
          <w:rFonts w:ascii="Times New Roman" w:hAnsi="Times New Roman" w:cs="Times New Roman"/>
          <w:sz w:val="24"/>
          <w:szCs w:val="24"/>
        </w:rPr>
        <w:t xml:space="preserve"> off is available when parties are equally indebted to each other, that is, the parties have a reciprocal debt. See </w:t>
      </w:r>
      <w:r>
        <w:rPr>
          <w:rFonts w:ascii="Times New Roman" w:hAnsi="Times New Roman" w:cs="Times New Roman"/>
          <w:i/>
          <w:sz w:val="24"/>
          <w:szCs w:val="24"/>
        </w:rPr>
        <w:t>National Society Security Authority</w:t>
      </w:r>
      <w:r>
        <w:rPr>
          <w:rFonts w:ascii="Times New Roman" w:hAnsi="Times New Roman" w:cs="Times New Roman"/>
          <w:sz w:val="24"/>
          <w:szCs w:val="24"/>
        </w:rPr>
        <w:t xml:space="preserve"> v </w:t>
      </w:r>
      <w:r>
        <w:rPr>
          <w:rFonts w:ascii="Times New Roman" w:hAnsi="Times New Roman" w:cs="Times New Roman"/>
          <w:i/>
          <w:sz w:val="24"/>
          <w:szCs w:val="24"/>
        </w:rPr>
        <w:t xml:space="preserve">Alec Royals and </w:t>
      </w:r>
      <w:proofErr w:type="spellStart"/>
      <w:r>
        <w:rPr>
          <w:rFonts w:ascii="Times New Roman" w:hAnsi="Times New Roman" w:cs="Times New Roman"/>
          <w:i/>
          <w:sz w:val="24"/>
          <w:szCs w:val="24"/>
        </w:rPr>
        <w:t>Skotril</w:t>
      </w:r>
      <w:proofErr w:type="spellEnd"/>
      <w:r>
        <w:rPr>
          <w:rFonts w:ascii="Times New Roman" w:hAnsi="Times New Roman" w:cs="Times New Roman"/>
          <w:i/>
          <w:sz w:val="24"/>
          <w:szCs w:val="24"/>
        </w:rPr>
        <w:t xml:space="preserve"> (Private) Limited and Anor</w:t>
      </w:r>
      <w:r>
        <w:rPr>
          <w:rFonts w:ascii="Times New Roman" w:hAnsi="Times New Roman" w:cs="Times New Roman"/>
          <w:sz w:val="24"/>
          <w:szCs w:val="24"/>
        </w:rPr>
        <w:t xml:space="preserve"> HH-236-10 at p6. </w:t>
      </w:r>
    </w:p>
    <w:p w:rsidR="00FA0EA4" w:rsidRDefault="009B7F50">
      <w:pPr>
        <w:pStyle w:val="ListParagraph"/>
        <w:numPr>
          <w:ilvl w:val="0"/>
          <w:numId w:val="1"/>
        </w:numPr>
        <w:spacing w:after="0" w:line="360" w:lineRule="auto"/>
        <w:ind w:left="426" w:hanging="426"/>
        <w:jc w:val="both"/>
        <w:rPr>
          <w:rFonts w:ascii="Times New Roman" w:hAnsi="Times New Roman" w:cs="Times New Roman"/>
        </w:rPr>
      </w:pPr>
      <w:r>
        <w:rPr>
          <w:rFonts w:ascii="Times New Roman" w:hAnsi="Times New Roman" w:cs="Times New Roman"/>
          <w:sz w:val="24"/>
          <w:szCs w:val="24"/>
        </w:rPr>
        <w:t>To evaluate whether the appellant</w:t>
      </w:r>
      <w:r>
        <w:rPr>
          <w:rFonts w:ascii="Times New Roman" w:hAnsi="Times New Roman" w:cs="Times New Roman"/>
          <w:sz w:val="24"/>
          <w:szCs w:val="24"/>
        </w:rPr>
        <w:t xml:space="preserve"> was entitled to set off, one needs to look at the basis upon which compensation for improvements made on the shop is being sought. In this regard, the appellant states </w:t>
      </w:r>
      <w:proofErr w:type="gramStart"/>
      <w:r>
        <w:rPr>
          <w:rFonts w:ascii="Times New Roman" w:hAnsi="Times New Roman" w:cs="Times New Roman"/>
          <w:sz w:val="24"/>
          <w:szCs w:val="24"/>
        </w:rPr>
        <w:t>that improvements</w:t>
      </w:r>
      <w:proofErr w:type="gramEnd"/>
      <w:r>
        <w:rPr>
          <w:rFonts w:ascii="Times New Roman" w:hAnsi="Times New Roman" w:cs="Times New Roman"/>
          <w:sz w:val="24"/>
          <w:szCs w:val="24"/>
        </w:rPr>
        <w:t xml:space="preserve"> were done pursuant to a verbal agreement between him and Mr </w:t>
      </w:r>
      <w:proofErr w:type="spellStart"/>
      <w:r>
        <w:rPr>
          <w:rFonts w:ascii="Times New Roman" w:hAnsi="Times New Roman" w:cs="Times New Roman"/>
          <w:iCs/>
          <w:sz w:val="24"/>
          <w:szCs w:val="24"/>
        </w:rPr>
        <w:t>Nhema</w:t>
      </w:r>
      <w:proofErr w:type="spellEnd"/>
      <w:r>
        <w:rPr>
          <w:rFonts w:ascii="Times New Roman" w:hAnsi="Times New Roman" w:cs="Times New Roman"/>
          <w:sz w:val="24"/>
          <w:szCs w:val="24"/>
        </w:rPr>
        <w:t>. Th</w:t>
      </w:r>
      <w:r>
        <w:rPr>
          <w:rFonts w:ascii="Times New Roman" w:hAnsi="Times New Roman" w:cs="Times New Roman"/>
          <w:sz w:val="24"/>
          <w:szCs w:val="24"/>
        </w:rPr>
        <w:t xml:space="preserve">e proof of that verbal agreement is an email exchanged between the appellant and Mr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xml:space="preserve"> in which the appellant was following up on a verbal agreement concerning the respondents’ welder. The appellant noted that it </w:t>
      </w:r>
      <w:r>
        <w:rPr>
          <w:rFonts w:ascii="Times New Roman" w:hAnsi="Times New Roman" w:cs="Times New Roman"/>
          <w:sz w:val="24"/>
          <w:szCs w:val="24"/>
        </w:rPr>
        <w:lastRenderedPageBreak/>
        <w:t xml:space="preserve">appeared the welder would never come to </w:t>
      </w:r>
      <w:r>
        <w:rPr>
          <w:rFonts w:ascii="Times New Roman" w:hAnsi="Times New Roman" w:cs="Times New Roman"/>
          <w:sz w:val="24"/>
          <w:szCs w:val="24"/>
        </w:rPr>
        <w:t>secure the shop close to the roof top where people were urinating and the urine was seeping into the shop. The appellant further stated that he had purchased seven locksets to secure the gates in the basement as he was waiting for the welder to come and we</w:t>
      </w:r>
      <w:r>
        <w:rPr>
          <w:rFonts w:ascii="Times New Roman" w:hAnsi="Times New Roman" w:cs="Times New Roman"/>
          <w:sz w:val="24"/>
          <w:szCs w:val="24"/>
        </w:rPr>
        <w:t xml:space="preserve">ld after which he would be in a position to advise Mr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xml:space="preserve"> of the full cost. He further complained that whenever he met the welder, the welder would give him funny excuses and he could not wait forever because the shop needed to be secured. He indicated t</w:t>
      </w:r>
      <w:r>
        <w:rPr>
          <w:rFonts w:ascii="Times New Roman" w:hAnsi="Times New Roman" w:cs="Times New Roman"/>
          <w:sz w:val="24"/>
          <w:szCs w:val="24"/>
        </w:rPr>
        <w:t xml:space="preserve">hat he would give Mr </w:t>
      </w:r>
      <w:proofErr w:type="spellStart"/>
      <w:r>
        <w:rPr>
          <w:rFonts w:ascii="Times New Roman" w:hAnsi="Times New Roman" w:cs="Times New Roman"/>
          <w:sz w:val="24"/>
          <w:szCs w:val="24"/>
        </w:rPr>
        <w:t>Nhema</w:t>
      </w:r>
      <w:proofErr w:type="spellEnd"/>
      <w:r>
        <w:rPr>
          <w:rFonts w:ascii="Times New Roman" w:hAnsi="Times New Roman" w:cs="Times New Roman"/>
          <w:sz w:val="24"/>
          <w:szCs w:val="24"/>
        </w:rPr>
        <w:t xml:space="preserve"> a quotation he had obtained from his private welder who was coming to do the job.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position of the law when it comes to verbal agreements is clear. In </w:t>
      </w:r>
      <w:r>
        <w:rPr>
          <w:rFonts w:ascii="Times New Roman" w:hAnsi="Times New Roman" w:cs="Times New Roman"/>
          <w:i/>
          <w:sz w:val="24"/>
          <w:szCs w:val="24"/>
        </w:rPr>
        <w:t>Goodwood Hotels (Private) Limited t/a Cutty Sark Hotel</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Hunzvi</w:t>
      </w:r>
      <w:proofErr w:type="spellEnd"/>
      <w:r>
        <w:rPr>
          <w:rFonts w:ascii="Times New Roman" w:hAnsi="Times New Roman" w:cs="Times New Roman"/>
          <w:i/>
          <w:sz w:val="24"/>
          <w:szCs w:val="24"/>
        </w:rPr>
        <w:t xml:space="preserve"> and Anothe</w:t>
      </w:r>
      <w:r>
        <w:rPr>
          <w:rFonts w:ascii="Times New Roman" w:hAnsi="Times New Roman" w:cs="Times New Roman"/>
          <w:i/>
          <w:sz w:val="24"/>
          <w:szCs w:val="24"/>
        </w:rPr>
        <w:t>r</w:t>
      </w:r>
      <w:r>
        <w:rPr>
          <w:rFonts w:ascii="Times New Roman" w:hAnsi="Times New Roman" w:cs="Times New Roman"/>
          <w:sz w:val="24"/>
          <w:szCs w:val="24"/>
        </w:rPr>
        <w:t xml:space="preserve"> S-44-24 at p8, the court stated:</w:t>
      </w:r>
    </w:p>
    <w:p w:rsidR="00FA0EA4" w:rsidRDefault="009B7F50">
      <w:pPr>
        <w:pStyle w:val="Default"/>
        <w:ind w:left="720"/>
        <w:jc w:val="both"/>
        <w:rPr>
          <w:rFonts w:ascii="Times New Roman" w:hAnsi="Times New Roman" w:cs="Times New Roman"/>
          <w:color w:val="auto"/>
          <w:sz w:val="22"/>
          <w:szCs w:val="22"/>
        </w:rPr>
      </w:pPr>
      <w:r>
        <w:rPr>
          <w:rFonts w:ascii="Times New Roman" w:hAnsi="Times New Roman" w:cs="Times New Roman"/>
          <w:color w:val="auto"/>
          <w:sz w:val="22"/>
          <w:szCs w:val="22"/>
        </w:rPr>
        <w:t>“As stated by D</w:t>
      </w:r>
      <w:r>
        <w:rPr>
          <w:rFonts w:ascii="Times New Roman" w:hAnsi="Times New Roman" w:cs="Times New Roman"/>
          <w:smallCaps/>
          <w:color w:val="auto"/>
          <w:sz w:val="22"/>
          <w:szCs w:val="22"/>
        </w:rPr>
        <w:t>ube</w:t>
      </w:r>
      <w:r>
        <w:rPr>
          <w:rFonts w:ascii="Times New Roman" w:hAnsi="Times New Roman" w:cs="Times New Roman"/>
          <w:color w:val="auto"/>
          <w:sz w:val="22"/>
          <w:szCs w:val="22"/>
        </w:rPr>
        <w:t xml:space="preserve"> J (as she then was) in the case of </w:t>
      </w:r>
      <w:r>
        <w:rPr>
          <w:rFonts w:ascii="Times New Roman" w:hAnsi="Times New Roman" w:cs="Times New Roman"/>
          <w:i/>
          <w:iCs/>
          <w:color w:val="auto"/>
          <w:sz w:val="22"/>
          <w:szCs w:val="22"/>
        </w:rPr>
        <w:t xml:space="preserve">Delta Beverages (Private) Limited </w:t>
      </w:r>
      <w:r>
        <w:rPr>
          <w:rFonts w:ascii="Times New Roman" w:hAnsi="Times New Roman" w:cs="Times New Roman"/>
          <w:iCs/>
          <w:color w:val="auto"/>
          <w:sz w:val="22"/>
          <w:szCs w:val="22"/>
        </w:rPr>
        <w:t>v</w:t>
      </w:r>
      <w:r>
        <w:rPr>
          <w:rFonts w:ascii="Times New Roman" w:hAnsi="Times New Roman" w:cs="Times New Roman"/>
          <w:i/>
          <w:iCs/>
          <w:color w:val="auto"/>
          <w:sz w:val="22"/>
          <w:szCs w:val="22"/>
        </w:rPr>
        <w:t xml:space="preserve"> Private Investments (Private) Limited </w:t>
      </w:r>
      <w:r>
        <w:rPr>
          <w:rFonts w:ascii="Times New Roman" w:hAnsi="Times New Roman" w:cs="Times New Roman"/>
          <w:color w:val="auto"/>
          <w:sz w:val="22"/>
          <w:szCs w:val="22"/>
        </w:rPr>
        <w:t>HH 135/18 at p 4:</w:t>
      </w:r>
    </w:p>
    <w:p w:rsidR="00FA0EA4" w:rsidRDefault="009B7F50">
      <w:pPr>
        <w:pStyle w:val="Default"/>
        <w:ind w:left="1440"/>
        <w:jc w:val="both"/>
        <w:rPr>
          <w:rFonts w:ascii="Times New Roman" w:hAnsi="Times New Roman" w:cs="Times New Roman"/>
          <w:color w:val="auto"/>
          <w:sz w:val="20"/>
          <w:szCs w:val="20"/>
        </w:rPr>
      </w:pPr>
      <w:r>
        <w:rPr>
          <w:rFonts w:ascii="Times New Roman" w:hAnsi="Times New Roman" w:cs="Times New Roman"/>
          <w:color w:val="auto"/>
          <w:sz w:val="20"/>
          <w:szCs w:val="20"/>
        </w:rPr>
        <w:t>“The oral contract, sometimes referred to as the invisible contract, is one of the most difficult to prove. What makes this so is the lack of hard evidence of the existence of the contract. The essentials of a verbal contract are the same as those of a wri</w:t>
      </w:r>
      <w:r>
        <w:rPr>
          <w:rFonts w:ascii="Times New Roman" w:hAnsi="Times New Roman" w:cs="Times New Roman"/>
          <w:color w:val="auto"/>
          <w:sz w:val="20"/>
          <w:szCs w:val="20"/>
        </w:rPr>
        <w:t>tten contract. There must be an offer and an acceptance of the contract, existence of consideration, the parties must have the capacity to enter into the contract, and the parties must intend to enter into the contract and create a binding relationship. Th</w:t>
      </w:r>
      <w:r>
        <w:rPr>
          <w:rFonts w:ascii="Times New Roman" w:hAnsi="Times New Roman" w:cs="Times New Roman"/>
          <w:color w:val="auto"/>
          <w:sz w:val="20"/>
          <w:szCs w:val="20"/>
        </w:rPr>
        <w:t>e courts will not endorse an oral contract where any of the essential elements of a valid contract have not been proved. The terms of the oral contract must be proved and there must be agreement and understanding of the terms of the contract by the parties</w:t>
      </w:r>
      <w:r>
        <w:rPr>
          <w:rFonts w:ascii="Times New Roman" w:hAnsi="Times New Roman" w:cs="Times New Roman"/>
          <w:color w:val="auto"/>
          <w:sz w:val="20"/>
          <w:szCs w:val="20"/>
        </w:rPr>
        <w:t>. An oral contract that meets all the requirements of a contract is binding on the parties and gives rise to a legally enforceable relationship. There must be a meeting of the minds or a reasonable belief by the parties that there is consensus. A party who</w:t>
      </w:r>
      <w:r>
        <w:rPr>
          <w:rFonts w:ascii="Times New Roman" w:hAnsi="Times New Roman" w:cs="Times New Roman"/>
          <w:color w:val="auto"/>
          <w:sz w:val="20"/>
          <w:szCs w:val="20"/>
        </w:rPr>
        <w:t xml:space="preserve"> alleges the existence of an oral agreement has the onus to prove the existence of the agreement on a balance of probabilities.” </w:t>
      </w:r>
    </w:p>
    <w:p w:rsidR="00FA0EA4" w:rsidRDefault="00FA0EA4">
      <w:pPr>
        <w:pStyle w:val="Default"/>
        <w:ind w:left="1440"/>
        <w:jc w:val="both"/>
        <w:rPr>
          <w:rFonts w:ascii="Times New Roman" w:hAnsi="Times New Roman" w:cs="Times New Roman"/>
          <w:color w:val="auto"/>
          <w:sz w:val="20"/>
          <w:szCs w:val="20"/>
        </w:rPr>
      </w:pP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this is the test to be satisfied by the appellant for the purported verbal agreement to be held as valid. The email </w:t>
      </w:r>
      <w:r>
        <w:rPr>
          <w:rFonts w:ascii="Times New Roman" w:hAnsi="Times New Roman" w:cs="Times New Roman"/>
          <w:sz w:val="24"/>
          <w:szCs w:val="24"/>
        </w:rPr>
        <w:t xml:space="preserve">being the exclusive proof which was presented before the court </w:t>
      </w:r>
      <w:r>
        <w:rPr>
          <w:rFonts w:ascii="Times New Roman" w:hAnsi="Times New Roman" w:cs="Times New Roman"/>
          <w:i/>
          <w:sz w:val="24"/>
          <w:szCs w:val="24"/>
        </w:rPr>
        <w:t>a quo,</w:t>
      </w:r>
      <w:r>
        <w:rPr>
          <w:rFonts w:ascii="Times New Roman" w:hAnsi="Times New Roman" w:cs="Times New Roman"/>
          <w:sz w:val="24"/>
          <w:szCs w:val="24"/>
        </w:rPr>
        <w:t xml:space="preserve"> the appellant was obliged to prove the existence of the verbal agreement on a balance of probabilities. In my judgment, the email is bereft of several requirements of a valid contract. I</w:t>
      </w:r>
      <w:r>
        <w:rPr>
          <w:rFonts w:ascii="Times New Roman" w:hAnsi="Times New Roman" w:cs="Times New Roman"/>
          <w:sz w:val="24"/>
          <w:szCs w:val="24"/>
        </w:rPr>
        <w:t>t does not show that there was an offer and acceptance. It does not in any way prove that the parties intended to enter into a binding agreement. In any event, the email is a one-way correspondence from the appellant and has no response from the respondent</w:t>
      </w:r>
      <w:r>
        <w:rPr>
          <w:rFonts w:ascii="Times New Roman" w:hAnsi="Times New Roman" w:cs="Times New Roman"/>
          <w:sz w:val="24"/>
          <w:szCs w:val="24"/>
        </w:rPr>
        <w:t xml:space="preserve">s or Mr </w:t>
      </w:r>
      <w:proofErr w:type="spellStart"/>
      <w:r>
        <w:rPr>
          <w:rFonts w:ascii="Times New Roman" w:hAnsi="Times New Roman" w:cs="Times New Roman"/>
          <w:i/>
          <w:sz w:val="24"/>
          <w:szCs w:val="24"/>
        </w:rPr>
        <w:t>Nhema</w:t>
      </w:r>
      <w:proofErr w:type="spellEnd"/>
      <w:r>
        <w:rPr>
          <w:rFonts w:ascii="Times New Roman" w:hAnsi="Times New Roman" w:cs="Times New Roman"/>
          <w:sz w:val="24"/>
          <w:szCs w:val="24"/>
        </w:rPr>
        <w:t xml:space="preserve">. Further, there is no proof that Mr </w:t>
      </w:r>
      <w:proofErr w:type="spellStart"/>
      <w:r>
        <w:rPr>
          <w:rFonts w:ascii="Times New Roman" w:hAnsi="Times New Roman" w:cs="Times New Roman"/>
          <w:i/>
          <w:sz w:val="24"/>
          <w:szCs w:val="24"/>
        </w:rPr>
        <w:t>Nhema</w:t>
      </w:r>
      <w:proofErr w:type="spellEnd"/>
      <w:r>
        <w:rPr>
          <w:rFonts w:ascii="Times New Roman" w:hAnsi="Times New Roman" w:cs="Times New Roman"/>
          <w:sz w:val="24"/>
          <w:szCs w:val="24"/>
        </w:rPr>
        <w:t xml:space="preserve"> had agreed or knew of what was being talked about in the email. The appellant’s challenge was compounded by the fact that Mr </w:t>
      </w:r>
      <w:proofErr w:type="spellStart"/>
      <w:r>
        <w:rPr>
          <w:rFonts w:ascii="Times New Roman" w:hAnsi="Times New Roman" w:cs="Times New Roman"/>
          <w:i/>
          <w:sz w:val="24"/>
          <w:szCs w:val="24"/>
        </w:rPr>
        <w:t>Nhema</w:t>
      </w:r>
      <w:proofErr w:type="spellEnd"/>
      <w:r>
        <w:rPr>
          <w:rFonts w:ascii="Times New Roman" w:hAnsi="Times New Roman" w:cs="Times New Roman"/>
          <w:sz w:val="24"/>
          <w:szCs w:val="24"/>
        </w:rPr>
        <w:t xml:space="preserve"> did not give evidence in the court a </w:t>
      </w:r>
      <w:r>
        <w:rPr>
          <w:rFonts w:ascii="Times New Roman" w:hAnsi="Times New Roman" w:cs="Times New Roman"/>
          <w:i/>
          <w:iCs/>
          <w:sz w:val="24"/>
          <w:szCs w:val="24"/>
        </w:rPr>
        <w:t>quo</w:t>
      </w:r>
      <w:r>
        <w:rPr>
          <w:rFonts w:ascii="Times New Roman" w:hAnsi="Times New Roman" w:cs="Times New Roman"/>
          <w:sz w:val="24"/>
          <w:szCs w:val="24"/>
        </w:rPr>
        <w:t>, because he was reportedly i</w:t>
      </w:r>
      <w:r>
        <w:rPr>
          <w:rFonts w:ascii="Times New Roman" w:hAnsi="Times New Roman" w:cs="Times New Roman"/>
          <w:sz w:val="24"/>
          <w:szCs w:val="24"/>
        </w:rPr>
        <w:t xml:space="preserve">ndisposed and could not be called as a witness. Further, by the appellant’s </w:t>
      </w:r>
      <w:r>
        <w:rPr>
          <w:rFonts w:ascii="Times New Roman" w:hAnsi="Times New Roman" w:cs="Times New Roman"/>
          <w:sz w:val="24"/>
          <w:szCs w:val="24"/>
        </w:rPr>
        <w:lastRenderedPageBreak/>
        <w:t>own submissions, the respondents were being ‘coy and evasive in discussing and finalising the issue’. In light circumstances surrounding the purported verbal agreement, the appella</w:t>
      </w:r>
      <w:r>
        <w:rPr>
          <w:rFonts w:ascii="Times New Roman" w:hAnsi="Times New Roman" w:cs="Times New Roman"/>
          <w:sz w:val="24"/>
          <w:szCs w:val="24"/>
        </w:rPr>
        <w:t xml:space="preserve">nt cannot insist on there being a binding verbal agreement entered into between the parties.  </w:t>
      </w:r>
    </w:p>
    <w:p w:rsidR="00FA0EA4" w:rsidRDefault="009B7F5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w:t>
      </w:r>
      <w:r>
        <w:rPr>
          <w:rFonts w:ascii="Times New Roman" w:hAnsi="Times New Roman" w:cs="Times New Roman"/>
          <w:i/>
          <w:iCs/>
          <w:sz w:val="24"/>
          <w:szCs w:val="24"/>
        </w:rPr>
        <w:t>quo</w:t>
      </w:r>
      <w:r>
        <w:rPr>
          <w:rFonts w:ascii="Times New Roman" w:hAnsi="Times New Roman" w:cs="Times New Roman"/>
          <w:sz w:val="24"/>
          <w:szCs w:val="24"/>
        </w:rPr>
        <w:t xml:space="preserve"> took issue with the fact that this email was not responded to and determined that the appellant should have pushed for a written consent explicit</w:t>
      </w:r>
      <w:r>
        <w:rPr>
          <w:rFonts w:ascii="Times New Roman" w:hAnsi="Times New Roman" w:cs="Times New Roman"/>
          <w:sz w:val="24"/>
          <w:szCs w:val="24"/>
        </w:rPr>
        <w:t xml:space="preserve">ly allowing him to make the improvements. The court a </w:t>
      </w:r>
      <w:r>
        <w:rPr>
          <w:rFonts w:ascii="Times New Roman" w:hAnsi="Times New Roman" w:cs="Times New Roman"/>
          <w:i/>
          <w:iCs/>
          <w:sz w:val="24"/>
          <w:szCs w:val="24"/>
        </w:rPr>
        <w:t>quo</w:t>
      </w:r>
      <w:r>
        <w:rPr>
          <w:rFonts w:ascii="Times New Roman" w:hAnsi="Times New Roman" w:cs="Times New Roman"/>
          <w:sz w:val="24"/>
          <w:szCs w:val="24"/>
        </w:rPr>
        <w:t xml:space="preserve"> found, further, that the email did not dictate the extent of the improvements that the appellant was permitted, if any, to make on the shop and that the improvements made in relation to the ceiling </w:t>
      </w:r>
      <w:r>
        <w:rPr>
          <w:rFonts w:ascii="Times New Roman" w:hAnsi="Times New Roman" w:cs="Times New Roman"/>
          <w:sz w:val="24"/>
          <w:szCs w:val="24"/>
        </w:rPr>
        <w:t xml:space="preserve">and anything else outside the locks could as well have been the appellant going on a frolic of his own. The court a </w:t>
      </w:r>
      <w:r>
        <w:rPr>
          <w:rFonts w:ascii="Times New Roman" w:hAnsi="Times New Roman" w:cs="Times New Roman"/>
          <w:i/>
          <w:iCs/>
          <w:sz w:val="24"/>
          <w:szCs w:val="24"/>
        </w:rPr>
        <w:t xml:space="preserve">quo </w:t>
      </w:r>
      <w:r>
        <w:rPr>
          <w:rFonts w:ascii="Times New Roman" w:hAnsi="Times New Roman" w:cs="Times New Roman"/>
          <w:sz w:val="24"/>
          <w:szCs w:val="24"/>
        </w:rPr>
        <w:t>also found that the email did not dictate that the appellant would indeed be reimbursed for his efforts in the property and that the app</w:t>
      </w:r>
      <w:r>
        <w:rPr>
          <w:rFonts w:ascii="Times New Roman" w:hAnsi="Times New Roman" w:cs="Times New Roman"/>
          <w:sz w:val="24"/>
          <w:szCs w:val="24"/>
        </w:rPr>
        <w:t xml:space="preserve">ellant would be allowed to make the improvements himself since there was talk that there was an actual welder to </w:t>
      </w:r>
      <w:proofErr w:type="spellStart"/>
      <w:r>
        <w:rPr>
          <w:rFonts w:ascii="Times New Roman" w:hAnsi="Times New Roman" w:cs="Times New Roman"/>
          <w:sz w:val="24"/>
          <w:szCs w:val="24"/>
        </w:rPr>
        <w:t>instal</w:t>
      </w:r>
      <w:proofErr w:type="spellEnd"/>
      <w:r>
        <w:rPr>
          <w:rFonts w:ascii="Times New Roman" w:hAnsi="Times New Roman" w:cs="Times New Roman"/>
          <w:sz w:val="24"/>
          <w:szCs w:val="24"/>
        </w:rPr>
        <w:t xml:space="preserve"> the locks. </w:t>
      </w:r>
    </w:p>
    <w:p w:rsidR="00FA0EA4" w:rsidRDefault="009B7F5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the court a </w:t>
      </w:r>
      <w:r>
        <w:rPr>
          <w:rFonts w:ascii="Times New Roman" w:hAnsi="Times New Roman" w:cs="Times New Roman"/>
          <w:i/>
          <w:iCs/>
          <w:sz w:val="24"/>
          <w:szCs w:val="24"/>
        </w:rPr>
        <w:t>quo</w:t>
      </w:r>
      <w:r>
        <w:rPr>
          <w:rFonts w:ascii="Times New Roman" w:hAnsi="Times New Roman" w:cs="Times New Roman"/>
          <w:sz w:val="24"/>
          <w:szCs w:val="24"/>
        </w:rPr>
        <w:t xml:space="preserve"> reasoned  that the improvements had been done prior to the enactment of </w:t>
      </w:r>
      <w:r>
        <w:rPr>
          <w:rFonts w:ascii="Times New Roman" w:hAnsi="Times New Roman" w:cs="Times New Roman"/>
          <w:sz w:val="24"/>
          <w:szCs w:val="24"/>
          <w:lang w:val="en-GB"/>
        </w:rPr>
        <w:t>Statutory Instrument 33/201</w:t>
      </w:r>
      <w:r>
        <w:rPr>
          <w:rFonts w:ascii="Times New Roman" w:hAnsi="Times New Roman" w:cs="Times New Roman"/>
          <w:sz w:val="24"/>
          <w:szCs w:val="24"/>
          <w:lang w:val="en-GB"/>
        </w:rPr>
        <w:t xml:space="preserve">9 (also known as the Presidential Powers (Temporary Measures) (Amendment of Reserve Bank of Zimbabwe Act and Issue of Real Time Gross Settlement Electronic Dollars (RTGS Dollars)) Regulations, 2019), on the basis of which </w:t>
      </w:r>
      <w:r>
        <w:rPr>
          <w:rFonts w:ascii="Times New Roman" w:hAnsi="Times New Roman" w:cs="Times New Roman"/>
          <w:sz w:val="24"/>
          <w:szCs w:val="24"/>
          <w:lang w:bidi="en-US"/>
        </w:rPr>
        <w:t xml:space="preserve">contractual obligations valued in </w:t>
      </w:r>
      <w:r>
        <w:rPr>
          <w:rFonts w:ascii="Times New Roman" w:hAnsi="Times New Roman" w:cs="Times New Roman"/>
          <w:sz w:val="24"/>
          <w:szCs w:val="24"/>
          <w:lang w:bidi="en-US"/>
        </w:rPr>
        <w:t>United States dollars immediately before 22 February 2019, were to be paid in RTGS dollars at parity or at a one-to-one rate. It found that the receipts did not show that payments were made in United States dollars and determined that the appellant could n</w:t>
      </w:r>
      <w:r>
        <w:rPr>
          <w:rFonts w:ascii="Times New Roman" w:hAnsi="Times New Roman" w:cs="Times New Roman"/>
          <w:sz w:val="24"/>
          <w:szCs w:val="24"/>
          <w:lang w:bidi="en-US"/>
        </w:rPr>
        <w:t xml:space="preserve">ot be reimbursed. </w:t>
      </w:r>
      <w:r>
        <w:rPr>
          <w:rFonts w:ascii="Times New Roman" w:hAnsi="Times New Roman" w:cs="Times New Roman"/>
          <w:sz w:val="24"/>
          <w:szCs w:val="24"/>
        </w:rPr>
        <w:t xml:space="preserve">The court a </w:t>
      </w:r>
      <w:r>
        <w:rPr>
          <w:rFonts w:ascii="Times New Roman" w:hAnsi="Times New Roman" w:cs="Times New Roman"/>
          <w:i/>
          <w:iCs/>
          <w:sz w:val="24"/>
          <w:szCs w:val="24"/>
        </w:rPr>
        <w:t>quo</w:t>
      </w:r>
      <w:r>
        <w:rPr>
          <w:rFonts w:ascii="Times New Roman" w:hAnsi="Times New Roman" w:cs="Times New Roman"/>
          <w:sz w:val="24"/>
          <w:szCs w:val="24"/>
        </w:rPr>
        <w:t xml:space="preserve"> concluded that it could be that the appellant’s impatience got the better of him and he proceeded to make improvements without the respondents’ express authority.</w:t>
      </w:r>
    </w:p>
    <w:p w:rsidR="00FA0EA4" w:rsidRDefault="009B7F50">
      <w:pPr>
        <w:pStyle w:val="ListParagraph"/>
        <w:numPr>
          <w:ilvl w:val="0"/>
          <w:numId w:val="1"/>
        </w:numPr>
        <w:spacing w:line="360" w:lineRule="auto"/>
        <w:ind w:left="426" w:hanging="426"/>
        <w:jc w:val="both"/>
        <w:rPr>
          <w:rFonts w:ascii="Times New Roman" w:hAnsi="Times New Roman" w:cs="Times New Roman"/>
          <w:b/>
          <w:iCs/>
          <w:sz w:val="24"/>
          <w:szCs w:val="24"/>
          <w:u w:val="single"/>
        </w:rPr>
      </w:pPr>
      <w:r>
        <w:rPr>
          <w:rFonts w:ascii="Times New Roman" w:hAnsi="Times New Roman" w:cs="Times New Roman"/>
          <w:sz w:val="24"/>
          <w:szCs w:val="24"/>
          <w:lang w:bidi="en-US"/>
        </w:rPr>
        <w:t xml:space="preserve">In my view, in light of the position of the law regarding verbal agreements, I find no fault in the findings made and conclusions reached by the court a </w:t>
      </w:r>
      <w:r>
        <w:rPr>
          <w:rFonts w:ascii="Times New Roman" w:hAnsi="Times New Roman" w:cs="Times New Roman"/>
          <w:i/>
          <w:iCs/>
          <w:sz w:val="24"/>
          <w:szCs w:val="24"/>
          <w:lang w:bidi="en-US"/>
        </w:rPr>
        <w:t>quo</w:t>
      </w:r>
      <w:r>
        <w:rPr>
          <w:rFonts w:ascii="Times New Roman" w:hAnsi="Times New Roman" w:cs="Times New Roman"/>
          <w:sz w:val="24"/>
          <w:szCs w:val="24"/>
          <w:lang w:bidi="en-US"/>
        </w:rPr>
        <w:t xml:space="preserve"> that the </w:t>
      </w:r>
      <w:r>
        <w:rPr>
          <w:rFonts w:ascii="Times New Roman" w:hAnsi="Times New Roman" w:cs="Times New Roman"/>
          <w:sz w:val="24"/>
          <w:szCs w:val="24"/>
        </w:rPr>
        <w:t>appellant failed to discharge the onus to prove the issue of improvements. I also find the</w:t>
      </w:r>
      <w:r>
        <w:rPr>
          <w:rFonts w:ascii="Times New Roman" w:hAnsi="Times New Roman" w:cs="Times New Roman"/>
          <w:sz w:val="24"/>
          <w:szCs w:val="24"/>
        </w:rPr>
        <w:t xml:space="preserve">re is merit in Mr </w:t>
      </w:r>
      <w:proofErr w:type="spellStart"/>
      <w:r>
        <w:rPr>
          <w:rFonts w:ascii="Times New Roman" w:hAnsi="Times New Roman" w:cs="Times New Roman"/>
          <w:i/>
          <w:iCs/>
          <w:sz w:val="24"/>
          <w:szCs w:val="24"/>
        </w:rPr>
        <w:t>Makoni</w:t>
      </w:r>
      <w:r>
        <w:rPr>
          <w:rFonts w:ascii="Times New Roman" w:hAnsi="Times New Roman" w:cs="Times New Roman"/>
          <w:sz w:val="24"/>
          <w:szCs w:val="24"/>
        </w:rPr>
        <w:t>’s</w:t>
      </w:r>
      <w:proofErr w:type="spellEnd"/>
      <w:r>
        <w:rPr>
          <w:rFonts w:ascii="Times New Roman" w:hAnsi="Times New Roman" w:cs="Times New Roman"/>
          <w:sz w:val="24"/>
          <w:szCs w:val="24"/>
        </w:rPr>
        <w:t xml:space="preserve"> argument that per clause 27 of the lease agreement, the lease agreement constituted the whole agreement between the parties and had there been a set off arrangement between the parties, the appellant should have insisted on claus</w:t>
      </w:r>
      <w:r>
        <w:rPr>
          <w:rFonts w:ascii="Times New Roman" w:hAnsi="Times New Roman" w:cs="Times New Roman"/>
          <w:sz w:val="24"/>
          <w:szCs w:val="24"/>
        </w:rPr>
        <w:t xml:space="preserve">e 27 being worded accordingly especially considering that clause 8.7 of the same agreement </w:t>
      </w:r>
      <w:r>
        <w:rPr>
          <w:rFonts w:ascii="Times New Roman" w:hAnsi="Times New Roman" w:cs="Times New Roman"/>
          <w:sz w:val="24"/>
          <w:szCs w:val="24"/>
        </w:rPr>
        <w:lastRenderedPageBreak/>
        <w:t>provided that any improvements done on the shop would be by written consent and on the appellant’s account. In my view, there is no merit in the appellant’s argument</w:t>
      </w:r>
      <w:r>
        <w:rPr>
          <w:rFonts w:ascii="Times New Roman" w:hAnsi="Times New Roman" w:cs="Times New Roman"/>
          <w:sz w:val="24"/>
          <w:szCs w:val="24"/>
        </w:rPr>
        <w:t xml:space="preserve"> that the lease agreement was futuristic in nature as justification for the non-inclusion of such a critical prior agreement between the parties. As long as the appellant failed to prove the essential elements of a valid verbal agreement </w:t>
      </w:r>
      <w:proofErr w:type="gramStart"/>
      <w:r>
        <w:rPr>
          <w:rFonts w:ascii="Times New Roman" w:hAnsi="Times New Roman" w:cs="Times New Roman"/>
          <w:sz w:val="24"/>
          <w:szCs w:val="24"/>
        </w:rPr>
        <w:t>vis</w:t>
      </w:r>
      <w:proofErr w:type="gramEnd"/>
      <w:r>
        <w:rPr>
          <w:rFonts w:ascii="Times New Roman" w:hAnsi="Times New Roman" w:cs="Times New Roman"/>
          <w:sz w:val="24"/>
          <w:szCs w:val="24"/>
        </w:rPr>
        <w:t xml:space="preserve"> a vis clause 2</w:t>
      </w:r>
      <w:r>
        <w:rPr>
          <w:rFonts w:ascii="Times New Roman" w:hAnsi="Times New Roman" w:cs="Times New Roman"/>
          <w:sz w:val="24"/>
          <w:szCs w:val="24"/>
        </w:rPr>
        <w:t xml:space="preserve">7 of the written lease agreement, there can be no basis to argue that the court a </w:t>
      </w:r>
      <w:r>
        <w:rPr>
          <w:rFonts w:ascii="Times New Roman" w:hAnsi="Times New Roman" w:cs="Times New Roman"/>
          <w:i/>
          <w:iCs/>
          <w:sz w:val="24"/>
          <w:szCs w:val="24"/>
        </w:rPr>
        <w:t>quo</w:t>
      </w:r>
      <w:r>
        <w:rPr>
          <w:rFonts w:ascii="Times New Roman" w:hAnsi="Times New Roman" w:cs="Times New Roman"/>
          <w:sz w:val="24"/>
          <w:szCs w:val="24"/>
        </w:rPr>
        <w:t xml:space="preserve"> erred in finding that there was no set off. Additionally, I did not hear the appellant to impugn the court a quo’s findings on the insufficiency of the evidence placed be</w:t>
      </w:r>
      <w:r>
        <w:rPr>
          <w:rFonts w:ascii="Times New Roman" w:hAnsi="Times New Roman" w:cs="Times New Roman"/>
          <w:sz w:val="24"/>
          <w:szCs w:val="24"/>
        </w:rPr>
        <w:t xml:space="preserve">fore it to prove the counterclaim. In the ultimate, I find that there was no misdirection or error in the court a </w:t>
      </w:r>
      <w:r>
        <w:rPr>
          <w:rFonts w:ascii="Times New Roman" w:hAnsi="Times New Roman" w:cs="Times New Roman"/>
          <w:i/>
          <w:iCs/>
          <w:sz w:val="24"/>
          <w:szCs w:val="24"/>
        </w:rPr>
        <w:t>quo</w:t>
      </w:r>
      <w:r>
        <w:rPr>
          <w:rFonts w:ascii="Times New Roman" w:hAnsi="Times New Roman" w:cs="Times New Roman"/>
          <w:sz w:val="24"/>
          <w:szCs w:val="24"/>
        </w:rPr>
        <w:t xml:space="preserve">’s disregard of the counterclaim. </w:t>
      </w:r>
    </w:p>
    <w:p w:rsidR="00FA0EA4" w:rsidRDefault="009B7F50">
      <w:pPr>
        <w:spacing w:line="36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t xml:space="preserve">WHETHER THE COURT A </w:t>
      </w:r>
      <w:r>
        <w:rPr>
          <w:rFonts w:ascii="Times New Roman" w:hAnsi="Times New Roman" w:cs="Times New Roman"/>
          <w:b/>
          <w:i/>
          <w:sz w:val="24"/>
          <w:szCs w:val="24"/>
          <w:u w:val="single"/>
        </w:rPr>
        <w:t>QUO</w:t>
      </w:r>
      <w:r>
        <w:rPr>
          <w:rFonts w:ascii="Times New Roman" w:hAnsi="Times New Roman" w:cs="Times New Roman"/>
          <w:b/>
          <w:iCs/>
          <w:sz w:val="24"/>
          <w:szCs w:val="24"/>
          <w:u w:val="single"/>
        </w:rPr>
        <w:t xml:space="preserve"> ERRED IN GRANTING THE AMOUNTS TO BE PAID AS OUTSTANDING RENTALS AND HOLDING OVER</w:t>
      </w:r>
      <w:r>
        <w:rPr>
          <w:rFonts w:ascii="Times New Roman" w:hAnsi="Times New Roman" w:cs="Times New Roman"/>
          <w:b/>
          <w:iCs/>
          <w:sz w:val="24"/>
          <w:szCs w:val="24"/>
          <w:u w:val="single"/>
        </w:rPr>
        <w:t xml:space="preserve"> DAMAGES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appellant argues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in ordering payment of holding over damages and his eviction on the ground of non-payment of rentals when the alleged amount owed for rentals was not clear.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Holding over damages mirror the rental </w:t>
      </w:r>
      <w:r>
        <w:rPr>
          <w:rFonts w:ascii="Times New Roman" w:hAnsi="Times New Roman" w:cs="Times New Roman"/>
          <w:sz w:val="24"/>
          <w:szCs w:val="24"/>
        </w:rPr>
        <w:t xml:space="preserve">the claimant is receiving from a lawful tenant. See </w:t>
      </w:r>
      <w:proofErr w:type="spellStart"/>
      <w:r>
        <w:rPr>
          <w:rFonts w:ascii="Times New Roman" w:hAnsi="Times New Roman" w:cs="Times New Roman"/>
          <w:i/>
          <w:sz w:val="24"/>
          <w:szCs w:val="24"/>
        </w:rPr>
        <w:t>Rotazom</w:t>
      </w:r>
      <w:proofErr w:type="spellEnd"/>
      <w:r>
        <w:rPr>
          <w:rFonts w:ascii="Times New Roman" w:hAnsi="Times New Roman" w:cs="Times New Roman"/>
          <w:i/>
          <w:sz w:val="24"/>
          <w:szCs w:val="24"/>
        </w:rPr>
        <w:t xml:space="preserve"> Investments (Pvt) Ltd</w:t>
      </w:r>
      <w:r>
        <w:rPr>
          <w:rFonts w:ascii="Times New Roman" w:hAnsi="Times New Roman" w:cs="Times New Roman"/>
          <w:sz w:val="24"/>
          <w:szCs w:val="24"/>
        </w:rPr>
        <w:t xml:space="preserve"> v </w:t>
      </w:r>
      <w:r>
        <w:rPr>
          <w:rFonts w:ascii="Times New Roman" w:hAnsi="Times New Roman" w:cs="Times New Roman"/>
          <w:i/>
          <w:sz w:val="24"/>
          <w:szCs w:val="24"/>
        </w:rPr>
        <w:t>BYCO (Pvt) Ltd and Another</w:t>
      </w:r>
      <w:r>
        <w:rPr>
          <w:rFonts w:ascii="Times New Roman" w:hAnsi="Times New Roman" w:cs="Times New Roman"/>
          <w:sz w:val="24"/>
          <w:szCs w:val="24"/>
        </w:rPr>
        <w:t xml:space="preserve"> HH-249-22 at p7. As such, to calculate holing over damages, one will simply look at the rentals the respondents would have received from a lawful</w:t>
      </w:r>
      <w:r>
        <w:rPr>
          <w:rFonts w:ascii="Times New Roman" w:hAnsi="Times New Roman" w:cs="Times New Roman"/>
          <w:sz w:val="24"/>
          <w:szCs w:val="24"/>
        </w:rPr>
        <w:t xml:space="preserve"> tenant. The respondents claim for holding over damages was for USD 347.50 per month. This is the latest monthly rental per clause 1.2.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addendum to the lease agreement signed by the parties on 1 March 2023. This figure is not in dispute.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With regar</w:t>
      </w:r>
      <w:r>
        <w:rPr>
          <w:rFonts w:ascii="Times New Roman" w:hAnsi="Times New Roman" w:cs="Times New Roman"/>
          <w:sz w:val="24"/>
          <w:szCs w:val="24"/>
        </w:rPr>
        <w:t xml:space="preserve">ds to outstanding rentals, contrary to Mr </w:t>
      </w:r>
      <w:proofErr w:type="spellStart"/>
      <w:r>
        <w:rPr>
          <w:rFonts w:ascii="Times New Roman" w:hAnsi="Times New Roman" w:cs="Times New Roman"/>
          <w:i/>
          <w:iCs/>
          <w:sz w:val="24"/>
          <w:szCs w:val="24"/>
        </w:rPr>
        <w:t>Ziro</w:t>
      </w:r>
      <w:r>
        <w:rPr>
          <w:rFonts w:ascii="Times New Roman" w:hAnsi="Times New Roman" w:cs="Times New Roman"/>
          <w:sz w:val="24"/>
          <w:szCs w:val="24"/>
        </w:rPr>
        <w:t>’s</w:t>
      </w:r>
      <w:proofErr w:type="spellEnd"/>
      <w:r>
        <w:rPr>
          <w:rFonts w:ascii="Times New Roman" w:hAnsi="Times New Roman" w:cs="Times New Roman"/>
          <w:sz w:val="24"/>
          <w:szCs w:val="24"/>
        </w:rPr>
        <w:t xml:space="preserve"> argument that there was a gap between 2021 and 2023,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was a letter dated 6 July 2022 from the respondents’ representative addressed to the appellant in which the appellant was notified </w:t>
      </w:r>
      <w:r>
        <w:rPr>
          <w:rFonts w:ascii="Times New Roman" w:hAnsi="Times New Roman" w:cs="Times New Roman"/>
          <w:sz w:val="24"/>
          <w:szCs w:val="24"/>
        </w:rPr>
        <w:t>of a rental review to US$346. 25 with effect from 1 August 2022. On 6 December 2022, the appellant was served with a letter of demand for arrear rentals in the sum of US$1 731.25. This amount was also used as the basis for giving the appellant notice of te</w:t>
      </w:r>
      <w:r>
        <w:rPr>
          <w:rFonts w:ascii="Times New Roman" w:hAnsi="Times New Roman" w:cs="Times New Roman"/>
          <w:sz w:val="24"/>
          <w:szCs w:val="24"/>
        </w:rPr>
        <w:t xml:space="preserve">rmination of the lease agreement on 16 December 2022. On 16 January 2023, another notice, this time a rental review notice, was issued, culminating in the addendum signed on 1 March 2023.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On record are two documents computing the rentals for the period 2022 to 2023. The first computation shows that on 1 May 2022 the appellant paid US$347, 50 as rentals. He paid a similar figure on 1 June 2022 and on 1 July 2022, he paid US$353.75. He then d</w:t>
      </w:r>
      <w:r>
        <w:rPr>
          <w:rFonts w:ascii="Times New Roman" w:hAnsi="Times New Roman" w:cs="Times New Roman"/>
          <w:sz w:val="24"/>
          <w:szCs w:val="24"/>
        </w:rPr>
        <w:t>id not pay any rentals for the remainder of the 2022 until the outstanding rentals figure, which started accumulating on 1 August 2022, reached US$1 731.25. This is the figure that was carried over to 1 January 2023. The second document shows that the appe</w:t>
      </w:r>
      <w:r>
        <w:rPr>
          <w:rFonts w:ascii="Times New Roman" w:hAnsi="Times New Roman" w:cs="Times New Roman"/>
          <w:sz w:val="24"/>
          <w:szCs w:val="24"/>
        </w:rPr>
        <w:t xml:space="preserve">llant only made payments of US$50, US$80, US$70 and US$50 on 1 January 2023, 1 February 2023, 1 March 2023 and 1 April 2023 respectively until the cumulative figure stood at US$4 416.25 on 1 October 2023. </w:t>
      </w:r>
    </w:p>
    <w:p w:rsidR="00FA0EA4" w:rsidRDefault="009B7F50">
      <w:pPr>
        <w:pStyle w:val="ListParagraph"/>
        <w:numPr>
          <w:ilvl w:val="0"/>
          <w:numId w:val="1"/>
        </w:numPr>
        <w:spacing w:line="360" w:lineRule="auto"/>
        <w:ind w:left="426" w:hanging="426"/>
        <w:jc w:val="both"/>
        <w:rPr>
          <w:rFonts w:ascii="Times New Roman" w:hAnsi="Times New Roman" w:cs="Times New Roman"/>
          <w:b/>
          <w:bCs/>
          <w:sz w:val="24"/>
          <w:szCs w:val="24"/>
        </w:rPr>
      </w:pPr>
      <w:r>
        <w:rPr>
          <w:rFonts w:ascii="Times New Roman" w:hAnsi="Times New Roman" w:cs="Times New Roman"/>
          <w:sz w:val="24"/>
          <w:szCs w:val="24"/>
        </w:rPr>
        <w:t xml:space="preserve">What is critical to note from the evidence placed </w:t>
      </w:r>
      <w:r>
        <w:rPr>
          <w:rFonts w:ascii="Times New Roman" w:hAnsi="Times New Roman" w:cs="Times New Roman"/>
          <w:sz w:val="24"/>
          <w:szCs w:val="24"/>
        </w:rPr>
        <w:t xml:space="preserve">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and submissions made in this court is that respondents accept that initially, the rentals were pegged in local currency. The evidence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shows that the amount outstanding in United States dollars commenced to run </w:t>
      </w:r>
      <w:r>
        <w:rPr>
          <w:rFonts w:ascii="Times New Roman" w:hAnsi="Times New Roman" w:cs="Times New Roman"/>
          <w:sz w:val="24"/>
          <w:szCs w:val="24"/>
        </w:rPr>
        <w:t xml:space="preserve">on 1 January 2022. There was nothing placed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to suggest that the respondents had claimed rentals in United States dollars for the period the agreed rentals were pegged in local currency. The evidence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also shows </w:t>
      </w:r>
      <w:r>
        <w:rPr>
          <w:rFonts w:ascii="Times New Roman" w:hAnsi="Times New Roman" w:cs="Times New Roman"/>
          <w:sz w:val="24"/>
          <w:szCs w:val="24"/>
        </w:rPr>
        <w:t>that on 6 July 2022, there was a rental review. The rental was pegged in United States dollars. The evidence shows that before then, the appellant was already paying rentals in United States dollars. He has not explained why, if his version of events is tr</w:t>
      </w:r>
      <w:r>
        <w:rPr>
          <w:rFonts w:ascii="Times New Roman" w:hAnsi="Times New Roman" w:cs="Times New Roman"/>
          <w:sz w:val="24"/>
          <w:szCs w:val="24"/>
        </w:rPr>
        <w:t xml:space="preserve">ue, he was paying rentals in foreign currency at a time when the rentals were pegged in local currency. The evidence placed before the court a </w:t>
      </w:r>
      <w:r>
        <w:rPr>
          <w:rFonts w:ascii="Times New Roman" w:hAnsi="Times New Roman" w:cs="Times New Roman"/>
          <w:i/>
          <w:iCs/>
          <w:sz w:val="24"/>
          <w:szCs w:val="24"/>
        </w:rPr>
        <w:t>quo</w:t>
      </w:r>
      <w:r>
        <w:rPr>
          <w:rFonts w:ascii="Times New Roman" w:hAnsi="Times New Roman" w:cs="Times New Roman"/>
          <w:sz w:val="24"/>
          <w:szCs w:val="24"/>
        </w:rPr>
        <w:t xml:space="preserve"> to prove the rental computations was clear and I find no basis for impugning the court a </w:t>
      </w:r>
      <w:r>
        <w:rPr>
          <w:rFonts w:ascii="Times New Roman" w:hAnsi="Times New Roman" w:cs="Times New Roman"/>
          <w:i/>
          <w:iCs/>
          <w:sz w:val="24"/>
          <w:szCs w:val="24"/>
        </w:rPr>
        <w:t>quo</w:t>
      </w:r>
      <w:r>
        <w:rPr>
          <w:rFonts w:ascii="Times New Roman" w:hAnsi="Times New Roman" w:cs="Times New Roman"/>
          <w:sz w:val="24"/>
          <w:szCs w:val="24"/>
        </w:rPr>
        <w:t xml:space="preserve">’s decision. On </w:t>
      </w:r>
      <w:r>
        <w:rPr>
          <w:rFonts w:ascii="Times New Roman" w:hAnsi="Times New Roman" w:cs="Times New Roman"/>
          <w:sz w:val="24"/>
          <w:szCs w:val="24"/>
        </w:rPr>
        <w:t>the basis of the foregoing, the appellant’s fourth ground of appeal must also fail.</w:t>
      </w:r>
    </w:p>
    <w:p w:rsidR="00FA0EA4" w:rsidRDefault="009B7F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u w:val="single"/>
        </w:rPr>
        <w:t xml:space="preserve">DISPOSITION </w:t>
      </w:r>
    </w:p>
    <w:p w:rsidR="00FA0EA4" w:rsidRDefault="009B7F50">
      <w:pPr>
        <w:pStyle w:val="ListParagraph"/>
        <w:numPr>
          <w:ilvl w:val="0"/>
          <w:numId w:val="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In view of the position I have taken in this matter, I find that the appeal is without merit in its entirety.  </w:t>
      </w:r>
    </w:p>
    <w:p w:rsidR="00FA0EA4" w:rsidRDefault="009B7F50">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ORDER</w:t>
      </w:r>
    </w:p>
    <w:p w:rsidR="00FA0EA4" w:rsidRDefault="009B7F50">
      <w:pPr>
        <w:pStyle w:val="ListParagraph"/>
        <w:numPr>
          <w:ilvl w:val="0"/>
          <w:numId w:val="1"/>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FA0EA4" w:rsidRDefault="009B7F5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w:t>
      </w:r>
      <w:r>
        <w:rPr>
          <w:rFonts w:ascii="Times New Roman" w:hAnsi="Times New Roman" w:cs="Times New Roman"/>
          <w:sz w:val="24"/>
          <w:szCs w:val="24"/>
        </w:rPr>
        <w:t xml:space="preserve">peal is hereby refused. </w:t>
      </w:r>
    </w:p>
    <w:p w:rsidR="00FA0EA4" w:rsidRDefault="009B7F5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appellants shall pay the respondents' costs at an ordinary scale.</w:t>
      </w:r>
    </w:p>
    <w:p w:rsidR="00FA0EA4" w:rsidRDefault="00FA0EA4">
      <w:pPr>
        <w:spacing w:line="360" w:lineRule="auto"/>
        <w:jc w:val="both"/>
        <w:rPr>
          <w:rFonts w:ascii="Times New Roman" w:hAnsi="Times New Roman" w:cs="Times New Roman"/>
          <w:sz w:val="24"/>
          <w:szCs w:val="24"/>
        </w:rPr>
      </w:pPr>
    </w:p>
    <w:p w:rsidR="00FA0EA4" w:rsidRDefault="00FA0EA4">
      <w:pPr>
        <w:spacing w:after="0" w:line="360" w:lineRule="auto"/>
        <w:jc w:val="both"/>
        <w:rPr>
          <w:rFonts w:ascii="Times New Roman" w:hAnsi="Times New Roman" w:cs="Times New Roman"/>
          <w:i/>
          <w:iCs/>
          <w:sz w:val="24"/>
          <w:szCs w:val="24"/>
        </w:rPr>
      </w:pPr>
      <w:bookmarkStart w:id="2" w:name="_Hlk198277741"/>
    </w:p>
    <w:p w:rsidR="00FA0EA4" w:rsidRDefault="009B7F50">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mallCaps/>
          <w:sz w:val="24"/>
          <w:szCs w:val="24"/>
        </w:rPr>
        <w:t>Chilimbe</w:t>
      </w:r>
      <w:proofErr w:type="spellEnd"/>
      <w:r>
        <w:rPr>
          <w:rFonts w:ascii="Times New Roman" w:hAnsi="Times New Roman" w:cs="Times New Roman"/>
          <w:b/>
          <w:bCs/>
          <w:smallCaps/>
          <w:sz w:val="24"/>
          <w:szCs w:val="24"/>
        </w:rPr>
        <w:t xml:space="preserve"> J</w:t>
      </w:r>
      <w:r>
        <w:rPr>
          <w:rFonts w:ascii="Times New Roman" w:hAnsi="Times New Roman" w:cs="Times New Roman"/>
          <w:sz w:val="24"/>
          <w:szCs w:val="24"/>
        </w:rPr>
        <w:t xml:space="preserve">: ................................................................. </w:t>
      </w:r>
      <w:proofErr w:type="gramStart"/>
      <w:r>
        <w:rPr>
          <w:rFonts w:ascii="Times New Roman" w:hAnsi="Times New Roman" w:cs="Times New Roman"/>
          <w:sz w:val="24"/>
          <w:szCs w:val="24"/>
        </w:rPr>
        <w:t>agrees</w:t>
      </w:r>
      <w:proofErr w:type="gramEnd"/>
      <w:r>
        <w:rPr>
          <w:rFonts w:ascii="Times New Roman" w:hAnsi="Times New Roman" w:cs="Times New Roman"/>
          <w:sz w:val="24"/>
          <w:szCs w:val="24"/>
        </w:rPr>
        <w:t xml:space="preserve"> </w:t>
      </w:r>
    </w:p>
    <w:p w:rsidR="00FA0EA4" w:rsidRDefault="00FA0EA4">
      <w:pPr>
        <w:spacing w:after="0" w:line="240" w:lineRule="auto"/>
        <w:jc w:val="both"/>
        <w:rPr>
          <w:rFonts w:ascii="Times New Roman" w:hAnsi="Times New Roman" w:cs="Times New Roman"/>
          <w:i/>
          <w:iCs/>
          <w:sz w:val="24"/>
          <w:szCs w:val="24"/>
        </w:rPr>
      </w:pPr>
    </w:p>
    <w:p w:rsidR="00FA0EA4" w:rsidRDefault="009B7F5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Takaindisa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appellant’s legal practitioners </w:t>
      </w:r>
    </w:p>
    <w:p w:rsidR="00FA0EA4" w:rsidRDefault="009B7F5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Muchad</w:t>
      </w:r>
      <w:r>
        <w:rPr>
          <w:rFonts w:ascii="Times New Roman" w:hAnsi="Times New Roman" w:cs="Times New Roman"/>
          <w:i/>
          <w:sz w:val="24"/>
          <w:szCs w:val="24"/>
        </w:rPr>
        <w:t>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i/>
          <w:sz w:val="24"/>
          <w:szCs w:val="24"/>
        </w:rPr>
        <w:t>,</w:t>
      </w:r>
      <w:r>
        <w:rPr>
          <w:rFonts w:ascii="Times New Roman" w:hAnsi="Times New Roman" w:cs="Times New Roman"/>
          <w:sz w:val="24"/>
          <w:szCs w:val="24"/>
        </w:rPr>
        <w:t xml:space="preserve"> respondents’ legal practitioners </w:t>
      </w:r>
    </w:p>
    <w:bookmarkEnd w:id="0"/>
    <w:bookmarkEnd w:id="2"/>
    <w:p w:rsidR="00FA0EA4" w:rsidRDefault="00FA0EA4"/>
    <w:sectPr w:rsidR="00FA0EA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50" w:rsidRDefault="009B7F50">
      <w:pPr>
        <w:spacing w:line="240" w:lineRule="auto"/>
      </w:pPr>
      <w:r>
        <w:separator/>
      </w:r>
    </w:p>
  </w:endnote>
  <w:endnote w:type="continuationSeparator" w:id="0">
    <w:p w:rsidR="009B7F50" w:rsidRDefault="009B7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50" w:rsidRDefault="009B7F50">
      <w:pPr>
        <w:spacing w:after="0"/>
      </w:pPr>
      <w:r>
        <w:separator/>
      </w:r>
    </w:p>
  </w:footnote>
  <w:footnote w:type="continuationSeparator" w:id="0">
    <w:p w:rsidR="009B7F50" w:rsidRDefault="009B7F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A4" w:rsidRDefault="00FA0EA4">
    <w:pPr>
      <w:pStyle w:val="Header"/>
      <w:jc w:val="right"/>
    </w:pPr>
  </w:p>
  <w:sdt>
    <w:sdtPr>
      <w:id w:val="-536432582"/>
    </w:sdtPr>
    <w:sdtEndPr/>
    <w:sdtContent>
      <w:p w:rsidR="00FA0EA4" w:rsidRDefault="009B7F50">
        <w:pPr>
          <w:pStyle w:val="Header"/>
          <w:jc w:val="right"/>
        </w:pPr>
        <w:r>
          <w:fldChar w:fldCharType="begin"/>
        </w:r>
        <w:r>
          <w:instrText xml:space="preserve"> PAGE   \* MERGEFORMAT </w:instrText>
        </w:r>
        <w:r>
          <w:fldChar w:fldCharType="separate"/>
        </w:r>
        <w:r w:rsidR="00D868EF">
          <w:rPr>
            <w:noProof/>
          </w:rPr>
          <w:t>1</w:t>
        </w:r>
        <w:r>
          <w:fldChar w:fldCharType="end"/>
        </w:r>
      </w:p>
      <w:p w:rsidR="00FA0EA4" w:rsidRDefault="009B7F50">
        <w:pPr>
          <w:pStyle w:val="Header"/>
          <w:jc w:val="right"/>
          <w:rPr>
            <w:lang w:val="en-US"/>
          </w:rPr>
        </w:pPr>
        <w:r>
          <w:rPr>
            <w:lang w:val="en-US"/>
          </w:rPr>
          <w:t>HH536/25</w:t>
        </w:r>
      </w:p>
      <w:p w:rsidR="00FA0EA4" w:rsidRDefault="009B7F50">
        <w:pPr>
          <w:pStyle w:val="Header"/>
          <w:jc w:val="right"/>
        </w:pPr>
        <w:r>
          <w:t>HCHC13</w:t>
        </w:r>
        <w:r>
          <w:rPr>
            <w:lang w:val="en-US"/>
          </w:rPr>
          <w:t>/</w:t>
        </w:r>
        <w:r>
          <w:t>25</w:t>
        </w:r>
      </w:p>
      <w:p w:rsidR="00FA0EA4" w:rsidRDefault="009B7F50">
        <w:pPr>
          <w:pStyle w:val="Header"/>
          <w:jc w:val="right"/>
        </w:pPr>
        <w:r>
          <w:t>CIV ‘A’ 07/25</w:t>
        </w:r>
      </w:p>
    </w:sdtContent>
  </w:sdt>
  <w:p w:rsidR="00FA0EA4" w:rsidRDefault="00FA0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483"/>
    <w:multiLevelType w:val="multilevel"/>
    <w:tmpl w:val="09EA74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9E650A"/>
    <w:multiLevelType w:val="multilevel"/>
    <w:tmpl w:val="219E650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27F802A0"/>
    <w:multiLevelType w:val="multilevel"/>
    <w:tmpl w:val="27F802A0"/>
    <w:lvl w:ilvl="0">
      <w:start w:val="1"/>
      <w:numFmt w:val="decimal"/>
      <w:lvlText w:val="[%1]"/>
      <w:lvlJc w:val="left"/>
      <w:pPr>
        <w:ind w:left="502" w:hanging="360"/>
      </w:pPr>
      <w:rPr>
        <w:rFonts w:hint="default"/>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5A153F"/>
    <w:multiLevelType w:val="multilevel"/>
    <w:tmpl w:val="295A153F"/>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60A4207"/>
    <w:multiLevelType w:val="multilevel"/>
    <w:tmpl w:val="460A420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60D23E7"/>
    <w:multiLevelType w:val="multilevel"/>
    <w:tmpl w:val="460D23E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C9F"/>
    <w:rsid w:val="00026183"/>
    <w:rsid w:val="00033605"/>
    <w:rsid w:val="0003690D"/>
    <w:rsid w:val="00052BD2"/>
    <w:rsid w:val="00055FF9"/>
    <w:rsid w:val="000A6FF6"/>
    <w:rsid w:val="000B2E28"/>
    <w:rsid w:val="000B76C4"/>
    <w:rsid w:val="000B787A"/>
    <w:rsid w:val="000C365F"/>
    <w:rsid w:val="000F6FA6"/>
    <w:rsid w:val="00152630"/>
    <w:rsid w:val="00154714"/>
    <w:rsid w:val="0018759A"/>
    <w:rsid w:val="001B2B6C"/>
    <w:rsid w:val="001E241B"/>
    <w:rsid w:val="001F7B8C"/>
    <w:rsid w:val="002013EB"/>
    <w:rsid w:val="002219C3"/>
    <w:rsid w:val="00231626"/>
    <w:rsid w:val="00241D73"/>
    <w:rsid w:val="002519BD"/>
    <w:rsid w:val="00260DF4"/>
    <w:rsid w:val="002860DA"/>
    <w:rsid w:val="0029115A"/>
    <w:rsid w:val="00295F8C"/>
    <w:rsid w:val="002C4062"/>
    <w:rsid w:val="002D6527"/>
    <w:rsid w:val="002F19C1"/>
    <w:rsid w:val="0030019B"/>
    <w:rsid w:val="00306987"/>
    <w:rsid w:val="0031067F"/>
    <w:rsid w:val="00316767"/>
    <w:rsid w:val="003219A0"/>
    <w:rsid w:val="00336455"/>
    <w:rsid w:val="00372979"/>
    <w:rsid w:val="003A2EB1"/>
    <w:rsid w:val="003D2203"/>
    <w:rsid w:val="003D4E2B"/>
    <w:rsid w:val="003E321B"/>
    <w:rsid w:val="0042339A"/>
    <w:rsid w:val="00431159"/>
    <w:rsid w:val="00435E5C"/>
    <w:rsid w:val="004453CF"/>
    <w:rsid w:val="00462CC5"/>
    <w:rsid w:val="00463AB3"/>
    <w:rsid w:val="00490097"/>
    <w:rsid w:val="004A4440"/>
    <w:rsid w:val="004C1991"/>
    <w:rsid w:val="004C294F"/>
    <w:rsid w:val="004C72C8"/>
    <w:rsid w:val="004D3CC5"/>
    <w:rsid w:val="004D4528"/>
    <w:rsid w:val="004E07CD"/>
    <w:rsid w:val="004E3AD1"/>
    <w:rsid w:val="004E5BAE"/>
    <w:rsid w:val="004F3019"/>
    <w:rsid w:val="004F65F8"/>
    <w:rsid w:val="0053589F"/>
    <w:rsid w:val="00560C63"/>
    <w:rsid w:val="005730AD"/>
    <w:rsid w:val="005A6B81"/>
    <w:rsid w:val="005C4E9A"/>
    <w:rsid w:val="005C5885"/>
    <w:rsid w:val="005F3A9B"/>
    <w:rsid w:val="00620832"/>
    <w:rsid w:val="00627020"/>
    <w:rsid w:val="00632AC2"/>
    <w:rsid w:val="006377F9"/>
    <w:rsid w:val="00637E0B"/>
    <w:rsid w:val="006510C2"/>
    <w:rsid w:val="00665D89"/>
    <w:rsid w:val="00671380"/>
    <w:rsid w:val="006B5D89"/>
    <w:rsid w:val="0070167C"/>
    <w:rsid w:val="007303D7"/>
    <w:rsid w:val="00736B5A"/>
    <w:rsid w:val="00737360"/>
    <w:rsid w:val="007A0227"/>
    <w:rsid w:val="007B254B"/>
    <w:rsid w:val="007B4C34"/>
    <w:rsid w:val="007B7FEA"/>
    <w:rsid w:val="007D40F0"/>
    <w:rsid w:val="007D6118"/>
    <w:rsid w:val="00803FA1"/>
    <w:rsid w:val="00823872"/>
    <w:rsid w:val="00824C6B"/>
    <w:rsid w:val="008352EE"/>
    <w:rsid w:val="00852B2E"/>
    <w:rsid w:val="0087229E"/>
    <w:rsid w:val="008840E1"/>
    <w:rsid w:val="00884126"/>
    <w:rsid w:val="00894BC4"/>
    <w:rsid w:val="008967A9"/>
    <w:rsid w:val="008C1F68"/>
    <w:rsid w:val="008C3DE2"/>
    <w:rsid w:val="008D76D1"/>
    <w:rsid w:val="008E4FCB"/>
    <w:rsid w:val="008F04BC"/>
    <w:rsid w:val="008F4D3F"/>
    <w:rsid w:val="008F6E28"/>
    <w:rsid w:val="00900664"/>
    <w:rsid w:val="00902A5F"/>
    <w:rsid w:val="00914D64"/>
    <w:rsid w:val="00972A52"/>
    <w:rsid w:val="00974108"/>
    <w:rsid w:val="009802DD"/>
    <w:rsid w:val="00995CAB"/>
    <w:rsid w:val="009B7F50"/>
    <w:rsid w:val="009C15AC"/>
    <w:rsid w:val="009C40B5"/>
    <w:rsid w:val="009F0F41"/>
    <w:rsid w:val="009F4ECA"/>
    <w:rsid w:val="00A06F65"/>
    <w:rsid w:val="00A20A69"/>
    <w:rsid w:val="00A56581"/>
    <w:rsid w:val="00A677F9"/>
    <w:rsid w:val="00A70C97"/>
    <w:rsid w:val="00A7481E"/>
    <w:rsid w:val="00AB1CF2"/>
    <w:rsid w:val="00AC57E8"/>
    <w:rsid w:val="00AF26D4"/>
    <w:rsid w:val="00B03066"/>
    <w:rsid w:val="00B12856"/>
    <w:rsid w:val="00B20E51"/>
    <w:rsid w:val="00B221F4"/>
    <w:rsid w:val="00B23578"/>
    <w:rsid w:val="00B33371"/>
    <w:rsid w:val="00B523BC"/>
    <w:rsid w:val="00B67A56"/>
    <w:rsid w:val="00B67AC9"/>
    <w:rsid w:val="00B76898"/>
    <w:rsid w:val="00B76C67"/>
    <w:rsid w:val="00BA37E6"/>
    <w:rsid w:val="00BB2AD6"/>
    <w:rsid w:val="00BC3EE1"/>
    <w:rsid w:val="00BC675C"/>
    <w:rsid w:val="00BD45D4"/>
    <w:rsid w:val="00BE249F"/>
    <w:rsid w:val="00C028EE"/>
    <w:rsid w:val="00C42250"/>
    <w:rsid w:val="00C578B6"/>
    <w:rsid w:val="00C6213E"/>
    <w:rsid w:val="00C70CB0"/>
    <w:rsid w:val="00C72AD9"/>
    <w:rsid w:val="00C75F2D"/>
    <w:rsid w:val="00C762F1"/>
    <w:rsid w:val="00C83AA3"/>
    <w:rsid w:val="00C90EAC"/>
    <w:rsid w:val="00CE604C"/>
    <w:rsid w:val="00D0580C"/>
    <w:rsid w:val="00D15C9F"/>
    <w:rsid w:val="00D23787"/>
    <w:rsid w:val="00D244D5"/>
    <w:rsid w:val="00D8547F"/>
    <w:rsid w:val="00D868EF"/>
    <w:rsid w:val="00D9160D"/>
    <w:rsid w:val="00DB29CE"/>
    <w:rsid w:val="00E267C7"/>
    <w:rsid w:val="00E342C4"/>
    <w:rsid w:val="00E371A9"/>
    <w:rsid w:val="00E458A3"/>
    <w:rsid w:val="00E52AE6"/>
    <w:rsid w:val="00E86A21"/>
    <w:rsid w:val="00E87ACE"/>
    <w:rsid w:val="00EB1BE6"/>
    <w:rsid w:val="00EB710A"/>
    <w:rsid w:val="00F12AC0"/>
    <w:rsid w:val="00F24F71"/>
    <w:rsid w:val="00F27288"/>
    <w:rsid w:val="00F474F8"/>
    <w:rsid w:val="00F52B71"/>
    <w:rsid w:val="00F671C8"/>
    <w:rsid w:val="00F82864"/>
    <w:rsid w:val="00F84D4C"/>
    <w:rsid w:val="00F91646"/>
    <w:rsid w:val="00FA0EA4"/>
    <w:rsid w:val="00FB367D"/>
    <w:rsid w:val="00FE3176"/>
    <w:rsid w:val="00FE32EE"/>
    <w:rsid w:val="00FF5A76"/>
    <w:rsid w:val="522E3934"/>
    <w:rsid w:val="5A1C5FBD"/>
    <w:rsid w:val="63097A1D"/>
    <w:rsid w:val="73910128"/>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CommentTextChar">
    <w:name w:val="Comment Text Char"/>
    <w:basedOn w:val="DefaultParagraphFont"/>
    <w:link w:val="CommentText"/>
    <w:uiPriority w:val="99"/>
    <w:semiHidden/>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CommentTextChar">
    <w:name w:val="Comment Text Char"/>
    <w:basedOn w:val="DefaultParagraphFont"/>
    <w:link w:val="CommentText"/>
    <w:uiPriority w:val="99"/>
    <w:semiHidden/>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qFormat/>
    <w:rPr>
      <w:sz w:val="20"/>
      <w:szCs w:val="20"/>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C20B-355E-41EB-9E21-F423DF4C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Josiah Tawonashe Temba</dc:creator>
  <cp:lastModifiedBy>User</cp:lastModifiedBy>
  <cp:revision>2</cp:revision>
  <dcterms:created xsi:type="dcterms:W3CDTF">2025-09-12T11:21:00Z</dcterms:created>
  <dcterms:modified xsi:type="dcterms:W3CDTF">2025-09-12T11:21:00Z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a8acfbd7-7c35-4b2c-ad98-ca1d39ca402b</vt:lpwstr>
  </property>
  <property fmtid="{D5CDD505-2E9C-101B-9397-08002B2CF9AE}" pid="3" name="KSOProductBuildVer">
    <vt:lpwstr>1033-12.2.0.22549</vt:lpwstr>
  </property>
  <property fmtid="{D5CDD505-2E9C-101B-9397-08002B2CF9AE}" pid="4" name="ICV">
    <vt:lpwstr>8CBBEC7C8D3C47F8ACF76365487464E0_13</vt:lpwstr>
  </property>
</Properties>
</file>