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51D41" w14:textId="77777777" w:rsidR="000B3FB1" w:rsidRDefault="00DF2E01" w:rsidP="00A43A4C">
      <w:pPr>
        <w:jc w:val="both"/>
        <w:rPr>
          <w:rFonts w:cs="Times New Roman"/>
          <w:b/>
          <w:bCs/>
          <w:szCs w:val="24"/>
        </w:rPr>
      </w:pPr>
      <w:r>
        <w:rPr>
          <w:rFonts w:cs="Times New Roman"/>
          <w:b/>
          <w:bCs/>
          <w:szCs w:val="24"/>
        </w:rPr>
        <w:t>MAKEH ENTERPRISES (PVT) LTD</w:t>
      </w:r>
    </w:p>
    <w:p w14:paraId="1F4AEAE0" w14:textId="7BE005C6" w:rsidR="00A43A4C" w:rsidRDefault="00590CE3" w:rsidP="00A43A4C">
      <w:pPr>
        <w:jc w:val="both"/>
        <w:rPr>
          <w:rFonts w:cs="Times New Roman"/>
          <w:b/>
          <w:bCs/>
          <w:szCs w:val="24"/>
        </w:rPr>
      </w:pPr>
      <w:r w:rsidRPr="008148D4">
        <w:rPr>
          <w:rFonts w:cs="Times New Roman"/>
          <w:b/>
          <w:bCs/>
          <w:szCs w:val="24"/>
        </w:rPr>
        <w:t>Versus</w:t>
      </w:r>
    </w:p>
    <w:p w14:paraId="2306958C" w14:textId="3FC936BA" w:rsidR="00590CE3" w:rsidRPr="00DF2E01" w:rsidRDefault="00DF2E01" w:rsidP="001263AD">
      <w:pPr>
        <w:pStyle w:val="NoSpacing"/>
        <w:jc w:val="both"/>
        <w:rPr>
          <w:rFonts w:ascii="Times New Roman" w:hAnsi="Times New Roman" w:cs="Times New Roman"/>
          <w:b/>
          <w:bCs/>
          <w:sz w:val="24"/>
          <w:szCs w:val="24"/>
        </w:rPr>
      </w:pPr>
      <w:r>
        <w:rPr>
          <w:rFonts w:ascii="Times New Roman" w:hAnsi="Times New Roman" w:cs="Times New Roman"/>
          <w:b/>
          <w:bCs/>
          <w:sz w:val="24"/>
          <w:szCs w:val="24"/>
        </w:rPr>
        <w:t>STUART PUMPS ENGINEERING (PVT) LTD</w:t>
      </w:r>
    </w:p>
    <w:p w14:paraId="1414E6BF" w14:textId="77777777" w:rsidR="00590CE3" w:rsidRPr="008148D4" w:rsidRDefault="00590CE3" w:rsidP="001263AD">
      <w:pPr>
        <w:pStyle w:val="NoSpacing"/>
        <w:jc w:val="both"/>
        <w:rPr>
          <w:rFonts w:ascii="Times New Roman" w:hAnsi="Times New Roman" w:cs="Times New Roman"/>
          <w:sz w:val="24"/>
          <w:szCs w:val="24"/>
        </w:rPr>
      </w:pPr>
    </w:p>
    <w:p w14:paraId="4EA3F0AD" w14:textId="02550E5E" w:rsidR="00590CE3" w:rsidRPr="008148D4" w:rsidRDefault="00590CE3" w:rsidP="001263AD">
      <w:pPr>
        <w:pStyle w:val="NoSpacing"/>
        <w:jc w:val="both"/>
        <w:rPr>
          <w:rFonts w:ascii="Times New Roman" w:hAnsi="Times New Roman" w:cs="Times New Roman"/>
          <w:sz w:val="24"/>
          <w:szCs w:val="24"/>
        </w:rPr>
      </w:pPr>
      <w:r w:rsidRPr="008148D4">
        <w:rPr>
          <w:rFonts w:ascii="Times New Roman" w:hAnsi="Times New Roman" w:cs="Times New Roman"/>
          <w:sz w:val="24"/>
          <w:szCs w:val="24"/>
        </w:rPr>
        <w:t>IN THE HIGH COURT OF ZIMBABWE</w:t>
      </w:r>
    </w:p>
    <w:p w14:paraId="03307607" w14:textId="288B0502" w:rsidR="006E39B1" w:rsidRPr="008148D4" w:rsidRDefault="006E39B1" w:rsidP="001263AD">
      <w:pPr>
        <w:pStyle w:val="NoSpacing"/>
        <w:jc w:val="both"/>
        <w:rPr>
          <w:rFonts w:ascii="Times New Roman" w:hAnsi="Times New Roman" w:cs="Times New Roman"/>
          <w:sz w:val="24"/>
          <w:szCs w:val="24"/>
        </w:rPr>
      </w:pPr>
      <w:r w:rsidRPr="008148D4">
        <w:rPr>
          <w:rFonts w:ascii="Times New Roman" w:hAnsi="Times New Roman" w:cs="Times New Roman"/>
          <w:sz w:val="24"/>
          <w:szCs w:val="24"/>
        </w:rPr>
        <w:t>DUBE J</w:t>
      </w:r>
    </w:p>
    <w:p w14:paraId="4B131EDD" w14:textId="7A891EB2" w:rsidR="006E39B1" w:rsidRPr="008148D4" w:rsidRDefault="006E39B1" w:rsidP="001263AD">
      <w:pPr>
        <w:pStyle w:val="NoSpacing"/>
        <w:jc w:val="both"/>
        <w:rPr>
          <w:rFonts w:ascii="Times New Roman" w:hAnsi="Times New Roman" w:cs="Times New Roman"/>
          <w:sz w:val="24"/>
          <w:szCs w:val="24"/>
        </w:rPr>
      </w:pPr>
      <w:r w:rsidRPr="008148D4">
        <w:rPr>
          <w:rFonts w:ascii="Times New Roman" w:hAnsi="Times New Roman" w:cs="Times New Roman"/>
          <w:sz w:val="24"/>
          <w:szCs w:val="24"/>
        </w:rPr>
        <w:t xml:space="preserve">BULAWAYO </w:t>
      </w:r>
      <w:r w:rsidR="00D755BC">
        <w:rPr>
          <w:rFonts w:ascii="Times New Roman" w:hAnsi="Times New Roman" w:cs="Times New Roman"/>
          <w:sz w:val="24"/>
          <w:szCs w:val="24"/>
        </w:rPr>
        <w:t>13 FEBRUARY &amp; 24 JULY 2025</w:t>
      </w:r>
      <w:bookmarkStart w:id="0" w:name="_GoBack"/>
      <w:bookmarkEnd w:id="0"/>
    </w:p>
    <w:p w14:paraId="7D4F1D18" w14:textId="77777777" w:rsidR="006E39B1" w:rsidRPr="008148D4" w:rsidRDefault="006E39B1" w:rsidP="001263AD">
      <w:pPr>
        <w:pStyle w:val="NoSpacing"/>
        <w:jc w:val="both"/>
        <w:rPr>
          <w:rFonts w:ascii="Times New Roman" w:hAnsi="Times New Roman" w:cs="Times New Roman"/>
          <w:sz w:val="24"/>
          <w:szCs w:val="24"/>
        </w:rPr>
      </w:pPr>
    </w:p>
    <w:p w14:paraId="00E4E284" w14:textId="77777777" w:rsidR="00590CE3" w:rsidRPr="008148D4" w:rsidRDefault="00590CE3" w:rsidP="001263AD">
      <w:pPr>
        <w:pStyle w:val="NoSpacing"/>
        <w:jc w:val="both"/>
        <w:rPr>
          <w:rFonts w:ascii="Times New Roman" w:hAnsi="Times New Roman" w:cs="Times New Roman"/>
          <w:sz w:val="24"/>
          <w:szCs w:val="24"/>
        </w:rPr>
      </w:pPr>
    </w:p>
    <w:p w14:paraId="0EBCFC87" w14:textId="4B965E86" w:rsidR="006E39B1" w:rsidRPr="008148D4" w:rsidRDefault="00DF2E01" w:rsidP="001263AD">
      <w:pPr>
        <w:jc w:val="both"/>
        <w:rPr>
          <w:rFonts w:cs="Times New Roman"/>
          <w:b/>
          <w:bCs/>
          <w:szCs w:val="24"/>
        </w:rPr>
      </w:pPr>
      <w:r>
        <w:rPr>
          <w:rFonts w:cs="Times New Roman"/>
          <w:b/>
          <w:bCs/>
          <w:szCs w:val="24"/>
        </w:rPr>
        <w:t>Opposed application</w:t>
      </w:r>
    </w:p>
    <w:p w14:paraId="67D2A41D" w14:textId="77777777" w:rsidR="00590CE3" w:rsidRPr="008148D4" w:rsidRDefault="00590CE3" w:rsidP="001263AD">
      <w:pPr>
        <w:pStyle w:val="NoSpacing"/>
        <w:jc w:val="both"/>
        <w:rPr>
          <w:rFonts w:ascii="Times New Roman" w:hAnsi="Times New Roman" w:cs="Times New Roman"/>
          <w:i/>
          <w:sz w:val="24"/>
          <w:szCs w:val="24"/>
        </w:rPr>
      </w:pPr>
    </w:p>
    <w:p w14:paraId="2A28C70A" w14:textId="373767B3" w:rsidR="00EF7F28" w:rsidRPr="008148D4" w:rsidRDefault="00F76549" w:rsidP="001263AD">
      <w:pPr>
        <w:pStyle w:val="NoSpacing"/>
        <w:jc w:val="both"/>
        <w:rPr>
          <w:rFonts w:ascii="Times New Roman" w:hAnsi="Times New Roman" w:cs="Times New Roman"/>
          <w:sz w:val="24"/>
          <w:szCs w:val="24"/>
        </w:rPr>
      </w:pPr>
      <w:r w:rsidRPr="008148D4">
        <w:rPr>
          <w:rFonts w:ascii="Times New Roman" w:hAnsi="Times New Roman" w:cs="Times New Roman"/>
          <w:i/>
          <w:sz w:val="24"/>
          <w:szCs w:val="24"/>
        </w:rPr>
        <w:t xml:space="preserve">Mr </w:t>
      </w:r>
      <w:r w:rsidR="00DC3497">
        <w:rPr>
          <w:rFonts w:ascii="Times New Roman" w:hAnsi="Times New Roman" w:cs="Times New Roman"/>
          <w:i/>
          <w:sz w:val="24"/>
          <w:szCs w:val="24"/>
        </w:rPr>
        <w:t xml:space="preserve">C </w:t>
      </w:r>
      <w:proofErr w:type="spellStart"/>
      <w:r w:rsidR="00DC3497">
        <w:rPr>
          <w:rFonts w:ascii="Times New Roman" w:hAnsi="Times New Roman" w:cs="Times New Roman"/>
          <w:i/>
          <w:sz w:val="24"/>
          <w:szCs w:val="24"/>
        </w:rPr>
        <w:t>Danda</w:t>
      </w:r>
      <w:proofErr w:type="spellEnd"/>
      <w:r w:rsidR="002E3065" w:rsidRPr="008148D4">
        <w:rPr>
          <w:rFonts w:ascii="Times New Roman" w:hAnsi="Times New Roman" w:cs="Times New Roman"/>
          <w:i/>
          <w:sz w:val="24"/>
          <w:szCs w:val="24"/>
        </w:rPr>
        <w:t xml:space="preserve"> </w:t>
      </w:r>
      <w:r w:rsidR="00C249C6" w:rsidRPr="008148D4">
        <w:rPr>
          <w:rFonts w:ascii="Times New Roman" w:hAnsi="Times New Roman" w:cs="Times New Roman"/>
          <w:sz w:val="24"/>
          <w:szCs w:val="24"/>
        </w:rPr>
        <w:t>for</w:t>
      </w:r>
      <w:r w:rsidR="002E3065" w:rsidRPr="008148D4">
        <w:rPr>
          <w:rFonts w:ascii="Times New Roman" w:hAnsi="Times New Roman" w:cs="Times New Roman"/>
          <w:sz w:val="24"/>
          <w:szCs w:val="24"/>
        </w:rPr>
        <w:t xml:space="preserve"> the</w:t>
      </w:r>
      <w:r w:rsidR="00C249C6" w:rsidRPr="008148D4">
        <w:rPr>
          <w:rFonts w:ascii="Times New Roman" w:hAnsi="Times New Roman" w:cs="Times New Roman"/>
          <w:sz w:val="24"/>
          <w:szCs w:val="24"/>
        </w:rPr>
        <w:t xml:space="preserve"> Applicant</w:t>
      </w:r>
    </w:p>
    <w:p w14:paraId="3C947EAC" w14:textId="0EEF0E5A" w:rsidR="004316C4" w:rsidRPr="008148D4" w:rsidRDefault="00EF7F28" w:rsidP="002E3065">
      <w:pPr>
        <w:pStyle w:val="NoSpacing"/>
        <w:jc w:val="both"/>
        <w:rPr>
          <w:rFonts w:ascii="Times New Roman" w:hAnsi="Times New Roman" w:cs="Times New Roman"/>
          <w:sz w:val="24"/>
          <w:szCs w:val="24"/>
        </w:rPr>
      </w:pPr>
      <w:r w:rsidRPr="008148D4">
        <w:rPr>
          <w:rFonts w:ascii="Times New Roman" w:hAnsi="Times New Roman" w:cs="Times New Roman"/>
          <w:i/>
          <w:sz w:val="24"/>
          <w:szCs w:val="24"/>
        </w:rPr>
        <w:t>Mr</w:t>
      </w:r>
      <w:r w:rsidR="00517AAE" w:rsidRPr="008148D4">
        <w:rPr>
          <w:rFonts w:ascii="Times New Roman" w:hAnsi="Times New Roman" w:cs="Times New Roman"/>
          <w:i/>
          <w:sz w:val="24"/>
          <w:szCs w:val="24"/>
        </w:rPr>
        <w:t xml:space="preserve"> </w:t>
      </w:r>
      <w:r w:rsidR="00DC3497">
        <w:rPr>
          <w:rFonts w:ascii="Times New Roman" w:hAnsi="Times New Roman" w:cs="Times New Roman"/>
          <w:i/>
          <w:sz w:val="24"/>
          <w:szCs w:val="24"/>
        </w:rPr>
        <w:t xml:space="preserve">J </w:t>
      </w:r>
      <w:proofErr w:type="spellStart"/>
      <w:r w:rsidR="00DC3497">
        <w:rPr>
          <w:rFonts w:ascii="Times New Roman" w:hAnsi="Times New Roman" w:cs="Times New Roman"/>
          <w:i/>
          <w:sz w:val="24"/>
          <w:szCs w:val="24"/>
        </w:rPr>
        <w:t>Ndubiwa</w:t>
      </w:r>
      <w:proofErr w:type="spellEnd"/>
      <w:r w:rsidR="00517AAE" w:rsidRPr="008148D4">
        <w:rPr>
          <w:rFonts w:ascii="Times New Roman" w:hAnsi="Times New Roman" w:cs="Times New Roman"/>
          <w:i/>
          <w:sz w:val="24"/>
          <w:szCs w:val="24"/>
        </w:rPr>
        <w:t xml:space="preserve"> </w:t>
      </w:r>
      <w:r w:rsidR="00C249C6" w:rsidRPr="008148D4">
        <w:rPr>
          <w:rFonts w:ascii="Times New Roman" w:hAnsi="Times New Roman" w:cs="Times New Roman"/>
          <w:sz w:val="24"/>
          <w:szCs w:val="24"/>
        </w:rPr>
        <w:t xml:space="preserve">for </w:t>
      </w:r>
      <w:r w:rsidR="0067574C" w:rsidRPr="008148D4">
        <w:rPr>
          <w:rFonts w:ascii="Times New Roman" w:hAnsi="Times New Roman" w:cs="Times New Roman"/>
          <w:sz w:val="24"/>
          <w:szCs w:val="24"/>
        </w:rPr>
        <w:t xml:space="preserve">the </w:t>
      </w:r>
      <w:r w:rsidR="00C249C6" w:rsidRPr="008148D4">
        <w:rPr>
          <w:rFonts w:ascii="Times New Roman" w:hAnsi="Times New Roman" w:cs="Times New Roman"/>
          <w:sz w:val="24"/>
          <w:szCs w:val="24"/>
        </w:rPr>
        <w:t>Respondent</w:t>
      </w:r>
    </w:p>
    <w:p w14:paraId="2402089A" w14:textId="77777777" w:rsidR="002E3065" w:rsidRPr="008148D4" w:rsidRDefault="002E3065" w:rsidP="002E3065">
      <w:pPr>
        <w:pStyle w:val="NoSpacing"/>
        <w:jc w:val="both"/>
        <w:rPr>
          <w:rFonts w:ascii="Times New Roman" w:hAnsi="Times New Roman" w:cs="Times New Roman"/>
          <w:sz w:val="24"/>
          <w:szCs w:val="24"/>
        </w:rPr>
      </w:pPr>
    </w:p>
    <w:p w14:paraId="1E3968C7" w14:textId="04063ADC" w:rsidR="00EF7F28" w:rsidRPr="008148D4" w:rsidRDefault="004316C4" w:rsidP="001263AD">
      <w:pPr>
        <w:jc w:val="both"/>
        <w:rPr>
          <w:rFonts w:cs="Times New Roman"/>
          <w:b/>
          <w:szCs w:val="24"/>
          <w:u w:val="single"/>
        </w:rPr>
      </w:pPr>
      <w:r w:rsidRPr="008148D4">
        <w:rPr>
          <w:rFonts w:cs="Times New Roman"/>
          <w:b/>
          <w:szCs w:val="24"/>
          <w:u w:val="single"/>
        </w:rPr>
        <w:t>I</w:t>
      </w:r>
      <w:r w:rsidR="0027690A" w:rsidRPr="008148D4">
        <w:rPr>
          <w:rFonts w:cs="Times New Roman"/>
          <w:b/>
          <w:szCs w:val="24"/>
          <w:u w:val="single"/>
        </w:rPr>
        <w:t>ntroduction</w:t>
      </w:r>
    </w:p>
    <w:p w14:paraId="2EF9089B" w14:textId="77777777" w:rsidR="00136627" w:rsidRPr="008148D4" w:rsidRDefault="00136627" w:rsidP="00590CE3">
      <w:pPr>
        <w:rPr>
          <w:rFonts w:cs="Times New Roman"/>
          <w:b/>
          <w:szCs w:val="24"/>
        </w:rPr>
      </w:pPr>
    </w:p>
    <w:p w14:paraId="5AE30822" w14:textId="1369C91D" w:rsidR="007D6F56" w:rsidRDefault="00EF7F28" w:rsidP="00AA607D">
      <w:pPr>
        <w:rPr>
          <w:rFonts w:cs="Times New Roman"/>
          <w:szCs w:val="24"/>
        </w:rPr>
      </w:pPr>
      <w:r w:rsidRPr="008148D4">
        <w:rPr>
          <w:rFonts w:cs="Times New Roman"/>
          <w:b/>
          <w:szCs w:val="24"/>
        </w:rPr>
        <w:t>DUBE J</w:t>
      </w:r>
      <w:r w:rsidR="00D92394" w:rsidRPr="008148D4">
        <w:rPr>
          <w:rFonts w:cs="Times New Roman"/>
          <w:bCs/>
          <w:szCs w:val="24"/>
        </w:rPr>
        <w:t>:</w:t>
      </w:r>
      <w:r w:rsidR="002E3065" w:rsidRPr="008148D4">
        <w:rPr>
          <w:rFonts w:cs="Times New Roman"/>
          <w:bCs/>
          <w:szCs w:val="24"/>
        </w:rPr>
        <w:t xml:space="preserve"> </w:t>
      </w:r>
      <w:r w:rsidR="006E2590">
        <w:rPr>
          <w:rFonts w:cs="Times New Roman"/>
          <w:bCs/>
          <w:szCs w:val="24"/>
        </w:rPr>
        <w:tab/>
      </w:r>
      <w:r w:rsidR="00AA607D">
        <w:rPr>
          <w:rFonts w:cs="Times New Roman"/>
          <w:bCs/>
          <w:szCs w:val="24"/>
        </w:rPr>
        <w:t>This is an application brought in terms of Section 123(1</w:t>
      </w:r>
      <w:proofErr w:type="gramStart"/>
      <w:r w:rsidR="00AA607D">
        <w:rPr>
          <w:rFonts w:cs="Times New Roman"/>
          <w:bCs/>
          <w:szCs w:val="24"/>
        </w:rPr>
        <w:t>)(</w:t>
      </w:r>
      <w:proofErr w:type="gramEnd"/>
      <w:r w:rsidR="00AA607D">
        <w:rPr>
          <w:rFonts w:cs="Times New Roman"/>
          <w:bCs/>
          <w:szCs w:val="24"/>
        </w:rPr>
        <w:t>a)(</w:t>
      </w:r>
      <w:proofErr w:type="spellStart"/>
      <w:r w:rsidR="00AA607D">
        <w:rPr>
          <w:rFonts w:cs="Times New Roman"/>
          <w:bCs/>
          <w:szCs w:val="24"/>
        </w:rPr>
        <w:t>i</w:t>
      </w:r>
      <w:proofErr w:type="spellEnd"/>
      <w:r w:rsidR="00AA607D">
        <w:rPr>
          <w:rFonts w:cs="Times New Roman"/>
          <w:bCs/>
          <w:szCs w:val="24"/>
        </w:rPr>
        <w:t xml:space="preserve">)(ii) of the Insolvency Act </w:t>
      </w:r>
      <w:r w:rsidR="002B0A0E">
        <w:rPr>
          <w:rFonts w:cs="Times New Roman"/>
          <w:bCs/>
          <w:szCs w:val="24"/>
        </w:rPr>
        <w:t>[</w:t>
      </w:r>
      <w:r w:rsidR="00AA607D" w:rsidRPr="002B0A0E">
        <w:rPr>
          <w:rFonts w:cs="Times New Roman"/>
          <w:bCs/>
          <w:i/>
          <w:iCs/>
          <w:szCs w:val="24"/>
        </w:rPr>
        <w:t>Chapter 6:07</w:t>
      </w:r>
      <w:r w:rsidR="002B0A0E">
        <w:rPr>
          <w:rFonts w:cs="Times New Roman"/>
          <w:bCs/>
          <w:szCs w:val="24"/>
        </w:rPr>
        <w:t>]. The application sought to object to the Respondent company’s board resolution to commence voluntary corporate rescue proceedings.</w:t>
      </w:r>
    </w:p>
    <w:p w14:paraId="3744DBFF" w14:textId="2695E7D2" w:rsidR="000A50F6" w:rsidRPr="008148D4" w:rsidRDefault="002B0A0E" w:rsidP="007D6F56">
      <w:pPr>
        <w:jc w:val="both"/>
        <w:rPr>
          <w:rFonts w:cs="Times New Roman"/>
          <w:b/>
          <w:bCs/>
          <w:szCs w:val="24"/>
          <w:u w:val="single"/>
        </w:rPr>
      </w:pPr>
      <w:r>
        <w:rPr>
          <w:rFonts w:cs="Times New Roman"/>
          <w:b/>
          <w:bCs/>
          <w:szCs w:val="24"/>
          <w:u w:val="single"/>
        </w:rPr>
        <w:t>Factual Background</w:t>
      </w:r>
    </w:p>
    <w:p w14:paraId="3926DD70" w14:textId="2648431F" w:rsidR="00962684" w:rsidRDefault="00131A54" w:rsidP="00572CAC">
      <w:pPr>
        <w:jc w:val="both"/>
        <w:rPr>
          <w:rFonts w:cs="Times New Roman"/>
          <w:szCs w:val="24"/>
        </w:rPr>
      </w:pPr>
      <w:r>
        <w:rPr>
          <w:rFonts w:cs="Times New Roman"/>
          <w:szCs w:val="24"/>
        </w:rPr>
        <w:t xml:space="preserve">The </w:t>
      </w:r>
      <w:r w:rsidR="006200B2">
        <w:rPr>
          <w:rFonts w:cs="Times New Roman"/>
          <w:szCs w:val="24"/>
        </w:rPr>
        <w:t>applicant (“</w:t>
      </w:r>
      <w:proofErr w:type="spellStart"/>
      <w:r w:rsidR="006200B2">
        <w:rPr>
          <w:rFonts w:cs="Times New Roman"/>
          <w:szCs w:val="24"/>
        </w:rPr>
        <w:t>Makeh</w:t>
      </w:r>
      <w:proofErr w:type="spellEnd"/>
      <w:r w:rsidR="006200B2">
        <w:rPr>
          <w:rFonts w:cs="Times New Roman"/>
          <w:szCs w:val="24"/>
        </w:rPr>
        <w:t xml:space="preserve"> Enterprises”) and the respondent (“Stuart Pumps”)</w:t>
      </w:r>
      <w:r>
        <w:rPr>
          <w:rFonts w:cs="Times New Roman"/>
          <w:szCs w:val="24"/>
        </w:rPr>
        <w:t xml:space="preserve"> entered into an agreement of lease sometime in 2021, which lease </w:t>
      </w:r>
      <w:r w:rsidR="004D358B">
        <w:rPr>
          <w:rFonts w:cs="Times New Roman"/>
          <w:szCs w:val="24"/>
        </w:rPr>
        <w:t xml:space="preserve">still subsists. The respondent accrued rental arrears in the sum of US$ 184 000. The respondent has been failing or neglecting to settle the debt. The </w:t>
      </w:r>
      <w:r w:rsidR="00FC0F5E">
        <w:rPr>
          <w:rFonts w:cs="Times New Roman"/>
          <w:szCs w:val="24"/>
        </w:rPr>
        <w:t>parties have previously been involved in a long history of litigation pertaining the settlement of the debt.</w:t>
      </w:r>
      <w:r w:rsidR="0040078F">
        <w:rPr>
          <w:rFonts w:cs="Times New Roman"/>
          <w:szCs w:val="24"/>
        </w:rPr>
        <w:t xml:space="preserve"> While the applicant company was in the process of trying to recover its debt, the respondent company gave notice in terms of Section 122 of the Insolvency Act [</w:t>
      </w:r>
      <w:r w:rsidR="0040078F" w:rsidRPr="0040078F">
        <w:rPr>
          <w:rFonts w:cs="Times New Roman"/>
          <w:i/>
          <w:iCs/>
          <w:szCs w:val="24"/>
        </w:rPr>
        <w:t>Chapter 6:07</w:t>
      </w:r>
      <w:r w:rsidR="0040078F">
        <w:rPr>
          <w:rFonts w:cs="Times New Roman"/>
          <w:szCs w:val="24"/>
        </w:rPr>
        <w:t>] that the board had resolved that the company voluntarily begin corporate rescue proceedings.</w:t>
      </w:r>
      <w:r w:rsidR="00D85ACE">
        <w:rPr>
          <w:rFonts w:cs="Times New Roman"/>
          <w:szCs w:val="24"/>
        </w:rPr>
        <w:t xml:space="preserve"> The applicant objects to the company resolution on the basis that the company is not financially distressed </w:t>
      </w:r>
      <w:r w:rsidR="00D54CFF">
        <w:rPr>
          <w:rFonts w:cs="Times New Roman"/>
          <w:szCs w:val="24"/>
        </w:rPr>
        <w:t>and there are no reasonable prospects for rescuing the company and restoring it to financial health.</w:t>
      </w:r>
    </w:p>
    <w:p w14:paraId="5230DA79" w14:textId="1C8753B1" w:rsidR="002B0AEC" w:rsidRDefault="007C15F1" w:rsidP="002B0AEC">
      <w:pPr>
        <w:jc w:val="both"/>
        <w:rPr>
          <w:rFonts w:cs="Times New Roman"/>
          <w:szCs w:val="24"/>
        </w:rPr>
      </w:pPr>
      <w:r>
        <w:rPr>
          <w:rFonts w:cs="Times New Roman"/>
          <w:szCs w:val="24"/>
        </w:rPr>
        <w:t>Counsel for</w:t>
      </w:r>
      <w:r w:rsidR="002958D1">
        <w:rPr>
          <w:rFonts w:cs="Times New Roman"/>
          <w:szCs w:val="24"/>
        </w:rPr>
        <w:t xml:space="preserve"> the parties duly appeared</w:t>
      </w:r>
      <w:r>
        <w:rPr>
          <w:rFonts w:cs="Times New Roman"/>
          <w:szCs w:val="24"/>
        </w:rPr>
        <w:t xml:space="preserve"> </w:t>
      </w:r>
      <w:r w:rsidR="002B0AEC">
        <w:rPr>
          <w:rFonts w:cs="Times New Roman"/>
          <w:szCs w:val="24"/>
        </w:rPr>
        <w:t>and made submissions on the application. I proceed to summarise the positions of the parties respectively.</w:t>
      </w:r>
    </w:p>
    <w:p w14:paraId="7A9099A2" w14:textId="03CB4BC6" w:rsidR="001F4D57" w:rsidRDefault="002B0AEC" w:rsidP="002B0AEC">
      <w:pPr>
        <w:jc w:val="both"/>
        <w:rPr>
          <w:rFonts w:cs="Times New Roman"/>
          <w:szCs w:val="24"/>
        </w:rPr>
      </w:pPr>
      <w:r>
        <w:rPr>
          <w:rFonts w:cs="Times New Roman"/>
          <w:szCs w:val="24"/>
        </w:rPr>
        <w:t xml:space="preserve">Mr </w:t>
      </w:r>
      <w:proofErr w:type="spellStart"/>
      <w:r w:rsidRPr="003F7B80">
        <w:rPr>
          <w:rFonts w:cs="Times New Roman"/>
          <w:i/>
          <w:iCs/>
          <w:szCs w:val="24"/>
        </w:rPr>
        <w:t>Ndubiwa</w:t>
      </w:r>
      <w:proofErr w:type="spellEnd"/>
      <w:r w:rsidRPr="003F7B80">
        <w:rPr>
          <w:rFonts w:cs="Times New Roman"/>
          <w:i/>
          <w:iCs/>
          <w:szCs w:val="24"/>
        </w:rPr>
        <w:t xml:space="preserve"> </w:t>
      </w:r>
      <w:r>
        <w:rPr>
          <w:rFonts w:cs="Times New Roman"/>
          <w:szCs w:val="24"/>
        </w:rPr>
        <w:t>for the respondent raised two preliminary points</w:t>
      </w:r>
      <w:r w:rsidR="00EC2C5C">
        <w:rPr>
          <w:rFonts w:cs="Times New Roman"/>
          <w:szCs w:val="24"/>
        </w:rPr>
        <w:t>.</w:t>
      </w:r>
    </w:p>
    <w:p w14:paraId="0EA26739" w14:textId="77777777" w:rsidR="002958D1" w:rsidRDefault="001F4D57" w:rsidP="002B0AEC">
      <w:pPr>
        <w:jc w:val="both"/>
        <w:rPr>
          <w:rFonts w:cs="Times New Roman"/>
          <w:szCs w:val="24"/>
        </w:rPr>
      </w:pPr>
      <w:r>
        <w:rPr>
          <w:rFonts w:cs="Times New Roman"/>
          <w:szCs w:val="24"/>
        </w:rPr>
        <w:lastRenderedPageBreak/>
        <w:t xml:space="preserve">At the commencement of the </w:t>
      </w:r>
      <w:r w:rsidR="00EA6326">
        <w:rPr>
          <w:rFonts w:cs="Times New Roman"/>
          <w:szCs w:val="24"/>
        </w:rPr>
        <w:t xml:space="preserve">hearing, I informed the parties that the court will hear submissions in respect of points </w:t>
      </w:r>
      <w:r w:rsidR="00EA6326" w:rsidRPr="006E2590">
        <w:rPr>
          <w:rFonts w:cs="Times New Roman"/>
          <w:i/>
          <w:szCs w:val="24"/>
        </w:rPr>
        <w:t xml:space="preserve">in </w:t>
      </w:r>
      <w:proofErr w:type="spellStart"/>
      <w:r w:rsidR="00EA6326" w:rsidRPr="006E2590">
        <w:rPr>
          <w:rFonts w:cs="Times New Roman"/>
          <w:i/>
          <w:iCs/>
          <w:szCs w:val="24"/>
        </w:rPr>
        <w:t>l</w:t>
      </w:r>
      <w:r w:rsidR="00EA6326" w:rsidRPr="006878EA">
        <w:rPr>
          <w:rFonts w:cs="Times New Roman"/>
          <w:i/>
          <w:iCs/>
          <w:szCs w:val="24"/>
        </w:rPr>
        <w:t>imine</w:t>
      </w:r>
      <w:proofErr w:type="spellEnd"/>
      <w:r w:rsidR="00EA6326">
        <w:rPr>
          <w:rFonts w:cs="Times New Roman"/>
          <w:szCs w:val="24"/>
        </w:rPr>
        <w:t xml:space="preserve"> and the merits, should any be dispositive of the matter that would mark the end of this matter. In the event that they are all dismissed, I would determine the matter on the merits</w:t>
      </w:r>
      <w:r w:rsidR="002B0AEC">
        <w:rPr>
          <w:rFonts w:cs="Times New Roman"/>
          <w:szCs w:val="24"/>
        </w:rPr>
        <w:t xml:space="preserve">. </w:t>
      </w:r>
    </w:p>
    <w:p w14:paraId="5FDCDE9D" w14:textId="14B4B767" w:rsidR="002B0AEC" w:rsidRDefault="002B0AEC" w:rsidP="002B0AEC">
      <w:pPr>
        <w:jc w:val="both"/>
        <w:rPr>
          <w:rFonts w:cs="Times New Roman"/>
          <w:szCs w:val="24"/>
        </w:rPr>
      </w:pPr>
      <w:r>
        <w:rPr>
          <w:rFonts w:cs="Times New Roman"/>
          <w:szCs w:val="24"/>
        </w:rPr>
        <w:t>The first</w:t>
      </w:r>
      <w:r w:rsidR="002958D1">
        <w:rPr>
          <w:rFonts w:cs="Times New Roman"/>
          <w:szCs w:val="24"/>
        </w:rPr>
        <w:t xml:space="preserve"> preliminary point is</w:t>
      </w:r>
      <w:r>
        <w:rPr>
          <w:rFonts w:cs="Times New Roman"/>
          <w:szCs w:val="24"/>
        </w:rPr>
        <w:t xml:space="preserve"> that the applicant failed to comply with section 123(3)(b) of the Insolvency Act which provision is peremptory and requires that an applicant making objections to the resolution to commence corporate rescue proceedings should serve the said application on all affected persons by standard notice.</w:t>
      </w:r>
      <w:r w:rsidR="00CB569B">
        <w:rPr>
          <w:rFonts w:cs="Times New Roman"/>
          <w:szCs w:val="24"/>
        </w:rPr>
        <w:t xml:space="preserve"> The affected persons being shareholders and creditors of the company. Standard notice as defined in Section 2 of the Act means notice </w:t>
      </w:r>
      <w:r w:rsidR="00435C01">
        <w:rPr>
          <w:rFonts w:cs="Times New Roman"/>
          <w:szCs w:val="24"/>
        </w:rPr>
        <w:t>by registered mail, fax, email or personal delivery.</w:t>
      </w:r>
    </w:p>
    <w:p w14:paraId="61BE7F92" w14:textId="6430DC87" w:rsidR="000305D8" w:rsidRDefault="00435C01" w:rsidP="000305D8">
      <w:pPr>
        <w:jc w:val="both"/>
        <w:rPr>
          <w:rFonts w:cs="Times New Roman"/>
          <w:szCs w:val="24"/>
        </w:rPr>
      </w:pPr>
      <w:r>
        <w:rPr>
          <w:rFonts w:cs="Times New Roman"/>
          <w:szCs w:val="24"/>
        </w:rPr>
        <w:t>Counsel for the respondent further submitted that there are no certificates of service filed to show that the application was served on shareholders and creditors.</w:t>
      </w:r>
      <w:r w:rsidR="006200B2">
        <w:rPr>
          <w:rFonts w:cs="Times New Roman"/>
          <w:szCs w:val="24"/>
        </w:rPr>
        <w:t xml:space="preserve"> The only certificates of service are to the Master of the High Court and the Registrar of companies. In support of the argument, he placed reliance on the decision of the Supreme Court in </w:t>
      </w:r>
      <w:proofErr w:type="spellStart"/>
      <w:r w:rsidR="006200B2" w:rsidRPr="005B65CB">
        <w:rPr>
          <w:rFonts w:cs="Times New Roman"/>
          <w:i/>
          <w:iCs/>
          <w:szCs w:val="24"/>
        </w:rPr>
        <w:t>Mettalon</w:t>
      </w:r>
      <w:proofErr w:type="spellEnd"/>
      <w:r w:rsidR="006200B2" w:rsidRPr="005B65CB">
        <w:rPr>
          <w:rFonts w:cs="Times New Roman"/>
          <w:i/>
          <w:iCs/>
          <w:szCs w:val="24"/>
        </w:rPr>
        <w:t xml:space="preserve"> Gold Zimbabwe (Pvt) Ltd and </w:t>
      </w:r>
      <w:proofErr w:type="spellStart"/>
      <w:r w:rsidR="006200B2" w:rsidRPr="005B65CB">
        <w:rPr>
          <w:rFonts w:cs="Times New Roman"/>
          <w:i/>
          <w:iCs/>
          <w:szCs w:val="24"/>
        </w:rPr>
        <w:t>Ors</w:t>
      </w:r>
      <w:proofErr w:type="spellEnd"/>
      <w:r w:rsidR="006200B2" w:rsidRPr="005B65CB">
        <w:rPr>
          <w:rFonts w:cs="Times New Roman"/>
          <w:i/>
          <w:iCs/>
          <w:szCs w:val="24"/>
        </w:rPr>
        <w:t xml:space="preserve"> v </w:t>
      </w:r>
      <w:proofErr w:type="spellStart"/>
      <w:r w:rsidR="006200B2" w:rsidRPr="005B65CB">
        <w:rPr>
          <w:rFonts w:cs="Times New Roman"/>
          <w:i/>
          <w:iCs/>
          <w:szCs w:val="24"/>
        </w:rPr>
        <w:t>Shatirwa</w:t>
      </w:r>
      <w:proofErr w:type="spellEnd"/>
      <w:r w:rsidR="006200B2" w:rsidRPr="005B65CB">
        <w:rPr>
          <w:rFonts w:cs="Times New Roman"/>
          <w:i/>
          <w:iCs/>
          <w:szCs w:val="24"/>
        </w:rPr>
        <w:t xml:space="preserve"> Investment (Pvt) Ltd </w:t>
      </w:r>
      <w:r w:rsidR="006200B2">
        <w:rPr>
          <w:rFonts w:cs="Times New Roman"/>
          <w:szCs w:val="24"/>
        </w:rPr>
        <w:t>SC 107-21 for the proposition that failure to make such notice makes the application a nullity.</w:t>
      </w:r>
      <w:r w:rsidR="005B65CB">
        <w:rPr>
          <w:rFonts w:cs="Times New Roman"/>
          <w:szCs w:val="24"/>
        </w:rPr>
        <w:t xml:space="preserve"> The rationale being that the outcome of the litigation may have dire and adverse effects on shareholders and creditors.</w:t>
      </w:r>
      <w:r w:rsidR="000305D8" w:rsidRPr="000305D8">
        <w:rPr>
          <w:rFonts w:cs="Times New Roman"/>
          <w:szCs w:val="24"/>
        </w:rPr>
        <w:t xml:space="preserve"> </w:t>
      </w:r>
      <w:r w:rsidR="000305D8">
        <w:rPr>
          <w:rFonts w:cs="Times New Roman"/>
          <w:szCs w:val="24"/>
        </w:rPr>
        <w:t xml:space="preserve">Counsel lastly prayed that the point </w:t>
      </w:r>
      <w:r w:rsidR="000305D8" w:rsidRPr="006E2590">
        <w:rPr>
          <w:rFonts w:cs="Times New Roman"/>
          <w:i/>
          <w:szCs w:val="24"/>
        </w:rPr>
        <w:t xml:space="preserve">in </w:t>
      </w:r>
      <w:proofErr w:type="spellStart"/>
      <w:r w:rsidR="000305D8" w:rsidRPr="002958D1">
        <w:rPr>
          <w:rFonts w:cs="Times New Roman"/>
          <w:i/>
          <w:szCs w:val="24"/>
        </w:rPr>
        <w:t>limine</w:t>
      </w:r>
      <w:proofErr w:type="spellEnd"/>
      <w:r w:rsidR="000305D8">
        <w:rPr>
          <w:rFonts w:cs="Times New Roman"/>
          <w:szCs w:val="24"/>
        </w:rPr>
        <w:t xml:space="preserve"> should be upheld and the application struck off the roll with costs on an attorney client scale.</w:t>
      </w:r>
    </w:p>
    <w:p w14:paraId="360EA281" w14:textId="458912AB" w:rsidR="00435C01" w:rsidRDefault="000305D8" w:rsidP="002B0AEC">
      <w:pPr>
        <w:jc w:val="both"/>
        <w:rPr>
          <w:rFonts w:cs="Times New Roman"/>
          <w:szCs w:val="24"/>
        </w:rPr>
      </w:pPr>
      <w:r>
        <w:rPr>
          <w:rFonts w:cs="Times New Roman"/>
          <w:szCs w:val="24"/>
        </w:rPr>
        <w:t>In response,</w:t>
      </w:r>
      <w:r w:rsidR="005B65CB">
        <w:rPr>
          <w:rFonts w:cs="Times New Roman"/>
          <w:szCs w:val="24"/>
        </w:rPr>
        <w:t xml:space="preserve"> </w:t>
      </w:r>
      <w:r>
        <w:rPr>
          <w:rFonts w:cs="Times New Roman"/>
          <w:szCs w:val="24"/>
        </w:rPr>
        <w:t>c</w:t>
      </w:r>
      <w:r w:rsidR="002958D1">
        <w:rPr>
          <w:rFonts w:cs="Times New Roman"/>
          <w:szCs w:val="24"/>
        </w:rPr>
        <w:t>ounsel for the a</w:t>
      </w:r>
      <w:r>
        <w:rPr>
          <w:rFonts w:cs="Times New Roman"/>
          <w:szCs w:val="24"/>
        </w:rPr>
        <w:t>pplicant</w:t>
      </w:r>
      <w:r w:rsidR="00904207">
        <w:rPr>
          <w:rFonts w:cs="Times New Roman"/>
          <w:szCs w:val="24"/>
        </w:rPr>
        <w:t xml:space="preserve"> stated that Section 123 of the Insolvency Act intended to provide for and secure operating companies. The respondent company was a dormant and shelf company and therefore not a compa</w:t>
      </w:r>
      <w:r w:rsidR="0015617D">
        <w:rPr>
          <w:rFonts w:cs="Times New Roman"/>
          <w:szCs w:val="24"/>
        </w:rPr>
        <w:t>ny as envisaged by the</w:t>
      </w:r>
      <w:r w:rsidR="00D755BC">
        <w:rPr>
          <w:rFonts w:cs="Times New Roman"/>
          <w:szCs w:val="24"/>
        </w:rPr>
        <w:t xml:space="preserve"> A</w:t>
      </w:r>
      <w:r w:rsidR="00904207">
        <w:rPr>
          <w:rFonts w:cs="Times New Roman"/>
          <w:szCs w:val="24"/>
        </w:rPr>
        <w:t>ct.</w:t>
      </w:r>
      <w:r w:rsidR="00ED677E">
        <w:rPr>
          <w:rFonts w:cs="Times New Roman"/>
          <w:szCs w:val="24"/>
        </w:rPr>
        <w:t xml:space="preserve"> He went on to highlight that the basis of their objection was that it being a dormant or shelf company they do not know who the affected persons are.</w:t>
      </w:r>
      <w:r w:rsidR="00A81036">
        <w:rPr>
          <w:rFonts w:cs="Times New Roman"/>
          <w:szCs w:val="24"/>
        </w:rPr>
        <w:t xml:space="preserve"> </w:t>
      </w:r>
    </w:p>
    <w:p w14:paraId="6C5DF523" w14:textId="5CBE281C" w:rsidR="006878EA" w:rsidRDefault="006878EA" w:rsidP="002B0AEC">
      <w:pPr>
        <w:jc w:val="both"/>
        <w:rPr>
          <w:rFonts w:cs="Times New Roman"/>
          <w:szCs w:val="24"/>
        </w:rPr>
      </w:pPr>
      <w:r>
        <w:rPr>
          <w:rFonts w:cs="Times New Roman"/>
          <w:szCs w:val="24"/>
        </w:rPr>
        <w:t>The 2</w:t>
      </w:r>
      <w:r w:rsidRPr="006878EA">
        <w:rPr>
          <w:rFonts w:cs="Times New Roman"/>
          <w:szCs w:val="24"/>
          <w:vertAlign w:val="superscript"/>
        </w:rPr>
        <w:t>nd</w:t>
      </w:r>
      <w:r>
        <w:rPr>
          <w:rFonts w:cs="Times New Roman"/>
          <w:szCs w:val="24"/>
        </w:rPr>
        <w:t xml:space="preserve"> point </w:t>
      </w:r>
      <w:r w:rsidRPr="006E2590">
        <w:rPr>
          <w:rFonts w:cs="Times New Roman"/>
          <w:i/>
          <w:szCs w:val="24"/>
        </w:rPr>
        <w:t xml:space="preserve">in </w:t>
      </w:r>
      <w:proofErr w:type="spellStart"/>
      <w:r w:rsidRPr="006E2590">
        <w:rPr>
          <w:rFonts w:cs="Times New Roman"/>
          <w:i/>
          <w:iCs/>
          <w:szCs w:val="24"/>
        </w:rPr>
        <w:t>l</w:t>
      </w:r>
      <w:r w:rsidRPr="0015101A">
        <w:rPr>
          <w:rFonts w:cs="Times New Roman"/>
          <w:i/>
          <w:iCs/>
          <w:szCs w:val="24"/>
        </w:rPr>
        <w:t>imine</w:t>
      </w:r>
      <w:proofErr w:type="spellEnd"/>
      <w:r w:rsidRPr="0015101A">
        <w:rPr>
          <w:rFonts w:cs="Times New Roman"/>
          <w:i/>
          <w:iCs/>
          <w:szCs w:val="24"/>
        </w:rPr>
        <w:t xml:space="preserve"> </w:t>
      </w:r>
      <w:r>
        <w:rPr>
          <w:rFonts w:cs="Times New Roman"/>
          <w:szCs w:val="24"/>
        </w:rPr>
        <w:t xml:space="preserve">raised is that the board resolution is defective as it was taken at a meeting of 19 January 2023. He further stated that as of 19 January 2023 the board </w:t>
      </w:r>
      <w:r w:rsidR="0015101A">
        <w:rPr>
          <w:rFonts w:cs="Times New Roman"/>
          <w:szCs w:val="24"/>
        </w:rPr>
        <w:t>could not have been in contemplation that Stuart Pumps would commence voluntary corporate rescue proceedings on the 11</w:t>
      </w:r>
      <w:r w:rsidR="0015101A" w:rsidRPr="0015101A">
        <w:rPr>
          <w:rFonts w:cs="Times New Roman"/>
          <w:szCs w:val="24"/>
          <w:vertAlign w:val="superscript"/>
        </w:rPr>
        <w:t>th</w:t>
      </w:r>
      <w:r w:rsidR="0015101A">
        <w:rPr>
          <w:rFonts w:cs="Times New Roman"/>
          <w:szCs w:val="24"/>
        </w:rPr>
        <w:t xml:space="preserve"> of July 2024. He contends that what is even more worrying is the fact that the co-director </w:t>
      </w:r>
      <w:proofErr w:type="spellStart"/>
      <w:r w:rsidR="0015101A">
        <w:rPr>
          <w:rFonts w:cs="Times New Roman"/>
          <w:szCs w:val="24"/>
        </w:rPr>
        <w:t>Phildah</w:t>
      </w:r>
      <w:proofErr w:type="spellEnd"/>
      <w:r w:rsidR="0015101A">
        <w:rPr>
          <w:rFonts w:cs="Times New Roman"/>
          <w:szCs w:val="24"/>
        </w:rPr>
        <w:t xml:space="preserve"> </w:t>
      </w:r>
      <w:proofErr w:type="spellStart"/>
      <w:r w:rsidR="0015101A">
        <w:rPr>
          <w:rFonts w:cs="Times New Roman"/>
          <w:szCs w:val="24"/>
        </w:rPr>
        <w:t>Mabvira</w:t>
      </w:r>
      <w:proofErr w:type="spellEnd"/>
      <w:r w:rsidR="0015101A">
        <w:rPr>
          <w:rFonts w:cs="Times New Roman"/>
          <w:szCs w:val="24"/>
        </w:rPr>
        <w:t xml:space="preserve"> who signed the resolution is deceased and was already</w:t>
      </w:r>
      <w:r w:rsidR="00D755BC">
        <w:rPr>
          <w:rFonts w:cs="Times New Roman"/>
          <w:szCs w:val="24"/>
        </w:rPr>
        <w:t>;</w:t>
      </w:r>
      <w:r w:rsidR="0015101A">
        <w:rPr>
          <w:rFonts w:cs="Times New Roman"/>
          <w:szCs w:val="24"/>
        </w:rPr>
        <w:t xml:space="preserve"> at the time </w:t>
      </w:r>
      <w:r w:rsidR="00D755BC">
        <w:rPr>
          <w:rFonts w:cs="Times New Roman"/>
          <w:szCs w:val="24"/>
        </w:rPr>
        <w:t>the resolution was taken</w:t>
      </w:r>
      <w:r w:rsidR="0015101A">
        <w:rPr>
          <w:rFonts w:cs="Times New Roman"/>
          <w:szCs w:val="24"/>
        </w:rPr>
        <w:t xml:space="preserve">. He relied on the case of </w:t>
      </w:r>
      <w:r w:rsidR="0015101A" w:rsidRPr="0015101A">
        <w:rPr>
          <w:rFonts w:cs="Times New Roman"/>
          <w:i/>
          <w:iCs/>
          <w:szCs w:val="24"/>
        </w:rPr>
        <w:t xml:space="preserve">Beach </w:t>
      </w:r>
      <w:r w:rsidR="0015101A">
        <w:rPr>
          <w:rFonts w:cs="Times New Roman"/>
          <w:i/>
          <w:iCs/>
          <w:szCs w:val="24"/>
        </w:rPr>
        <w:t>C</w:t>
      </w:r>
      <w:r w:rsidR="0015101A" w:rsidRPr="0015101A">
        <w:rPr>
          <w:rFonts w:cs="Times New Roman"/>
          <w:i/>
          <w:iCs/>
          <w:szCs w:val="24"/>
        </w:rPr>
        <w:t>onsultancy (P</w:t>
      </w:r>
      <w:r w:rsidR="0015101A">
        <w:rPr>
          <w:rFonts w:cs="Times New Roman"/>
          <w:i/>
          <w:iCs/>
          <w:szCs w:val="24"/>
        </w:rPr>
        <w:t>ri</w:t>
      </w:r>
      <w:r w:rsidR="0015101A" w:rsidRPr="0015101A">
        <w:rPr>
          <w:rFonts w:cs="Times New Roman"/>
          <w:i/>
          <w:iCs/>
          <w:szCs w:val="24"/>
        </w:rPr>
        <w:t>v</w:t>
      </w:r>
      <w:r w:rsidR="0015101A">
        <w:rPr>
          <w:rFonts w:cs="Times New Roman"/>
          <w:i/>
          <w:iCs/>
          <w:szCs w:val="24"/>
        </w:rPr>
        <w:t>a</w:t>
      </w:r>
      <w:r w:rsidR="0015101A" w:rsidRPr="0015101A">
        <w:rPr>
          <w:rFonts w:cs="Times New Roman"/>
          <w:i/>
          <w:iCs/>
          <w:szCs w:val="24"/>
        </w:rPr>
        <w:t>t</w:t>
      </w:r>
      <w:r w:rsidR="0015101A">
        <w:rPr>
          <w:rFonts w:cs="Times New Roman"/>
          <w:i/>
          <w:iCs/>
          <w:szCs w:val="24"/>
        </w:rPr>
        <w:t>e</w:t>
      </w:r>
      <w:r w:rsidR="0015101A" w:rsidRPr="0015101A">
        <w:rPr>
          <w:rFonts w:cs="Times New Roman"/>
          <w:i/>
          <w:iCs/>
          <w:szCs w:val="24"/>
        </w:rPr>
        <w:t>) L</w:t>
      </w:r>
      <w:r w:rsidR="0015101A">
        <w:rPr>
          <w:rFonts w:cs="Times New Roman"/>
          <w:i/>
          <w:iCs/>
          <w:szCs w:val="24"/>
        </w:rPr>
        <w:t>imi</w:t>
      </w:r>
      <w:r w:rsidR="0015101A" w:rsidRPr="0015101A">
        <w:rPr>
          <w:rFonts w:cs="Times New Roman"/>
          <w:i/>
          <w:iCs/>
          <w:szCs w:val="24"/>
        </w:rPr>
        <w:t>t</w:t>
      </w:r>
      <w:r w:rsidR="0015101A">
        <w:rPr>
          <w:rFonts w:cs="Times New Roman"/>
          <w:i/>
          <w:iCs/>
          <w:szCs w:val="24"/>
        </w:rPr>
        <w:t>e</w:t>
      </w:r>
      <w:r w:rsidR="0015101A" w:rsidRPr="0015101A">
        <w:rPr>
          <w:rFonts w:cs="Times New Roman"/>
          <w:i/>
          <w:iCs/>
          <w:szCs w:val="24"/>
        </w:rPr>
        <w:t xml:space="preserve">d v </w:t>
      </w:r>
      <w:proofErr w:type="spellStart"/>
      <w:r w:rsidR="0015101A" w:rsidRPr="0015101A">
        <w:rPr>
          <w:rFonts w:cs="Times New Roman"/>
          <w:i/>
          <w:iCs/>
          <w:szCs w:val="24"/>
        </w:rPr>
        <w:t>Makonya</w:t>
      </w:r>
      <w:proofErr w:type="spellEnd"/>
      <w:r w:rsidR="0015101A" w:rsidRPr="0015101A">
        <w:rPr>
          <w:rFonts w:cs="Times New Roman"/>
          <w:i/>
          <w:iCs/>
          <w:szCs w:val="24"/>
        </w:rPr>
        <w:t xml:space="preserve"> </w:t>
      </w:r>
      <w:r w:rsidR="0015101A">
        <w:rPr>
          <w:rFonts w:cs="Times New Roman"/>
          <w:szCs w:val="24"/>
        </w:rPr>
        <w:t xml:space="preserve">HH 696-21 and </w:t>
      </w:r>
      <w:proofErr w:type="spellStart"/>
      <w:r w:rsidR="0015101A" w:rsidRPr="0015101A">
        <w:rPr>
          <w:rFonts w:cs="Times New Roman"/>
          <w:i/>
          <w:iCs/>
          <w:szCs w:val="24"/>
        </w:rPr>
        <w:t>Madzivire</w:t>
      </w:r>
      <w:proofErr w:type="spellEnd"/>
      <w:r w:rsidR="0015101A" w:rsidRPr="0015101A">
        <w:rPr>
          <w:rFonts w:cs="Times New Roman"/>
          <w:i/>
          <w:iCs/>
          <w:szCs w:val="24"/>
        </w:rPr>
        <w:t xml:space="preserve"> and </w:t>
      </w:r>
      <w:proofErr w:type="spellStart"/>
      <w:r w:rsidR="0015101A" w:rsidRPr="0015101A">
        <w:rPr>
          <w:rFonts w:cs="Times New Roman"/>
          <w:i/>
          <w:iCs/>
          <w:szCs w:val="24"/>
        </w:rPr>
        <w:t>Ors</w:t>
      </w:r>
      <w:proofErr w:type="spellEnd"/>
      <w:r w:rsidR="0015101A" w:rsidRPr="0015101A">
        <w:rPr>
          <w:rFonts w:cs="Times New Roman"/>
          <w:i/>
          <w:iCs/>
          <w:szCs w:val="24"/>
        </w:rPr>
        <w:t xml:space="preserve"> v </w:t>
      </w:r>
      <w:proofErr w:type="spellStart"/>
      <w:r w:rsidR="0015101A" w:rsidRPr="0015101A">
        <w:rPr>
          <w:rFonts w:cs="Times New Roman"/>
          <w:i/>
          <w:iCs/>
          <w:szCs w:val="24"/>
        </w:rPr>
        <w:t>Zvarivadza</w:t>
      </w:r>
      <w:proofErr w:type="spellEnd"/>
      <w:r w:rsidR="0015101A" w:rsidRPr="0015101A">
        <w:rPr>
          <w:rFonts w:cs="Times New Roman"/>
          <w:i/>
          <w:iCs/>
          <w:szCs w:val="24"/>
        </w:rPr>
        <w:t xml:space="preserve"> and </w:t>
      </w:r>
      <w:proofErr w:type="spellStart"/>
      <w:r w:rsidR="0015101A" w:rsidRPr="0015101A">
        <w:rPr>
          <w:rFonts w:cs="Times New Roman"/>
          <w:i/>
          <w:iCs/>
          <w:szCs w:val="24"/>
        </w:rPr>
        <w:t>Ors</w:t>
      </w:r>
      <w:proofErr w:type="spellEnd"/>
      <w:r w:rsidR="0015101A">
        <w:rPr>
          <w:rFonts w:cs="Times New Roman"/>
          <w:szCs w:val="24"/>
        </w:rPr>
        <w:t xml:space="preserve"> 2006(1) ZLR 514 (S)</w:t>
      </w:r>
      <w:r w:rsidR="0080231D">
        <w:rPr>
          <w:rFonts w:cs="Times New Roman"/>
          <w:szCs w:val="24"/>
        </w:rPr>
        <w:t>.</w:t>
      </w:r>
      <w:r w:rsidR="00DD72B6">
        <w:rPr>
          <w:rFonts w:cs="Times New Roman"/>
          <w:szCs w:val="24"/>
        </w:rPr>
        <w:t xml:space="preserve"> In </w:t>
      </w:r>
      <w:r w:rsidR="00DD72B6">
        <w:rPr>
          <w:rFonts w:cs="Times New Roman"/>
          <w:szCs w:val="24"/>
        </w:rPr>
        <w:lastRenderedPageBreak/>
        <w:t xml:space="preserve">response counsel for the applicant submitted that the authorities cited by the respondent refers to issues that are not known by the board. He further highlighted that the authority given by the resolution is identified and the facts are the same. These points in </w:t>
      </w:r>
      <w:proofErr w:type="spellStart"/>
      <w:r w:rsidR="00DD72B6" w:rsidRPr="00874546">
        <w:rPr>
          <w:rFonts w:cs="Times New Roman"/>
          <w:i/>
          <w:szCs w:val="24"/>
        </w:rPr>
        <w:t>limine</w:t>
      </w:r>
      <w:proofErr w:type="spellEnd"/>
      <w:r w:rsidR="00DD72B6">
        <w:rPr>
          <w:rFonts w:cs="Times New Roman"/>
          <w:szCs w:val="24"/>
        </w:rPr>
        <w:t xml:space="preserve"> were not addressed in the heads of argument by the applicant.</w:t>
      </w:r>
    </w:p>
    <w:p w14:paraId="0D32AEC9" w14:textId="2CD651A8" w:rsidR="00DD72B6" w:rsidRDefault="00DD72B6" w:rsidP="002B0AEC">
      <w:pPr>
        <w:jc w:val="both"/>
        <w:rPr>
          <w:rFonts w:cs="Times New Roman"/>
          <w:szCs w:val="24"/>
        </w:rPr>
      </w:pPr>
      <w:r>
        <w:rPr>
          <w:rFonts w:cs="Times New Roman"/>
          <w:szCs w:val="24"/>
        </w:rPr>
        <w:t xml:space="preserve">I will deal with the first point in </w:t>
      </w:r>
      <w:proofErr w:type="spellStart"/>
      <w:r w:rsidRPr="00874546">
        <w:rPr>
          <w:rFonts w:cs="Times New Roman"/>
          <w:i/>
          <w:szCs w:val="24"/>
        </w:rPr>
        <w:t>limine</w:t>
      </w:r>
      <w:proofErr w:type="spellEnd"/>
      <w:r>
        <w:rPr>
          <w:rFonts w:cs="Times New Roman"/>
          <w:szCs w:val="24"/>
        </w:rPr>
        <w:t xml:space="preserve"> raised as I believe it is capable of disposing of this matter.</w:t>
      </w:r>
    </w:p>
    <w:p w14:paraId="7671F172" w14:textId="35A51357" w:rsidR="00132292" w:rsidRPr="00132292" w:rsidRDefault="00132292" w:rsidP="00332321">
      <w:pPr>
        <w:jc w:val="both"/>
        <w:rPr>
          <w:rFonts w:cs="Times New Roman"/>
          <w:b/>
          <w:bCs/>
          <w:color w:val="212529"/>
          <w:szCs w:val="24"/>
          <w:u w:val="single"/>
          <w:shd w:val="clear" w:color="auto" w:fill="FFFFFF"/>
        </w:rPr>
      </w:pPr>
      <w:r w:rsidRPr="00132292">
        <w:rPr>
          <w:rFonts w:cs="Times New Roman"/>
          <w:b/>
          <w:bCs/>
          <w:color w:val="212529"/>
          <w:szCs w:val="24"/>
          <w:u w:val="single"/>
          <w:shd w:val="clear" w:color="auto" w:fill="FFFFFF"/>
        </w:rPr>
        <w:t>Whether the application is invalid by reason of the failure to give notice to affected persons</w:t>
      </w:r>
      <w:r>
        <w:rPr>
          <w:rFonts w:cs="Times New Roman"/>
          <w:b/>
          <w:bCs/>
          <w:color w:val="212529"/>
          <w:szCs w:val="24"/>
          <w:u w:val="single"/>
          <w:shd w:val="clear" w:color="auto" w:fill="FFFFFF"/>
        </w:rPr>
        <w:t>.</w:t>
      </w:r>
    </w:p>
    <w:p w14:paraId="5D67D456" w14:textId="0C488F4A" w:rsidR="0092610F" w:rsidRPr="0092610F" w:rsidRDefault="005A7960" w:rsidP="00332321">
      <w:pPr>
        <w:jc w:val="both"/>
        <w:rPr>
          <w:rFonts w:cs="Times New Roman"/>
          <w:szCs w:val="24"/>
        </w:rPr>
      </w:pPr>
      <w:r>
        <w:rPr>
          <w:rFonts w:cs="Times New Roman"/>
          <w:szCs w:val="24"/>
        </w:rPr>
        <w:t>Section 123 of the Insolvency Act [</w:t>
      </w:r>
      <w:r w:rsidRPr="005A7960">
        <w:rPr>
          <w:rFonts w:cs="Times New Roman"/>
          <w:i/>
          <w:szCs w:val="24"/>
        </w:rPr>
        <w:t>Chapter 6:07</w:t>
      </w:r>
      <w:r>
        <w:rPr>
          <w:rFonts w:cs="Times New Roman"/>
          <w:szCs w:val="24"/>
        </w:rPr>
        <w:t>] states as follows:</w:t>
      </w:r>
    </w:p>
    <w:p w14:paraId="03A75F9A" w14:textId="52676350" w:rsidR="005A7960" w:rsidRPr="005A7960" w:rsidRDefault="005A7960" w:rsidP="00C53A72">
      <w:pPr>
        <w:spacing w:line="240" w:lineRule="auto"/>
        <w:ind w:firstLine="720"/>
        <w:jc w:val="both"/>
        <w:rPr>
          <w:rFonts w:cs="Times New Roman"/>
          <w:b/>
          <w:bCs/>
          <w:szCs w:val="24"/>
        </w:rPr>
      </w:pPr>
      <w:r>
        <w:rPr>
          <w:rFonts w:cs="Times New Roman"/>
          <w:b/>
          <w:bCs/>
          <w:szCs w:val="24"/>
        </w:rPr>
        <w:t>“</w:t>
      </w:r>
      <w:r w:rsidRPr="005A7960">
        <w:rPr>
          <w:rFonts w:cs="Times New Roman"/>
          <w:b/>
          <w:bCs/>
          <w:szCs w:val="24"/>
        </w:rPr>
        <w:t>123.</w:t>
      </w:r>
      <w:r w:rsidR="006E2590">
        <w:rPr>
          <w:rFonts w:cs="Times New Roman"/>
          <w:b/>
          <w:bCs/>
          <w:szCs w:val="24"/>
        </w:rPr>
        <w:tab/>
      </w:r>
      <w:r w:rsidRPr="005A7960">
        <w:rPr>
          <w:rFonts w:cs="Times New Roman"/>
          <w:b/>
          <w:bCs/>
          <w:szCs w:val="24"/>
        </w:rPr>
        <w:t>Objections to company resolution</w:t>
      </w:r>
    </w:p>
    <w:p w14:paraId="03D57CB0" w14:textId="77777777" w:rsidR="005A7960" w:rsidRDefault="005A7960" w:rsidP="00C53A72">
      <w:pPr>
        <w:spacing w:line="240" w:lineRule="auto"/>
        <w:ind w:left="720"/>
        <w:jc w:val="both"/>
        <w:rPr>
          <w:rFonts w:cs="Times New Roman"/>
          <w:szCs w:val="24"/>
        </w:rPr>
      </w:pPr>
      <w:r w:rsidRPr="005A7960">
        <w:rPr>
          <w:rFonts w:cs="Times New Roman"/>
          <w:szCs w:val="24"/>
        </w:rPr>
        <w:t>(1)Subject to subsection (2), at any time after the adoption of a resolution in terms of </w:t>
      </w:r>
      <w:hyperlink r:id="rId8" w:anchor="part_XXIII__subpart_nn_1__sec_122" w:history="1">
        <w:r w:rsidRPr="005A7960">
          <w:rPr>
            <w:rStyle w:val="Hyperlink"/>
            <w:rFonts w:cs="Times New Roman"/>
            <w:szCs w:val="24"/>
          </w:rPr>
          <w:t>section 122</w:t>
        </w:r>
      </w:hyperlink>
      <w:r w:rsidRPr="005A7960">
        <w:rPr>
          <w:rFonts w:cs="Times New Roman"/>
          <w:szCs w:val="24"/>
        </w:rPr>
        <w:t>, until the adoption of a corporate rescue plan in terms of </w:t>
      </w:r>
      <w:hyperlink r:id="rId9" w:anchor="part_XXIII__subpart_nn_4__sec_146" w:history="1">
        <w:r w:rsidRPr="005A7960">
          <w:rPr>
            <w:rStyle w:val="Hyperlink"/>
            <w:rFonts w:cs="Times New Roman"/>
            <w:szCs w:val="24"/>
          </w:rPr>
          <w:t>section 146</w:t>
        </w:r>
      </w:hyperlink>
      <w:r w:rsidRPr="005A7960">
        <w:rPr>
          <w:rFonts w:cs="Times New Roman"/>
          <w:szCs w:val="24"/>
        </w:rPr>
        <w:t>, an affected person may apply to a Court for an order—</w:t>
      </w:r>
    </w:p>
    <w:p w14:paraId="6739E377" w14:textId="77777777" w:rsidR="005A7960" w:rsidRDefault="005A7960" w:rsidP="00C53A72">
      <w:pPr>
        <w:spacing w:line="240" w:lineRule="auto"/>
        <w:ind w:firstLine="720"/>
        <w:jc w:val="both"/>
        <w:rPr>
          <w:rFonts w:cs="Times New Roman"/>
          <w:szCs w:val="24"/>
        </w:rPr>
      </w:pPr>
      <w:r w:rsidRPr="005A7960">
        <w:rPr>
          <w:rFonts w:cs="Times New Roman"/>
          <w:szCs w:val="24"/>
        </w:rPr>
        <w:t>(</w:t>
      </w:r>
      <w:proofErr w:type="gramStart"/>
      <w:r w:rsidRPr="005A7960">
        <w:rPr>
          <w:rFonts w:cs="Times New Roman"/>
          <w:szCs w:val="24"/>
        </w:rPr>
        <w:t>a)</w:t>
      </w:r>
      <w:proofErr w:type="gramEnd"/>
      <w:r w:rsidRPr="005A7960">
        <w:rPr>
          <w:rFonts w:cs="Times New Roman"/>
          <w:szCs w:val="24"/>
        </w:rPr>
        <w:t>setting aside the resolution, on the grounds that—</w:t>
      </w:r>
    </w:p>
    <w:p w14:paraId="2B7ABA45" w14:textId="7C2DFDFE" w:rsidR="005A7960" w:rsidRDefault="005A7960" w:rsidP="00C53A72">
      <w:pPr>
        <w:spacing w:line="240" w:lineRule="auto"/>
        <w:ind w:left="1440"/>
        <w:jc w:val="both"/>
        <w:rPr>
          <w:rFonts w:cs="Times New Roman"/>
          <w:szCs w:val="24"/>
        </w:rPr>
      </w:pPr>
      <w:r w:rsidRPr="005A7960">
        <w:rPr>
          <w:rFonts w:cs="Times New Roman"/>
          <w:szCs w:val="24"/>
        </w:rPr>
        <w:t>(</w:t>
      </w:r>
      <w:proofErr w:type="spellStart"/>
      <w:r w:rsidRPr="005A7960">
        <w:rPr>
          <w:rFonts w:cs="Times New Roman"/>
          <w:szCs w:val="24"/>
        </w:rPr>
        <w:t>i</w:t>
      </w:r>
      <w:proofErr w:type="spellEnd"/>
      <w:r w:rsidRPr="005A7960">
        <w:rPr>
          <w:rFonts w:cs="Times New Roman"/>
          <w:szCs w:val="24"/>
        </w:rPr>
        <w:t>)</w:t>
      </w:r>
      <w:r w:rsidR="00C25474">
        <w:rPr>
          <w:rFonts w:cs="Times New Roman"/>
          <w:szCs w:val="24"/>
        </w:rPr>
        <w:t xml:space="preserve"> </w:t>
      </w:r>
      <w:r w:rsidR="00C25474" w:rsidRPr="005A7960">
        <w:rPr>
          <w:rFonts w:cs="Times New Roman"/>
          <w:szCs w:val="24"/>
        </w:rPr>
        <w:t>There</w:t>
      </w:r>
      <w:r w:rsidRPr="005A7960">
        <w:rPr>
          <w:rFonts w:cs="Times New Roman"/>
          <w:szCs w:val="24"/>
        </w:rPr>
        <w:t xml:space="preserve"> is no reasonable basis for believing that the company is financially distressed; </w:t>
      </w:r>
      <w:r>
        <w:rPr>
          <w:rFonts w:cs="Times New Roman"/>
          <w:szCs w:val="24"/>
        </w:rPr>
        <w:t xml:space="preserve">   </w:t>
      </w:r>
      <w:r w:rsidRPr="005A7960">
        <w:rPr>
          <w:rFonts w:cs="Times New Roman"/>
          <w:szCs w:val="24"/>
        </w:rPr>
        <w:t>or</w:t>
      </w:r>
    </w:p>
    <w:p w14:paraId="688C8E66" w14:textId="47219861" w:rsidR="005A7960" w:rsidRDefault="005A7960" w:rsidP="00C53A72">
      <w:pPr>
        <w:spacing w:line="240" w:lineRule="auto"/>
        <w:ind w:left="720" w:firstLine="720"/>
        <w:jc w:val="both"/>
        <w:rPr>
          <w:rFonts w:cs="Times New Roman"/>
          <w:szCs w:val="24"/>
        </w:rPr>
      </w:pPr>
      <w:r w:rsidRPr="005A7960">
        <w:rPr>
          <w:rFonts w:cs="Times New Roman"/>
          <w:szCs w:val="24"/>
        </w:rPr>
        <w:t>(ii)</w:t>
      </w:r>
      <w:r w:rsidR="00C25474">
        <w:rPr>
          <w:rFonts w:cs="Times New Roman"/>
          <w:szCs w:val="24"/>
        </w:rPr>
        <w:t xml:space="preserve"> </w:t>
      </w:r>
      <w:r w:rsidR="00C25474" w:rsidRPr="005A7960">
        <w:rPr>
          <w:rFonts w:cs="Times New Roman"/>
          <w:szCs w:val="24"/>
        </w:rPr>
        <w:t>There</w:t>
      </w:r>
      <w:r w:rsidRPr="005A7960">
        <w:rPr>
          <w:rFonts w:cs="Times New Roman"/>
          <w:szCs w:val="24"/>
        </w:rPr>
        <w:t xml:space="preserve"> is no reasonable prospect for rescuing the company; or</w:t>
      </w:r>
    </w:p>
    <w:p w14:paraId="73B5639D" w14:textId="519668ED" w:rsidR="005A7960" w:rsidRDefault="005A7960" w:rsidP="00C53A72">
      <w:pPr>
        <w:spacing w:line="240" w:lineRule="auto"/>
        <w:ind w:left="1440"/>
        <w:jc w:val="both"/>
        <w:rPr>
          <w:rFonts w:cs="Times New Roman"/>
          <w:szCs w:val="24"/>
        </w:rPr>
      </w:pPr>
      <w:r w:rsidRPr="005A7960">
        <w:rPr>
          <w:rFonts w:cs="Times New Roman"/>
          <w:szCs w:val="24"/>
        </w:rPr>
        <w:t>(iii)</w:t>
      </w:r>
      <w:r w:rsidR="00C25474">
        <w:rPr>
          <w:rFonts w:cs="Times New Roman"/>
          <w:szCs w:val="24"/>
        </w:rPr>
        <w:t xml:space="preserve"> </w:t>
      </w:r>
      <w:r w:rsidR="00C25474" w:rsidRPr="005A7960">
        <w:rPr>
          <w:rFonts w:cs="Times New Roman"/>
          <w:szCs w:val="24"/>
        </w:rPr>
        <w:t>The</w:t>
      </w:r>
      <w:r w:rsidRPr="005A7960">
        <w:rPr>
          <w:rFonts w:cs="Times New Roman"/>
          <w:szCs w:val="24"/>
        </w:rPr>
        <w:t xml:space="preserve"> company has failed to satisfy the procedural requirements set out in </w:t>
      </w:r>
      <w:r>
        <w:rPr>
          <w:rFonts w:cs="Times New Roman"/>
          <w:szCs w:val="24"/>
        </w:rPr>
        <w:t xml:space="preserve">section </w:t>
      </w:r>
      <w:proofErr w:type="gramStart"/>
      <w:r>
        <w:rPr>
          <w:rFonts w:cs="Times New Roman"/>
          <w:szCs w:val="24"/>
        </w:rPr>
        <w:t>122</w:t>
      </w:r>
      <w:r w:rsidR="00C25474">
        <w:rPr>
          <w:rFonts w:cs="Times New Roman"/>
          <w:szCs w:val="24"/>
        </w:rPr>
        <w:t>;...</w:t>
      </w:r>
      <w:r>
        <w:rPr>
          <w:rFonts w:cs="Times New Roman"/>
          <w:szCs w:val="24"/>
        </w:rPr>
        <w:t>…</w:t>
      </w:r>
      <w:proofErr w:type="gramEnd"/>
    </w:p>
    <w:p w14:paraId="00F9CEC7" w14:textId="4DFE34FC" w:rsidR="007B5097" w:rsidRDefault="005A7960" w:rsidP="00C53A72">
      <w:pPr>
        <w:spacing w:line="240" w:lineRule="auto"/>
        <w:ind w:left="720"/>
        <w:jc w:val="both"/>
        <w:rPr>
          <w:rFonts w:cs="Times New Roman"/>
          <w:szCs w:val="24"/>
        </w:rPr>
      </w:pPr>
      <w:r w:rsidRPr="005A7960">
        <w:rPr>
          <w:rFonts w:cs="Times New Roman"/>
          <w:szCs w:val="24"/>
        </w:rPr>
        <w:t>(3)An applicant in terms of subsection (1) must—(a)</w:t>
      </w:r>
      <w:r w:rsidR="00C25474">
        <w:rPr>
          <w:rFonts w:cs="Times New Roman"/>
          <w:szCs w:val="24"/>
        </w:rPr>
        <w:t xml:space="preserve"> </w:t>
      </w:r>
      <w:r w:rsidRPr="005A7960">
        <w:rPr>
          <w:rFonts w:cs="Times New Roman"/>
          <w:szCs w:val="24"/>
        </w:rPr>
        <w:t xml:space="preserve">serve a copy of the application on the company and the Master; </w:t>
      </w:r>
      <w:r w:rsidR="00C25474" w:rsidRPr="005A7960">
        <w:rPr>
          <w:rFonts w:cs="Times New Roman"/>
          <w:szCs w:val="24"/>
        </w:rPr>
        <w:t>and (</w:t>
      </w:r>
      <w:r w:rsidRPr="005A7960">
        <w:rPr>
          <w:rFonts w:cs="Times New Roman"/>
          <w:szCs w:val="24"/>
        </w:rPr>
        <w:t>b</w:t>
      </w:r>
      <w:r w:rsidR="00C25474" w:rsidRPr="005A7960">
        <w:rPr>
          <w:rFonts w:cs="Times New Roman"/>
          <w:szCs w:val="24"/>
        </w:rPr>
        <w:t>) notify</w:t>
      </w:r>
      <w:r w:rsidRPr="005A7960">
        <w:rPr>
          <w:rFonts w:cs="Times New Roman"/>
          <w:szCs w:val="24"/>
        </w:rPr>
        <w:t xml:space="preserve"> each affected person of the application by standard notice.</w:t>
      </w:r>
      <w:r>
        <w:rPr>
          <w:rFonts w:cs="Times New Roman"/>
          <w:szCs w:val="24"/>
        </w:rPr>
        <w:t>”</w:t>
      </w:r>
    </w:p>
    <w:p w14:paraId="73EEDA2D" w14:textId="3B7E520F" w:rsidR="008F2642" w:rsidRDefault="00C25474" w:rsidP="00874546">
      <w:pPr>
        <w:jc w:val="both"/>
        <w:rPr>
          <w:rFonts w:cs="Times New Roman"/>
          <w:szCs w:val="24"/>
        </w:rPr>
      </w:pPr>
      <w:r>
        <w:rPr>
          <w:rFonts w:cs="Times New Roman"/>
          <w:szCs w:val="24"/>
        </w:rPr>
        <w:t>Standard notice is defined in section 2 of the Act to mean</w:t>
      </w:r>
      <w:r w:rsidRPr="00C25474">
        <w:rPr>
          <w:rFonts w:cs="Times New Roman"/>
          <w:szCs w:val="24"/>
        </w:rPr>
        <w:t xml:space="preserve"> notice by registered mail, </w:t>
      </w:r>
      <w:r w:rsidRPr="00A2022A">
        <w:rPr>
          <w:rFonts w:cs="Times New Roman"/>
          <w:szCs w:val="24"/>
        </w:rPr>
        <w:t>fax, e-mail</w:t>
      </w:r>
      <w:r w:rsidRPr="00C25474">
        <w:rPr>
          <w:rFonts w:cs="Times New Roman"/>
          <w:szCs w:val="24"/>
        </w:rPr>
        <w:t> or personal delivery.</w:t>
      </w:r>
      <w:r>
        <w:rPr>
          <w:rFonts w:cs="Times New Roman"/>
          <w:szCs w:val="24"/>
        </w:rPr>
        <w:t xml:space="preserve"> </w:t>
      </w:r>
      <w:r w:rsidR="008F2642">
        <w:rPr>
          <w:rFonts w:cs="Times New Roman"/>
          <w:szCs w:val="24"/>
        </w:rPr>
        <w:t>Service by way of standard notice is a peremptory requirement as the act uses the word “must”</w:t>
      </w:r>
      <w:r w:rsidR="00B40B0C">
        <w:rPr>
          <w:rFonts w:cs="Times New Roman"/>
          <w:szCs w:val="24"/>
        </w:rPr>
        <w:t>. Failure to adhere to peremptory provisions renders an application fatally defective.</w:t>
      </w:r>
    </w:p>
    <w:p w14:paraId="781ED413" w14:textId="39BE1D43" w:rsidR="00B40B0C" w:rsidRDefault="00B40B0C" w:rsidP="00874546">
      <w:pPr>
        <w:jc w:val="both"/>
        <w:rPr>
          <w:rFonts w:cs="Times New Roman"/>
          <w:szCs w:val="24"/>
        </w:rPr>
      </w:pPr>
      <w:r>
        <w:rPr>
          <w:rFonts w:cs="Times New Roman"/>
          <w:szCs w:val="24"/>
        </w:rPr>
        <w:t xml:space="preserve">In the case of </w:t>
      </w:r>
      <w:proofErr w:type="spellStart"/>
      <w:r w:rsidRPr="005B65CB">
        <w:rPr>
          <w:rFonts w:cs="Times New Roman"/>
          <w:i/>
          <w:iCs/>
          <w:szCs w:val="24"/>
        </w:rPr>
        <w:t>Mettalon</w:t>
      </w:r>
      <w:proofErr w:type="spellEnd"/>
      <w:r w:rsidRPr="005B65CB">
        <w:rPr>
          <w:rFonts w:cs="Times New Roman"/>
          <w:i/>
          <w:iCs/>
          <w:szCs w:val="24"/>
        </w:rPr>
        <w:t xml:space="preserve"> Gold Zimbabwe (Pvt) Ltd and </w:t>
      </w:r>
      <w:proofErr w:type="spellStart"/>
      <w:r w:rsidRPr="005B65CB">
        <w:rPr>
          <w:rFonts w:cs="Times New Roman"/>
          <w:i/>
          <w:iCs/>
          <w:szCs w:val="24"/>
        </w:rPr>
        <w:t>Ors</w:t>
      </w:r>
      <w:proofErr w:type="spellEnd"/>
      <w:r w:rsidRPr="005B65CB">
        <w:rPr>
          <w:rFonts w:cs="Times New Roman"/>
          <w:i/>
          <w:iCs/>
          <w:szCs w:val="24"/>
        </w:rPr>
        <w:t xml:space="preserve"> v </w:t>
      </w:r>
      <w:proofErr w:type="spellStart"/>
      <w:r w:rsidRPr="005B65CB">
        <w:rPr>
          <w:rFonts w:cs="Times New Roman"/>
          <w:i/>
          <w:iCs/>
          <w:szCs w:val="24"/>
        </w:rPr>
        <w:t>Shatirwa</w:t>
      </w:r>
      <w:proofErr w:type="spellEnd"/>
      <w:r w:rsidRPr="005B65CB">
        <w:rPr>
          <w:rFonts w:cs="Times New Roman"/>
          <w:i/>
          <w:iCs/>
          <w:szCs w:val="24"/>
        </w:rPr>
        <w:t xml:space="preserve"> Investment (Pvt) Ltd </w:t>
      </w:r>
      <w:r>
        <w:rPr>
          <w:rFonts w:cs="Times New Roman"/>
          <w:szCs w:val="24"/>
        </w:rPr>
        <w:t>SC 107-21 the Court enunciated the following sentiments:</w:t>
      </w:r>
    </w:p>
    <w:p w14:paraId="25E96833" w14:textId="3A295D39" w:rsidR="00B40B0C" w:rsidRPr="00B40B0C" w:rsidRDefault="00B40B0C" w:rsidP="00B40B0C">
      <w:pPr>
        <w:spacing w:line="240" w:lineRule="auto"/>
        <w:ind w:left="720"/>
        <w:jc w:val="both"/>
        <w:rPr>
          <w:rFonts w:cs="Times New Roman"/>
          <w:szCs w:val="24"/>
          <w:lang w:val="en-GB"/>
        </w:rPr>
      </w:pPr>
      <w:r>
        <w:rPr>
          <w:rFonts w:cs="Times New Roman"/>
          <w:szCs w:val="24"/>
        </w:rPr>
        <w:t>“</w:t>
      </w:r>
      <w:r w:rsidRPr="00B40B0C">
        <w:rPr>
          <w:rFonts w:cs="Times New Roman"/>
          <w:szCs w:val="24"/>
        </w:rPr>
        <w:t>It is apparent that the failure to notify affected persons is not only a breach of peremptory provisions, but it also prejudices affected persons who have a substantial and legitimate interest in the fate of the company as they are not afforded an opportunity to respond to the application. Ultimately, the outcome of the application may prove to be adverse to them.</w:t>
      </w:r>
    </w:p>
    <w:p w14:paraId="064F2613" w14:textId="242D4A0C" w:rsidR="00B40B0C" w:rsidRDefault="00B40B0C" w:rsidP="00B40B0C">
      <w:pPr>
        <w:spacing w:line="240" w:lineRule="auto"/>
        <w:ind w:left="720"/>
        <w:jc w:val="both"/>
        <w:rPr>
          <w:rFonts w:cs="Times New Roman"/>
          <w:szCs w:val="24"/>
        </w:rPr>
      </w:pPr>
      <w:r w:rsidRPr="00B40B0C">
        <w:rPr>
          <w:rFonts w:cs="Times New Roman"/>
          <w:szCs w:val="24"/>
        </w:rPr>
        <w:lastRenderedPageBreak/>
        <w:t>The effect of non-compliance by an applicant for corporate rescue with the provisions of the Insolvency Act relating to notifying affected persons by standard notice renders the application a nullity.</w:t>
      </w:r>
      <w:r>
        <w:rPr>
          <w:rFonts w:cs="Times New Roman"/>
          <w:szCs w:val="24"/>
        </w:rPr>
        <w:t>”</w:t>
      </w:r>
    </w:p>
    <w:p w14:paraId="51417DE5" w14:textId="52AC9EB9" w:rsidR="00CC663F" w:rsidRDefault="00CC663F" w:rsidP="00CC663F">
      <w:pPr>
        <w:spacing w:line="240" w:lineRule="auto"/>
        <w:jc w:val="both"/>
        <w:rPr>
          <w:rFonts w:cs="Times New Roman"/>
          <w:szCs w:val="24"/>
        </w:rPr>
      </w:pPr>
      <w:r>
        <w:rPr>
          <w:rFonts w:cs="Times New Roman"/>
          <w:szCs w:val="24"/>
        </w:rPr>
        <w:t xml:space="preserve">A similar approach was followed in the case of </w:t>
      </w:r>
      <w:r w:rsidRPr="00CC663F">
        <w:rPr>
          <w:rFonts w:cs="Times New Roman"/>
          <w:i/>
          <w:szCs w:val="24"/>
        </w:rPr>
        <w:t>Redwing Mining Company (Pvt) Ltd v Associated Mine Workers Union of Zimbabwe and 2 Ors</w:t>
      </w:r>
      <w:r>
        <w:rPr>
          <w:rFonts w:cs="Times New Roman"/>
          <w:szCs w:val="24"/>
        </w:rPr>
        <w:t xml:space="preserve"> SC 96-22</w:t>
      </w:r>
      <w:r w:rsidR="00841D1C">
        <w:rPr>
          <w:rFonts w:cs="Times New Roman"/>
          <w:szCs w:val="24"/>
        </w:rPr>
        <w:t xml:space="preserve"> wherein the court held that:</w:t>
      </w:r>
    </w:p>
    <w:p w14:paraId="43520F60" w14:textId="3D6CA47B" w:rsidR="00841D1C" w:rsidRDefault="00841D1C" w:rsidP="00841D1C">
      <w:pPr>
        <w:spacing w:line="240" w:lineRule="auto"/>
        <w:ind w:left="720"/>
        <w:jc w:val="both"/>
      </w:pPr>
      <w:r>
        <w:t>“The application must, without fail, be served on the company, the Master and the Registrar of companies. Each affected person must be notified of the application by standard notice and be allowed to participate in the court proceedings. The rationale is that every affected person must be accorded the opportunity to protect their rights and interests that may be affected by the placement of the company under supervision and corporate rescue proceedings.”</w:t>
      </w:r>
    </w:p>
    <w:p w14:paraId="64E819DA" w14:textId="26959B07" w:rsidR="00841D1C" w:rsidRDefault="00841D1C" w:rsidP="00963142">
      <w:pPr>
        <w:jc w:val="both"/>
      </w:pPr>
      <w:r>
        <w:t xml:space="preserve">In </w:t>
      </w:r>
      <w:r w:rsidRPr="00841D1C">
        <w:rPr>
          <w:i/>
        </w:rPr>
        <w:t>casu</w:t>
      </w:r>
      <w:r>
        <w:t>, the applicant conceded that they had not served the appl</w:t>
      </w:r>
      <w:r w:rsidR="00963142">
        <w:t>ication on the affected persons as they did not know who the affected persons are. Affected persons are shareholders and creditors of the Company. I am not convinced by the assertion that the applicant did not know who the shareholders and creditors of the company were. The two companies have a long relationship of lessor and lessee and it is not believable that the applicant can make a bold denial that they are not aware of the shareholders and creditors.</w:t>
      </w:r>
      <w:r w:rsidR="001E701A">
        <w:t xml:space="preserve"> A simple visit to the Regist</w:t>
      </w:r>
      <w:r w:rsidR="003F53AB">
        <w:t>r</w:t>
      </w:r>
      <w:r w:rsidR="001E701A">
        <w:t xml:space="preserve">ar of companies’ office would have </w:t>
      </w:r>
      <w:r w:rsidR="00A561B6">
        <w:t>re</w:t>
      </w:r>
      <w:r w:rsidR="001E701A">
        <w:t xml:space="preserve">solved this as </w:t>
      </w:r>
      <w:r w:rsidR="003F53AB">
        <w:t>they would have gotten the information on the shareholders and creditors of the company.</w:t>
      </w:r>
    </w:p>
    <w:p w14:paraId="4447031C" w14:textId="6223A593" w:rsidR="00682A0C" w:rsidRDefault="00682A0C" w:rsidP="00963142">
      <w:pPr>
        <w:jc w:val="both"/>
      </w:pPr>
      <w:r>
        <w:t>I am also not convinced by the applicant’s response that the respondent being a dormant or shelf company was not a company as envisaged by the Companies Act. The applicant has been leasing out its premises to Stuart Pumps, it is owed rental arrears by the same company. There is a long history of litigation between itself and the respondent company.</w:t>
      </w:r>
      <w:r w:rsidR="00A561B6">
        <w:t xml:space="preserve"> It is one of the creditors of the respondent company.</w:t>
      </w:r>
      <w:r>
        <w:t xml:space="preserve"> It cannot therefore make an assertion at this juncture that the respondent is a dormant company. </w:t>
      </w:r>
    </w:p>
    <w:p w14:paraId="0C93F277" w14:textId="0C75F132" w:rsidR="00A561B6" w:rsidRDefault="00A561B6" w:rsidP="00963142">
      <w:pPr>
        <w:jc w:val="both"/>
      </w:pPr>
      <w:r>
        <w:t xml:space="preserve">In the result I found the point of law raised by the respondent to be meritable. Corporate rescue proceedings have far reaching consequences on creditors, shareholders and the society at large. Therefore it is critical that the procedures laid down be followed to the latter. Because of the decision reached regarding this point </w:t>
      </w:r>
      <w:r w:rsidRPr="006E2590">
        <w:rPr>
          <w:i/>
        </w:rPr>
        <w:t xml:space="preserve">in </w:t>
      </w:r>
      <w:proofErr w:type="spellStart"/>
      <w:r w:rsidRPr="00A561B6">
        <w:rPr>
          <w:i/>
        </w:rPr>
        <w:t>limine</w:t>
      </w:r>
      <w:proofErr w:type="spellEnd"/>
      <w:r>
        <w:t xml:space="preserve">, no useful purpose would be served by dealing with the rest of the points </w:t>
      </w:r>
      <w:r w:rsidRPr="006E2590">
        <w:rPr>
          <w:i/>
        </w:rPr>
        <w:t xml:space="preserve">in </w:t>
      </w:r>
      <w:proofErr w:type="spellStart"/>
      <w:r w:rsidRPr="006E2590">
        <w:rPr>
          <w:i/>
        </w:rPr>
        <w:t>l</w:t>
      </w:r>
      <w:r w:rsidRPr="00A561B6">
        <w:rPr>
          <w:i/>
        </w:rPr>
        <w:t>imine</w:t>
      </w:r>
      <w:proofErr w:type="spellEnd"/>
      <w:r>
        <w:t xml:space="preserve"> raised by the respondent.</w:t>
      </w:r>
    </w:p>
    <w:p w14:paraId="5C5511D5" w14:textId="77777777" w:rsidR="006E2590" w:rsidRDefault="006E2590" w:rsidP="00963142">
      <w:pPr>
        <w:jc w:val="both"/>
        <w:rPr>
          <w:b/>
        </w:rPr>
      </w:pPr>
    </w:p>
    <w:p w14:paraId="469A1057" w14:textId="77777777" w:rsidR="006E2590" w:rsidRDefault="006E2590" w:rsidP="00963142">
      <w:pPr>
        <w:jc w:val="both"/>
        <w:rPr>
          <w:b/>
        </w:rPr>
      </w:pPr>
    </w:p>
    <w:p w14:paraId="1F71AC07" w14:textId="77777777" w:rsidR="006E2590" w:rsidRDefault="006E2590" w:rsidP="00963142">
      <w:pPr>
        <w:jc w:val="both"/>
        <w:rPr>
          <w:b/>
        </w:rPr>
      </w:pPr>
    </w:p>
    <w:p w14:paraId="23B2B474" w14:textId="577FF146" w:rsidR="00A561B6" w:rsidRPr="00A561B6" w:rsidRDefault="00A561B6" w:rsidP="00963142">
      <w:pPr>
        <w:jc w:val="both"/>
        <w:rPr>
          <w:b/>
        </w:rPr>
      </w:pPr>
      <w:r w:rsidRPr="00A561B6">
        <w:rPr>
          <w:b/>
        </w:rPr>
        <w:lastRenderedPageBreak/>
        <w:t>DISPOSITION</w:t>
      </w:r>
    </w:p>
    <w:p w14:paraId="6257ECBC" w14:textId="5C697F82" w:rsidR="00A561B6" w:rsidRDefault="00A561B6" w:rsidP="00963142">
      <w:pPr>
        <w:jc w:val="both"/>
      </w:pPr>
      <w:r>
        <w:t>In the result it is ordered as follows;</w:t>
      </w:r>
    </w:p>
    <w:p w14:paraId="27026C6F" w14:textId="047121E7" w:rsidR="00590CE3" w:rsidRDefault="00A561B6" w:rsidP="001263AD">
      <w:pPr>
        <w:pStyle w:val="ListParagraph"/>
        <w:numPr>
          <w:ilvl w:val="0"/>
          <w:numId w:val="10"/>
        </w:numPr>
        <w:jc w:val="both"/>
      </w:pPr>
      <w:r>
        <w:t>The application be and is hereby struck off the roll</w:t>
      </w:r>
      <w:r w:rsidR="007F1AE9">
        <w:t xml:space="preserve"> with costs on an ordinary scale</w:t>
      </w:r>
      <w:r>
        <w:t>.</w:t>
      </w:r>
    </w:p>
    <w:p w14:paraId="6D771DF3" w14:textId="77777777" w:rsidR="00A561B6" w:rsidRDefault="00A561B6" w:rsidP="00A561B6">
      <w:pPr>
        <w:jc w:val="both"/>
      </w:pPr>
    </w:p>
    <w:p w14:paraId="22BB1343" w14:textId="77777777" w:rsidR="00A561B6" w:rsidRPr="00A561B6" w:rsidRDefault="00A561B6" w:rsidP="00A561B6">
      <w:pPr>
        <w:jc w:val="both"/>
      </w:pPr>
    </w:p>
    <w:p w14:paraId="280E636A" w14:textId="3FD27C39" w:rsidR="009F4040" w:rsidRPr="008148D4" w:rsidRDefault="00C13C18" w:rsidP="001263AD">
      <w:pPr>
        <w:pStyle w:val="NoSpacing"/>
        <w:jc w:val="both"/>
        <w:rPr>
          <w:rFonts w:ascii="Times New Roman" w:hAnsi="Times New Roman" w:cs="Times New Roman"/>
          <w:sz w:val="24"/>
          <w:szCs w:val="24"/>
        </w:rPr>
      </w:pPr>
      <w:proofErr w:type="spellStart"/>
      <w:r>
        <w:rPr>
          <w:rFonts w:ascii="Times New Roman" w:hAnsi="Times New Roman" w:cs="Times New Roman"/>
          <w:i/>
          <w:sz w:val="24"/>
          <w:szCs w:val="24"/>
        </w:rPr>
        <w:t>Sengweni</w:t>
      </w:r>
      <w:proofErr w:type="spellEnd"/>
      <w:r>
        <w:rPr>
          <w:rFonts w:ascii="Times New Roman" w:hAnsi="Times New Roman" w:cs="Times New Roman"/>
          <w:i/>
          <w:sz w:val="24"/>
          <w:szCs w:val="24"/>
        </w:rPr>
        <w:t xml:space="preserve"> Legal Practice</w:t>
      </w:r>
      <w:r w:rsidR="00A43A4C" w:rsidRPr="008148D4">
        <w:rPr>
          <w:rFonts w:ascii="Times New Roman" w:hAnsi="Times New Roman" w:cs="Times New Roman"/>
          <w:i/>
          <w:sz w:val="24"/>
          <w:szCs w:val="24"/>
        </w:rPr>
        <w:t xml:space="preserve"> </w:t>
      </w:r>
      <w:r w:rsidR="00CC3703" w:rsidRPr="008148D4">
        <w:rPr>
          <w:rFonts w:ascii="Times New Roman" w:hAnsi="Times New Roman" w:cs="Times New Roman"/>
          <w:sz w:val="24"/>
          <w:szCs w:val="24"/>
        </w:rPr>
        <w:t xml:space="preserve"> </w:t>
      </w:r>
      <w:r w:rsidR="00DF1377" w:rsidRPr="008148D4">
        <w:rPr>
          <w:rFonts w:ascii="Times New Roman" w:hAnsi="Times New Roman" w:cs="Times New Roman"/>
          <w:sz w:val="24"/>
          <w:szCs w:val="24"/>
        </w:rPr>
        <w:t xml:space="preserve"> </w:t>
      </w:r>
      <w:r w:rsidR="002E1A83" w:rsidRPr="008148D4">
        <w:rPr>
          <w:rFonts w:ascii="Times New Roman" w:hAnsi="Times New Roman" w:cs="Times New Roman"/>
          <w:sz w:val="24"/>
          <w:szCs w:val="24"/>
        </w:rPr>
        <w:t>applicant’s legal practitioners</w:t>
      </w:r>
    </w:p>
    <w:p w14:paraId="63A94978" w14:textId="6E68A834" w:rsidR="009F4040" w:rsidRPr="008148D4" w:rsidRDefault="00C13C18" w:rsidP="001263AD">
      <w:pPr>
        <w:pStyle w:val="NoSpacing"/>
        <w:jc w:val="both"/>
        <w:rPr>
          <w:rFonts w:ascii="Times New Roman" w:hAnsi="Times New Roman" w:cs="Times New Roman"/>
          <w:sz w:val="24"/>
          <w:szCs w:val="24"/>
        </w:rPr>
      </w:pPr>
      <w:proofErr w:type="spellStart"/>
      <w:r>
        <w:rPr>
          <w:rFonts w:ascii="Times New Roman" w:hAnsi="Times New Roman" w:cs="Times New Roman"/>
          <w:i/>
          <w:sz w:val="24"/>
          <w:szCs w:val="24"/>
        </w:rPr>
        <w:t>Mashayamombe</w:t>
      </w:r>
      <w:proofErr w:type="spellEnd"/>
      <w:r>
        <w:rPr>
          <w:rFonts w:ascii="Times New Roman" w:hAnsi="Times New Roman" w:cs="Times New Roman"/>
          <w:i/>
          <w:sz w:val="24"/>
          <w:szCs w:val="24"/>
        </w:rPr>
        <w:t xml:space="preserve"> and </w:t>
      </w:r>
      <w:r w:rsidR="006E2590">
        <w:rPr>
          <w:rFonts w:ascii="Times New Roman" w:hAnsi="Times New Roman" w:cs="Times New Roman"/>
          <w:i/>
          <w:sz w:val="24"/>
          <w:szCs w:val="24"/>
        </w:rPr>
        <w:t>C</w:t>
      </w:r>
      <w:r>
        <w:rPr>
          <w:rFonts w:ascii="Times New Roman" w:hAnsi="Times New Roman" w:cs="Times New Roman"/>
          <w:i/>
          <w:sz w:val="24"/>
          <w:szCs w:val="24"/>
        </w:rPr>
        <w:t xml:space="preserve">ompany </w:t>
      </w:r>
      <w:r w:rsidR="00B96886" w:rsidRPr="008148D4">
        <w:rPr>
          <w:rFonts w:ascii="Times New Roman" w:hAnsi="Times New Roman" w:cs="Times New Roman"/>
          <w:sz w:val="24"/>
          <w:szCs w:val="24"/>
        </w:rPr>
        <w:t>respondents</w:t>
      </w:r>
      <w:r w:rsidR="00B96886">
        <w:rPr>
          <w:rFonts w:ascii="Times New Roman" w:hAnsi="Times New Roman" w:cs="Times New Roman"/>
          <w:sz w:val="24"/>
          <w:szCs w:val="24"/>
        </w:rPr>
        <w:t>’</w:t>
      </w:r>
      <w:r w:rsidR="002E1A83" w:rsidRPr="008148D4">
        <w:rPr>
          <w:rFonts w:ascii="Times New Roman" w:hAnsi="Times New Roman" w:cs="Times New Roman"/>
          <w:sz w:val="24"/>
          <w:szCs w:val="24"/>
        </w:rPr>
        <w:t xml:space="preserve"> legal practitioners</w:t>
      </w:r>
    </w:p>
    <w:p w14:paraId="332B88B2" w14:textId="77777777" w:rsidR="006D17E0" w:rsidRPr="008148D4" w:rsidRDefault="006D17E0" w:rsidP="001263AD">
      <w:pPr>
        <w:jc w:val="both"/>
        <w:rPr>
          <w:rFonts w:cs="Times New Roman"/>
          <w:b/>
          <w:bCs/>
          <w:i/>
          <w:iCs/>
          <w:szCs w:val="24"/>
        </w:rPr>
      </w:pPr>
    </w:p>
    <w:sectPr w:rsidR="006D17E0" w:rsidRPr="008148D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5E79B" w14:textId="77777777" w:rsidR="009E3F75" w:rsidRDefault="009E3F75" w:rsidP="006E39B1">
      <w:pPr>
        <w:spacing w:after="0" w:line="240" w:lineRule="auto"/>
      </w:pPr>
      <w:r>
        <w:separator/>
      </w:r>
    </w:p>
  </w:endnote>
  <w:endnote w:type="continuationSeparator" w:id="0">
    <w:p w14:paraId="42E1E11A" w14:textId="77777777" w:rsidR="009E3F75" w:rsidRDefault="009E3F75" w:rsidP="006E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7BE92" w14:textId="77777777" w:rsidR="009E3F75" w:rsidRDefault="009E3F75" w:rsidP="006E39B1">
      <w:pPr>
        <w:spacing w:after="0" w:line="240" w:lineRule="auto"/>
      </w:pPr>
      <w:r>
        <w:separator/>
      </w:r>
    </w:p>
  </w:footnote>
  <w:footnote w:type="continuationSeparator" w:id="0">
    <w:p w14:paraId="24EF9F74" w14:textId="77777777" w:rsidR="009E3F75" w:rsidRDefault="009E3F75" w:rsidP="006E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598069"/>
      <w:docPartObj>
        <w:docPartGallery w:val="Page Numbers (Top of Page)"/>
        <w:docPartUnique/>
      </w:docPartObj>
    </w:sdtPr>
    <w:sdtEndPr>
      <w:rPr>
        <w:noProof/>
      </w:rPr>
    </w:sdtEndPr>
    <w:sdtContent>
      <w:p w14:paraId="090DB519" w14:textId="77777777" w:rsidR="006E2590" w:rsidRDefault="006E2590">
        <w:pPr>
          <w:pStyle w:val="Header"/>
          <w:jc w:val="right"/>
          <w:rPr>
            <w:noProof/>
          </w:rPr>
        </w:pPr>
        <w:r>
          <w:fldChar w:fldCharType="begin"/>
        </w:r>
        <w:r>
          <w:instrText xml:space="preserve"> PAGE   \* MERGEFORMAT </w:instrText>
        </w:r>
        <w:r>
          <w:fldChar w:fldCharType="separate"/>
        </w:r>
        <w:r w:rsidR="00D755BC">
          <w:rPr>
            <w:noProof/>
          </w:rPr>
          <w:t>1</w:t>
        </w:r>
        <w:r>
          <w:rPr>
            <w:noProof/>
          </w:rPr>
          <w:fldChar w:fldCharType="end"/>
        </w:r>
      </w:p>
      <w:p w14:paraId="79AD6E0C" w14:textId="3AF52DB1" w:rsidR="006E2590" w:rsidRDefault="006E2590">
        <w:pPr>
          <w:pStyle w:val="Header"/>
          <w:jc w:val="right"/>
          <w:rPr>
            <w:noProof/>
          </w:rPr>
        </w:pPr>
        <w:r>
          <w:rPr>
            <w:noProof/>
          </w:rPr>
          <w:t>HB  54/25</w:t>
        </w:r>
      </w:p>
      <w:p w14:paraId="6189BFB0" w14:textId="4B742865" w:rsidR="006E2590" w:rsidRDefault="006E2590">
        <w:pPr>
          <w:pStyle w:val="Header"/>
          <w:jc w:val="right"/>
        </w:pPr>
        <w:r>
          <w:rPr>
            <w:noProof/>
          </w:rPr>
          <w:t>HCBC 975/24</w:t>
        </w:r>
      </w:p>
    </w:sdtContent>
  </w:sdt>
  <w:p w14:paraId="22E685CF" w14:textId="1799FD8B" w:rsidR="00F92182" w:rsidRPr="006E2590" w:rsidRDefault="00F92182" w:rsidP="006E2590">
    <w:pPr>
      <w:pStyle w:val="Header"/>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F0D"/>
    <w:multiLevelType w:val="hybridMultilevel"/>
    <w:tmpl w:val="6DE447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8F2254"/>
    <w:multiLevelType w:val="hybridMultilevel"/>
    <w:tmpl w:val="FB1E3538"/>
    <w:lvl w:ilvl="0" w:tplc="F982A150">
      <w:start w:val="1"/>
      <w:numFmt w:val="lowerRoman"/>
      <w:lvlText w:val="%1)"/>
      <w:lvlJc w:val="left"/>
      <w:pPr>
        <w:ind w:left="1210" w:hanging="720"/>
      </w:pPr>
      <w:rPr>
        <w:rFonts w:hint="default"/>
      </w:rPr>
    </w:lvl>
    <w:lvl w:ilvl="1" w:tplc="30090019" w:tentative="1">
      <w:start w:val="1"/>
      <w:numFmt w:val="lowerLetter"/>
      <w:lvlText w:val="%2."/>
      <w:lvlJc w:val="left"/>
      <w:pPr>
        <w:ind w:left="1570" w:hanging="360"/>
      </w:pPr>
    </w:lvl>
    <w:lvl w:ilvl="2" w:tplc="3009001B" w:tentative="1">
      <w:start w:val="1"/>
      <w:numFmt w:val="lowerRoman"/>
      <w:lvlText w:val="%3."/>
      <w:lvlJc w:val="right"/>
      <w:pPr>
        <w:ind w:left="2290" w:hanging="180"/>
      </w:pPr>
    </w:lvl>
    <w:lvl w:ilvl="3" w:tplc="3009000F" w:tentative="1">
      <w:start w:val="1"/>
      <w:numFmt w:val="decimal"/>
      <w:lvlText w:val="%4."/>
      <w:lvlJc w:val="left"/>
      <w:pPr>
        <w:ind w:left="3010" w:hanging="360"/>
      </w:pPr>
    </w:lvl>
    <w:lvl w:ilvl="4" w:tplc="30090019" w:tentative="1">
      <w:start w:val="1"/>
      <w:numFmt w:val="lowerLetter"/>
      <w:lvlText w:val="%5."/>
      <w:lvlJc w:val="left"/>
      <w:pPr>
        <w:ind w:left="3730" w:hanging="360"/>
      </w:pPr>
    </w:lvl>
    <w:lvl w:ilvl="5" w:tplc="3009001B" w:tentative="1">
      <w:start w:val="1"/>
      <w:numFmt w:val="lowerRoman"/>
      <w:lvlText w:val="%6."/>
      <w:lvlJc w:val="right"/>
      <w:pPr>
        <w:ind w:left="4450" w:hanging="180"/>
      </w:pPr>
    </w:lvl>
    <w:lvl w:ilvl="6" w:tplc="3009000F" w:tentative="1">
      <w:start w:val="1"/>
      <w:numFmt w:val="decimal"/>
      <w:lvlText w:val="%7."/>
      <w:lvlJc w:val="left"/>
      <w:pPr>
        <w:ind w:left="5170" w:hanging="360"/>
      </w:pPr>
    </w:lvl>
    <w:lvl w:ilvl="7" w:tplc="30090019" w:tentative="1">
      <w:start w:val="1"/>
      <w:numFmt w:val="lowerLetter"/>
      <w:lvlText w:val="%8."/>
      <w:lvlJc w:val="left"/>
      <w:pPr>
        <w:ind w:left="5890" w:hanging="360"/>
      </w:pPr>
    </w:lvl>
    <w:lvl w:ilvl="8" w:tplc="3009001B" w:tentative="1">
      <w:start w:val="1"/>
      <w:numFmt w:val="lowerRoman"/>
      <w:lvlText w:val="%9."/>
      <w:lvlJc w:val="right"/>
      <w:pPr>
        <w:ind w:left="6610" w:hanging="180"/>
      </w:pPr>
    </w:lvl>
  </w:abstractNum>
  <w:abstractNum w:abstractNumId="2" w15:restartNumberingAfterBreak="0">
    <w:nsid w:val="10751332"/>
    <w:multiLevelType w:val="hybridMultilevel"/>
    <w:tmpl w:val="F2EA87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2A20870"/>
    <w:multiLevelType w:val="hybridMultilevel"/>
    <w:tmpl w:val="078CC6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4B92203"/>
    <w:multiLevelType w:val="hybridMultilevel"/>
    <w:tmpl w:val="8E605CAA"/>
    <w:lvl w:ilvl="0" w:tplc="8FEA6F1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3621A8D"/>
    <w:multiLevelType w:val="hybridMultilevel"/>
    <w:tmpl w:val="41D4CA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A054C14"/>
    <w:multiLevelType w:val="hybridMultilevel"/>
    <w:tmpl w:val="B0AA1E46"/>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352464D"/>
    <w:multiLevelType w:val="hybridMultilevel"/>
    <w:tmpl w:val="B21416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6F83B88"/>
    <w:multiLevelType w:val="hybridMultilevel"/>
    <w:tmpl w:val="499EBC18"/>
    <w:lvl w:ilvl="0" w:tplc="B64AED6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C5B2364"/>
    <w:multiLevelType w:val="hybridMultilevel"/>
    <w:tmpl w:val="E5AA45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0"/>
  </w:num>
  <w:num w:numId="5">
    <w:abstractNumId w:val="5"/>
  </w:num>
  <w:num w:numId="6">
    <w:abstractNumId w:val="3"/>
  </w:num>
  <w:num w:numId="7">
    <w:abstractNumId w:val="4"/>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28"/>
    <w:rsid w:val="00006BF9"/>
    <w:rsid w:val="000142FE"/>
    <w:rsid w:val="000305D8"/>
    <w:rsid w:val="00034D91"/>
    <w:rsid w:val="000353F7"/>
    <w:rsid w:val="0003715E"/>
    <w:rsid w:val="00044B4C"/>
    <w:rsid w:val="00057BA1"/>
    <w:rsid w:val="000724C7"/>
    <w:rsid w:val="000A50F6"/>
    <w:rsid w:val="000B3FB1"/>
    <w:rsid w:val="000B7383"/>
    <w:rsid w:val="000D2A27"/>
    <w:rsid w:val="000E0B43"/>
    <w:rsid w:val="000F331C"/>
    <w:rsid w:val="0011750D"/>
    <w:rsid w:val="001263AD"/>
    <w:rsid w:val="00131A54"/>
    <w:rsid w:val="00132292"/>
    <w:rsid w:val="00136627"/>
    <w:rsid w:val="001461A7"/>
    <w:rsid w:val="0015101A"/>
    <w:rsid w:val="0015617D"/>
    <w:rsid w:val="00165AAE"/>
    <w:rsid w:val="0019358F"/>
    <w:rsid w:val="001A1164"/>
    <w:rsid w:val="001A5799"/>
    <w:rsid w:val="001B6B38"/>
    <w:rsid w:val="001E701A"/>
    <w:rsid w:val="001F1321"/>
    <w:rsid w:val="001F15F4"/>
    <w:rsid w:val="001F2348"/>
    <w:rsid w:val="001F4D57"/>
    <w:rsid w:val="001F6C07"/>
    <w:rsid w:val="002032D2"/>
    <w:rsid w:val="00212192"/>
    <w:rsid w:val="002162B5"/>
    <w:rsid w:val="00221661"/>
    <w:rsid w:val="00230F15"/>
    <w:rsid w:val="00237436"/>
    <w:rsid w:val="002513CD"/>
    <w:rsid w:val="00257FCF"/>
    <w:rsid w:val="00266BD4"/>
    <w:rsid w:val="0027260C"/>
    <w:rsid w:val="00274EA0"/>
    <w:rsid w:val="0027690A"/>
    <w:rsid w:val="002953FD"/>
    <w:rsid w:val="002958D1"/>
    <w:rsid w:val="002A2AFF"/>
    <w:rsid w:val="002A30F3"/>
    <w:rsid w:val="002B0A0E"/>
    <w:rsid w:val="002B0AEC"/>
    <w:rsid w:val="002C157E"/>
    <w:rsid w:val="002C7177"/>
    <w:rsid w:val="002E1A83"/>
    <w:rsid w:val="002E3065"/>
    <w:rsid w:val="002F0744"/>
    <w:rsid w:val="002F120C"/>
    <w:rsid w:val="00313585"/>
    <w:rsid w:val="00315D90"/>
    <w:rsid w:val="00316FD6"/>
    <w:rsid w:val="003255DD"/>
    <w:rsid w:val="00332321"/>
    <w:rsid w:val="00333595"/>
    <w:rsid w:val="0033496E"/>
    <w:rsid w:val="00342A8A"/>
    <w:rsid w:val="00344AAF"/>
    <w:rsid w:val="00347A9F"/>
    <w:rsid w:val="003503DC"/>
    <w:rsid w:val="00365602"/>
    <w:rsid w:val="00371A13"/>
    <w:rsid w:val="00372D99"/>
    <w:rsid w:val="00375374"/>
    <w:rsid w:val="00377435"/>
    <w:rsid w:val="00385598"/>
    <w:rsid w:val="003A40A3"/>
    <w:rsid w:val="003A423C"/>
    <w:rsid w:val="003D753E"/>
    <w:rsid w:val="003E7461"/>
    <w:rsid w:val="003F2336"/>
    <w:rsid w:val="003F53AB"/>
    <w:rsid w:val="003F6ABB"/>
    <w:rsid w:val="003F7B80"/>
    <w:rsid w:val="0040078F"/>
    <w:rsid w:val="004106DD"/>
    <w:rsid w:val="00412859"/>
    <w:rsid w:val="0041662B"/>
    <w:rsid w:val="0042001C"/>
    <w:rsid w:val="004316C4"/>
    <w:rsid w:val="00435C01"/>
    <w:rsid w:val="00435FC3"/>
    <w:rsid w:val="0045332D"/>
    <w:rsid w:val="004647B6"/>
    <w:rsid w:val="0048241B"/>
    <w:rsid w:val="00492CA7"/>
    <w:rsid w:val="00492CB0"/>
    <w:rsid w:val="004C308A"/>
    <w:rsid w:val="004D24A7"/>
    <w:rsid w:val="004D358B"/>
    <w:rsid w:val="004D72BC"/>
    <w:rsid w:val="004D7A92"/>
    <w:rsid w:val="004E5FE5"/>
    <w:rsid w:val="004E6C15"/>
    <w:rsid w:val="004F0A05"/>
    <w:rsid w:val="004F1834"/>
    <w:rsid w:val="00505A11"/>
    <w:rsid w:val="00510C78"/>
    <w:rsid w:val="00515CCD"/>
    <w:rsid w:val="00517AAE"/>
    <w:rsid w:val="005224CA"/>
    <w:rsid w:val="0052765B"/>
    <w:rsid w:val="0053126F"/>
    <w:rsid w:val="005321B7"/>
    <w:rsid w:val="005500EA"/>
    <w:rsid w:val="00551C4A"/>
    <w:rsid w:val="005622CA"/>
    <w:rsid w:val="00572CAC"/>
    <w:rsid w:val="00572D92"/>
    <w:rsid w:val="00573F03"/>
    <w:rsid w:val="00590CE3"/>
    <w:rsid w:val="005969A7"/>
    <w:rsid w:val="005A098A"/>
    <w:rsid w:val="005A7960"/>
    <w:rsid w:val="005B65CB"/>
    <w:rsid w:val="005B7D7B"/>
    <w:rsid w:val="005D0F5B"/>
    <w:rsid w:val="005D6246"/>
    <w:rsid w:val="00605381"/>
    <w:rsid w:val="00612016"/>
    <w:rsid w:val="006200B2"/>
    <w:rsid w:val="006224F7"/>
    <w:rsid w:val="00641254"/>
    <w:rsid w:val="00650806"/>
    <w:rsid w:val="006560BD"/>
    <w:rsid w:val="00671E62"/>
    <w:rsid w:val="0067574C"/>
    <w:rsid w:val="00682A0C"/>
    <w:rsid w:val="006878EA"/>
    <w:rsid w:val="00695B95"/>
    <w:rsid w:val="006B06EE"/>
    <w:rsid w:val="006B119B"/>
    <w:rsid w:val="006C4576"/>
    <w:rsid w:val="006C5682"/>
    <w:rsid w:val="006D17E0"/>
    <w:rsid w:val="006E0BE6"/>
    <w:rsid w:val="006E251E"/>
    <w:rsid w:val="006E2590"/>
    <w:rsid w:val="006E39B1"/>
    <w:rsid w:val="006F3D8B"/>
    <w:rsid w:val="006F5C30"/>
    <w:rsid w:val="006F5DCB"/>
    <w:rsid w:val="006F6179"/>
    <w:rsid w:val="00747CCD"/>
    <w:rsid w:val="0077109F"/>
    <w:rsid w:val="0078707D"/>
    <w:rsid w:val="00791353"/>
    <w:rsid w:val="007B1724"/>
    <w:rsid w:val="007B5097"/>
    <w:rsid w:val="007C15F1"/>
    <w:rsid w:val="007D6F56"/>
    <w:rsid w:val="007F00A9"/>
    <w:rsid w:val="007F1AE9"/>
    <w:rsid w:val="007F219E"/>
    <w:rsid w:val="007F7C61"/>
    <w:rsid w:val="0080231D"/>
    <w:rsid w:val="008148D4"/>
    <w:rsid w:val="00816664"/>
    <w:rsid w:val="008166FA"/>
    <w:rsid w:val="00832562"/>
    <w:rsid w:val="00841D1C"/>
    <w:rsid w:val="008443D0"/>
    <w:rsid w:val="00845E2A"/>
    <w:rsid w:val="008547E0"/>
    <w:rsid w:val="00874546"/>
    <w:rsid w:val="00882C41"/>
    <w:rsid w:val="008E62DD"/>
    <w:rsid w:val="008F2642"/>
    <w:rsid w:val="008F4C65"/>
    <w:rsid w:val="008F59FA"/>
    <w:rsid w:val="00904207"/>
    <w:rsid w:val="009115B2"/>
    <w:rsid w:val="00915C77"/>
    <w:rsid w:val="0092610F"/>
    <w:rsid w:val="009417D7"/>
    <w:rsid w:val="00951DB6"/>
    <w:rsid w:val="00955B8A"/>
    <w:rsid w:val="00962684"/>
    <w:rsid w:val="00963142"/>
    <w:rsid w:val="0096440D"/>
    <w:rsid w:val="00965FA2"/>
    <w:rsid w:val="00982A26"/>
    <w:rsid w:val="009913C8"/>
    <w:rsid w:val="00994063"/>
    <w:rsid w:val="009A6C76"/>
    <w:rsid w:val="009B425B"/>
    <w:rsid w:val="009E3F75"/>
    <w:rsid w:val="009F4040"/>
    <w:rsid w:val="00A178EA"/>
    <w:rsid w:val="00A2022A"/>
    <w:rsid w:val="00A23584"/>
    <w:rsid w:val="00A27BF6"/>
    <w:rsid w:val="00A3301D"/>
    <w:rsid w:val="00A4270A"/>
    <w:rsid w:val="00A43A4C"/>
    <w:rsid w:val="00A46F37"/>
    <w:rsid w:val="00A561B6"/>
    <w:rsid w:val="00A60192"/>
    <w:rsid w:val="00A61EE3"/>
    <w:rsid w:val="00A67B11"/>
    <w:rsid w:val="00A81036"/>
    <w:rsid w:val="00A81E3A"/>
    <w:rsid w:val="00AA3944"/>
    <w:rsid w:val="00AA607D"/>
    <w:rsid w:val="00AC62C9"/>
    <w:rsid w:val="00AE195C"/>
    <w:rsid w:val="00AF4035"/>
    <w:rsid w:val="00AF6F87"/>
    <w:rsid w:val="00B00673"/>
    <w:rsid w:val="00B10511"/>
    <w:rsid w:val="00B22623"/>
    <w:rsid w:val="00B40B0C"/>
    <w:rsid w:val="00B4734B"/>
    <w:rsid w:val="00B5214B"/>
    <w:rsid w:val="00B574DB"/>
    <w:rsid w:val="00B60F0A"/>
    <w:rsid w:val="00B65570"/>
    <w:rsid w:val="00B705B5"/>
    <w:rsid w:val="00B7468F"/>
    <w:rsid w:val="00B830BF"/>
    <w:rsid w:val="00B915F2"/>
    <w:rsid w:val="00B96886"/>
    <w:rsid w:val="00BB5260"/>
    <w:rsid w:val="00BB627A"/>
    <w:rsid w:val="00BC441F"/>
    <w:rsid w:val="00BC4D06"/>
    <w:rsid w:val="00BD484F"/>
    <w:rsid w:val="00BF2564"/>
    <w:rsid w:val="00BF73E7"/>
    <w:rsid w:val="00C13C18"/>
    <w:rsid w:val="00C249C6"/>
    <w:rsid w:val="00C25474"/>
    <w:rsid w:val="00C264B1"/>
    <w:rsid w:val="00C27BAA"/>
    <w:rsid w:val="00C53A72"/>
    <w:rsid w:val="00C65FEA"/>
    <w:rsid w:val="00C707E3"/>
    <w:rsid w:val="00C77C00"/>
    <w:rsid w:val="00C8116D"/>
    <w:rsid w:val="00C947B3"/>
    <w:rsid w:val="00CA069B"/>
    <w:rsid w:val="00CA0D9E"/>
    <w:rsid w:val="00CA44D3"/>
    <w:rsid w:val="00CA6C8F"/>
    <w:rsid w:val="00CB569B"/>
    <w:rsid w:val="00CC3703"/>
    <w:rsid w:val="00CC663F"/>
    <w:rsid w:val="00CD026F"/>
    <w:rsid w:val="00CD1F22"/>
    <w:rsid w:val="00CD31B5"/>
    <w:rsid w:val="00CD4D76"/>
    <w:rsid w:val="00CE4EA9"/>
    <w:rsid w:val="00D129CB"/>
    <w:rsid w:val="00D204F6"/>
    <w:rsid w:val="00D27721"/>
    <w:rsid w:val="00D339B8"/>
    <w:rsid w:val="00D469F8"/>
    <w:rsid w:val="00D549A2"/>
    <w:rsid w:val="00D54CFF"/>
    <w:rsid w:val="00D61A99"/>
    <w:rsid w:val="00D63180"/>
    <w:rsid w:val="00D7293B"/>
    <w:rsid w:val="00D755BC"/>
    <w:rsid w:val="00D775CB"/>
    <w:rsid w:val="00D85ACE"/>
    <w:rsid w:val="00D92394"/>
    <w:rsid w:val="00D96CCD"/>
    <w:rsid w:val="00DB0EF1"/>
    <w:rsid w:val="00DB5853"/>
    <w:rsid w:val="00DC3497"/>
    <w:rsid w:val="00DC5910"/>
    <w:rsid w:val="00DD24A8"/>
    <w:rsid w:val="00DD72B6"/>
    <w:rsid w:val="00DF1377"/>
    <w:rsid w:val="00DF2E01"/>
    <w:rsid w:val="00E0035B"/>
    <w:rsid w:val="00E12084"/>
    <w:rsid w:val="00E16E4D"/>
    <w:rsid w:val="00E311A0"/>
    <w:rsid w:val="00E3251A"/>
    <w:rsid w:val="00E33A6A"/>
    <w:rsid w:val="00E402EE"/>
    <w:rsid w:val="00E63700"/>
    <w:rsid w:val="00E71C4D"/>
    <w:rsid w:val="00E876F8"/>
    <w:rsid w:val="00E9231C"/>
    <w:rsid w:val="00EA6326"/>
    <w:rsid w:val="00EC2C5C"/>
    <w:rsid w:val="00EC3010"/>
    <w:rsid w:val="00EC3B32"/>
    <w:rsid w:val="00EC7433"/>
    <w:rsid w:val="00ED677E"/>
    <w:rsid w:val="00EF67EF"/>
    <w:rsid w:val="00EF7F28"/>
    <w:rsid w:val="00F04278"/>
    <w:rsid w:val="00F24FB6"/>
    <w:rsid w:val="00F531BF"/>
    <w:rsid w:val="00F627F2"/>
    <w:rsid w:val="00F64D59"/>
    <w:rsid w:val="00F76549"/>
    <w:rsid w:val="00F83D07"/>
    <w:rsid w:val="00F92182"/>
    <w:rsid w:val="00F953C4"/>
    <w:rsid w:val="00FA0A71"/>
    <w:rsid w:val="00FA0B87"/>
    <w:rsid w:val="00FB1908"/>
    <w:rsid w:val="00FC0F5E"/>
    <w:rsid w:val="00FC7C02"/>
    <w:rsid w:val="00FD2A5D"/>
    <w:rsid w:val="00FD4EF3"/>
    <w:rsid w:val="00FD7C5B"/>
    <w:rsid w:val="00FE1951"/>
    <w:rsid w:val="00FF70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2D9EC"/>
  <w15:chartTrackingRefBased/>
  <w15:docId w15:val="{97285718-CBD9-41F4-9E8C-335988B6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CE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2C9"/>
    <w:pPr>
      <w:ind w:left="720"/>
      <w:contextualSpacing/>
    </w:pPr>
  </w:style>
  <w:style w:type="paragraph" w:styleId="NoSpacing">
    <w:name w:val="No Spacing"/>
    <w:uiPriority w:val="1"/>
    <w:qFormat/>
    <w:rsid w:val="006E39B1"/>
    <w:pPr>
      <w:spacing w:after="0" w:line="240" w:lineRule="auto"/>
    </w:pPr>
  </w:style>
  <w:style w:type="paragraph" w:styleId="Header">
    <w:name w:val="header"/>
    <w:basedOn w:val="Normal"/>
    <w:link w:val="HeaderChar"/>
    <w:uiPriority w:val="99"/>
    <w:unhideWhenUsed/>
    <w:rsid w:val="006E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9B1"/>
  </w:style>
  <w:style w:type="paragraph" w:styleId="Footer">
    <w:name w:val="footer"/>
    <w:basedOn w:val="Normal"/>
    <w:link w:val="FooterChar"/>
    <w:uiPriority w:val="99"/>
    <w:unhideWhenUsed/>
    <w:rsid w:val="006E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9B1"/>
  </w:style>
  <w:style w:type="paragraph" w:styleId="HTMLPreformatted">
    <w:name w:val="HTML Preformatted"/>
    <w:basedOn w:val="Normal"/>
    <w:link w:val="HTMLPreformattedChar"/>
    <w:uiPriority w:val="99"/>
    <w:semiHidden/>
    <w:unhideWhenUsed/>
    <w:rsid w:val="00515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W"/>
    </w:rPr>
  </w:style>
  <w:style w:type="character" w:customStyle="1" w:styleId="HTMLPreformattedChar">
    <w:name w:val="HTML Preformatted Char"/>
    <w:basedOn w:val="DefaultParagraphFont"/>
    <w:link w:val="HTMLPreformatted"/>
    <w:uiPriority w:val="99"/>
    <w:semiHidden/>
    <w:rsid w:val="00515CCD"/>
    <w:rPr>
      <w:rFonts w:ascii="Courier New" w:eastAsia="Times New Roman" w:hAnsi="Courier New" w:cs="Courier New"/>
      <w:sz w:val="20"/>
      <w:szCs w:val="20"/>
      <w:lang w:eastAsia="en-ZW"/>
    </w:rPr>
  </w:style>
  <w:style w:type="character" w:styleId="Hyperlink">
    <w:name w:val="Hyperlink"/>
    <w:basedOn w:val="DefaultParagraphFont"/>
    <w:uiPriority w:val="99"/>
    <w:unhideWhenUsed/>
    <w:rsid w:val="005A79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54054">
      <w:bodyDiv w:val="1"/>
      <w:marLeft w:val="0"/>
      <w:marRight w:val="0"/>
      <w:marTop w:val="0"/>
      <w:marBottom w:val="0"/>
      <w:divBdr>
        <w:top w:val="none" w:sz="0" w:space="0" w:color="auto"/>
        <w:left w:val="none" w:sz="0" w:space="0" w:color="auto"/>
        <w:bottom w:val="none" w:sz="0" w:space="0" w:color="auto"/>
        <w:right w:val="none" w:sz="0" w:space="0" w:color="auto"/>
      </w:divBdr>
    </w:div>
    <w:div w:id="891159389">
      <w:bodyDiv w:val="1"/>
      <w:marLeft w:val="0"/>
      <w:marRight w:val="0"/>
      <w:marTop w:val="0"/>
      <w:marBottom w:val="0"/>
      <w:divBdr>
        <w:top w:val="none" w:sz="0" w:space="0" w:color="auto"/>
        <w:left w:val="none" w:sz="0" w:space="0" w:color="auto"/>
        <w:bottom w:val="none" w:sz="0" w:space="0" w:color="auto"/>
        <w:right w:val="none" w:sz="0" w:space="0" w:color="auto"/>
      </w:divBdr>
    </w:div>
    <w:div w:id="1201549733">
      <w:bodyDiv w:val="1"/>
      <w:marLeft w:val="0"/>
      <w:marRight w:val="0"/>
      <w:marTop w:val="0"/>
      <w:marBottom w:val="0"/>
      <w:divBdr>
        <w:top w:val="none" w:sz="0" w:space="0" w:color="auto"/>
        <w:left w:val="none" w:sz="0" w:space="0" w:color="auto"/>
        <w:bottom w:val="none" w:sz="0" w:space="0" w:color="auto"/>
        <w:right w:val="none" w:sz="0" w:space="0" w:color="auto"/>
      </w:divBdr>
    </w:div>
    <w:div w:id="213733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mlii.org/akn/zw/act/2018/7/eng@2018-0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imlii.org/akn/zw/act/2018/7/eng@2018-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ED739-ACB2-433D-A69D-49EACBA6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Mpokiseng  Dube</dc:creator>
  <cp:keywords/>
  <dc:description/>
  <cp:lastModifiedBy>Sijabulisiwe N</cp:lastModifiedBy>
  <cp:revision>7</cp:revision>
  <dcterms:created xsi:type="dcterms:W3CDTF">2025-04-14T06:55:00Z</dcterms:created>
  <dcterms:modified xsi:type="dcterms:W3CDTF">2025-07-24T08:41:00Z</dcterms:modified>
</cp:coreProperties>
</file>