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6CB10" w14:textId="65D29B88" w:rsidR="00352F43" w:rsidRPr="00952D41" w:rsidRDefault="00352F43" w:rsidP="00952D41">
      <w:pPr>
        <w:pStyle w:val="NoSpacing"/>
        <w:rPr>
          <w:rFonts w:ascii="Times New Roman" w:hAnsi="Times New Roman" w:cs="Times New Roman"/>
          <w:sz w:val="24"/>
          <w:szCs w:val="24"/>
        </w:rPr>
      </w:pPr>
      <w:r w:rsidRPr="00952D41">
        <w:rPr>
          <w:rFonts w:ascii="Times New Roman" w:hAnsi="Times New Roman" w:cs="Times New Roman"/>
          <w:sz w:val="24"/>
          <w:szCs w:val="24"/>
        </w:rPr>
        <w:t>MAGIC SOFTWARE ENTERPRISES LIMITED</w:t>
      </w:r>
    </w:p>
    <w:p w14:paraId="7C7B391A" w14:textId="64002BDB" w:rsidR="00352F43" w:rsidRPr="00952D41" w:rsidRDefault="00352F43" w:rsidP="00952D41">
      <w:pPr>
        <w:pStyle w:val="NoSpacing"/>
        <w:rPr>
          <w:rFonts w:ascii="Times New Roman" w:hAnsi="Times New Roman" w:cs="Times New Roman"/>
          <w:sz w:val="24"/>
          <w:szCs w:val="24"/>
        </w:rPr>
      </w:pPr>
      <w:r w:rsidRPr="00952D41">
        <w:rPr>
          <w:rFonts w:ascii="Times New Roman" w:hAnsi="Times New Roman" w:cs="Times New Roman"/>
          <w:sz w:val="24"/>
          <w:szCs w:val="24"/>
        </w:rPr>
        <w:t>Versus</w:t>
      </w:r>
    </w:p>
    <w:p w14:paraId="7BF8B115" w14:textId="6A1552C3" w:rsidR="00352F43" w:rsidRPr="00952D41" w:rsidRDefault="00352F43" w:rsidP="00952D41">
      <w:pPr>
        <w:pStyle w:val="NoSpacing"/>
        <w:rPr>
          <w:rFonts w:ascii="Times New Roman" w:hAnsi="Times New Roman" w:cs="Times New Roman"/>
          <w:sz w:val="24"/>
          <w:szCs w:val="24"/>
        </w:rPr>
      </w:pPr>
      <w:r w:rsidRPr="00952D41">
        <w:rPr>
          <w:rFonts w:ascii="Times New Roman" w:hAnsi="Times New Roman" w:cs="Times New Roman"/>
          <w:sz w:val="24"/>
          <w:szCs w:val="24"/>
        </w:rPr>
        <w:t>NEDBANK ZIMBABWE LIMITED</w:t>
      </w:r>
    </w:p>
    <w:p w14:paraId="26B0E2A3" w14:textId="77777777" w:rsidR="00BE0CA0" w:rsidRDefault="00BE0CA0" w:rsidP="008E65A8">
      <w:pPr>
        <w:spacing w:line="360" w:lineRule="auto"/>
        <w:jc w:val="both"/>
        <w:rPr>
          <w:rFonts w:ascii="Times New Roman" w:hAnsi="Times New Roman" w:cs="Times New Roman"/>
          <w:sz w:val="24"/>
          <w:szCs w:val="24"/>
        </w:rPr>
      </w:pPr>
    </w:p>
    <w:p w14:paraId="6EE9EACD" w14:textId="327DFF1E" w:rsidR="00352F43" w:rsidRPr="00952D41" w:rsidRDefault="00352F43" w:rsidP="00952D41">
      <w:pPr>
        <w:pStyle w:val="NoSpacing"/>
        <w:rPr>
          <w:rFonts w:ascii="Times New Roman" w:hAnsi="Times New Roman" w:cs="Times New Roman"/>
          <w:sz w:val="24"/>
          <w:szCs w:val="24"/>
        </w:rPr>
      </w:pPr>
      <w:r w:rsidRPr="00952D41">
        <w:rPr>
          <w:rFonts w:ascii="Times New Roman" w:hAnsi="Times New Roman" w:cs="Times New Roman"/>
          <w:sz w:val="24"/>
          <w:szCs w:val="24"/>
        </w:rPr>
        <w:t>HIGH COURT OF ZIMBABE</w:t>
      </w:r>
    </w:p>
    <w:p w14:paraId="36A9A369" w14:textId="75AEA78F" w:rsidR="00352F43" w:rsidRPr="00952D41" w:rsidRDefault="00352F43" w:rsidP="00952D41">
      <w:pPr>
        <w:pStyle w:val="NoSpacing"/>
        <w:rPr>
          <w:rFonts w:ascii="Times New Roman" w:hAnsi="Times New Roman" w:cs="Times New Roman"/>
          <w:sz w:val="24"/>
          <w:szCs w:val="24"/>
        </w:rPr>
      </w:pPr>
      <w:r w:rsidRPr="00952D41">
        <w:rPr>
          <w:rFonts w:ascii="Times New Roman" w:hAnsi="Times New Roman" w:cs="Times New Roman"/>
          <w:sz w:val="24"/>
          <w:szCs w:val="24"/>
        </w:rPr>
        <w:t>COMMERCIAL DIVISION</w:t>
      </w:r>
    </w:p>
    <w:p w14:paraId="00AE5D71" w14:textId="7C0A4673" w:rsidR="00352F43" w:rsidRPr="00952D41" w:rsidRDefault="00352F43" w:rsidP="00952D41">
      <w:pPr>
        <w:pStyle w:val="NoSpacing"/>
        <w:rPr>
          <w:rFonts w:ascii="Times New Roman" w:hAnsi="Times New Roman" w:cs="Times New Roman"/>
          <w:sz w:val="24"/>
          <w:szCs w:val="24"/>
        </w:rPr>
      </w:pPr>
      <w:r w:rsidRPr="00952D41">
        <w:rPr>
          <w:rFonts w:ascii="Times New Roman" w:hAnsi="Times New Roman" w:cs="Times New Roman"/>
          <w:sz w:val="24"/>
          <w:szCs w:val="24"/>
        </w:rPr>
        <w:t>CHILIMBE J</w:t>
      </w:r>
    </w:p>
    <w:p w14:paraId="259D94B5" w14:textId="7F835362" w:rsidR="00352F43" w:rsidRPr="00952D41" w:rsidRDefault="00352F43" w:rsidP="00952D41">
      <w:pPr>
        <w:pStyle w:val="NoSpacing"/>
        <w:rPr>
          <w:rFonts w:ascii="Times New Roman" w:hAnsi="Times New Roman" w:cs="Times New Roman"/>
          <w:sz w:val="24"/>
          <w:szCs w:val="24"/>
        </w:rPr>
      </w:pPr>
      <w:r w:rsidRPr="00952D41">
        <w:rPr>
          <w:rFonts w:ascii="Times New Roman" w:hAnsi="Times New Roman" w:cs="Times New Roman"/>
          <w:sz w:val="24"/>
          <w:szCs w:val="24"/>
        </w:rPr>
        <w:t>HARARE 25 October 2023 &amp; 2</w:t>
      </w:r>
      <w:r w:rsidR="00F13FFC">
        <w:rPr>
          <w:rFonts w:ascii="Times New Roman" w:hAnsi="Times New Roman" w:cs="Times New Roman"/>
          <w:sz w:val="24"/>
          <w:szCs w:val="24"/>
        </w:rPr>
        <w:t>6</w:t>
      </w:r>
      <w:r w:rsidRPr="00952D41">
        <w:rPr>
          <w:rFonts w:ascii="Times New Roman" w:hAnsi="Times New Roman" w:cs="Times New Roman"/>
          <w:sz w:val="24"/>
          <w:szCs w:val="24"/>
        </w:rPr>
        <w:t xml:space="preserve"> June 2024</w:t>
      </w:r>
    </w:p>
    <w:p w14:paraId="0881169D" w14:textId="77777777" w:rsidR="00952D41" w:rsidRDefault="00952D41" w:rsidP="008E65A8">
      <w:pPr>
        <w:spacing w:line="360" w:lineRule="auto"/>
        <w:jc w:val="both"/>
        <w:rPr>
          <w:rFonts w:ascii="Times New Roman" w:hAnsi="Times New Roman" w:cs="Times New Roman"/>
          <w:b/>
          <w:bCs/>
          <w:sz w:val="24"/>
          <w:szCs w:val="24"/>
        </w:rPr>
      </w:pPr>
    </w:p>
    <w:p w14:paraId="29F6FA3A" w14:textId="2B3E1A3B" w:rsidR="00352F43" w:rsidRPr="008E65A8" w:rsidRDefault="00352F43" w:rsidP="008E65A8">
      <w:pPr>
        <w:spacing w:line="360" w:lineRule="auto"/>
        <w:jc w:val="both"/>
        <w:rPr>
          <w:rFonts w:ascii="Times New Roman" w:hAnsi="Times New Roman" w:cs="Times New Roman"/>
          <w:b/>
          <w:bCs/>
          <w:sz w:val="24"/>
          <w:szCs w:val="24"/>
        </w:rPr>
      </w:pPr>
      <w:r w:rsidRPr="008E65A8">
        <w:rPr>
          <w:rFonts w:ascii="Times New Roman" w:hAnsi="Times New Roman" w:cs="Times New Roman"/>
          <w:b/>
          <w:bCs/>
          <w:sz w:val="24"/>
          <w:szCs w:val="24"/>
        </w:rPr>
        <w:t>Opposed application</w:t>
      </w:r>
    </w:p>
    <w:p w14:paraId="19CF18A4" w14:textId="42C56BF2" w:rsidR="00352F43" w:rsidRPr="008E65A8" w:rsidRDefault="00352F43" w:rsidP="008E65A8">
      <w:pPr>
        <w:pStyle w:val="NoSpacing"/>
        <w:rPr>
          <w:rFonts w:ascii="Times New Roman" w:hAnsi="Times New Roman" w:cs="Times New Roman"/>
          <w:sz w:val="24"/>
          <w:szCs w:val="24"/>
        </w:rPr>
      </w:pPr>
      <w:r w:rsidRPr="008E65A8">
        <w:rPr>
          <w:rFonts w:ascii="Times New Roman" w:hAnsi="Times New Roman" w:cs="Times New Roman"/>
          <w:i/>
          <w:iCs/>
          <w:sz w:val="24"/>
          <w:szCs w:val="24"/>
        </w:rPr>
        <w:t>T. Magwaliba</w:t>
      </w:r>
      <w:r w:rsidRPr="008E65A8">
        <w:rPr>
          <w:rFonts w:ascii="Times New Roman" w:hAnsi="Times New Roman" w:cs="Times New Roman"/>
          <w:sz w:val="24"/>
          <w:szCs w:val="24"/>
        </w:rPr>
        <w:t xml:space="preserve"> for applicant</w:t>
      </w:r>
    </w:p>
    <w:p w14:paraId="52075928" w14:textId="30F2846F" w:rsidR="00352F43" w:rsidRPr="008E65A8" w:rsidRDefault="00352F43" w:rsidP="008E65A8">
      <w:pPr>
        <w:pStyle w:val="NoSpacing"/>
        <w:rPr>
          <w:rFonts w:ascii="Times New Roman" w:hAnsi="Times New Roman" w:cs="Times New Roman"/>
          <w:sz w:val="24"/>
          <w:szCs w:val="24"/>
        </w:rPr>
      </w:pPr>
      <w:r w:rsidRPr="008E65A8">
        <w:rPr>
          <w:rFonts w:ascii="Times New Roman" w:hAnsi="Times New Roman" w:cs="Times New Roman"/>
          <w:i/>
          <w:iCs/>
          <w:sz w:val="24"/>
          <w:szCs w:val="24"/>
        </w:rPr>
        <w:t>T. Mpofu</w:t>
      </w:r>
      <w:r w:rsidRPr="008E65A8">
        <w:rPr>
          <w:rFonts w:ascii="Times New Roman" w:hAnsi="Times New Roman" w:cs="Times New Roman"/>
          <w:sz w:val="24"/>
          <w:szCs w:val="24"/>
        </w:rPr>
        <w:t xml:space="preserve"> for respondent</w:t>
      </w:r>
    </w:p>
    <w:p w14:paraId="4B0BED0F" w14:textId="77777777" w:rsidR="00352F43" w:rsidRPr="00BE0CA0" w:rsidRDefault="00352F43" w:rsidP="008E65A8">
      <w:pPr>
        <w:spacing w:line="360" w:lineRule="auto"/>
        <w:jc w:val="both"/>
        <w:rPr>
          <w:rFonts w:ascii="Times New Roman" w:hAnsi="Times New Roman" w:cs="Times New Roman"/>
          <w:sz w:val="24"/>
          <w:szCs w:val="24"/>
        </w:rPr>
      </w:pPr>
    </w:p>
    <w:p w14:paraId="544216B8" w14:textId="31DA1AE1" w:rsidR="00352F43" w:rsidRPr="00BE0CA0" w:rsidRDefault="00352F43" w:rsidP="008E65A8">
      <w:pPr>
        <w:spacing w:line="360" w:lineRule="auto"/>
        <w:jc w:val="both"/>
        <w:rPr>
          <w:rFonts w:ascii="Times New Roman" w:hAnsi="Times New Roman" w:cs="Times New Roman"/>
          <w:sz w:val="24"/>
          <w:szCs w:val="24"/>
        </w:rPr>
      </w:pPr>
      <w:r w:rsidRPr="00BE0CA0">
        <w:rPr>
          <w:rFonts w:ascii="Times New Roman" w:hAnsi="Times New Roman" w:cs="Times New Roman"/>
          <w:sz w:val="24"/>
          <w:szCs w:val="24"/>
        </w:rPr>
        <w:t>CHILIMBE J</w:t>
      </w:r>
    </w:p>
    <w:p w14:paraId="30CB8DB2" w14:textId="77777777" w:rsidR="00262A34" w:rsidRDefault="00262A34"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BACKGROUND </w:t>
      </w:r>
    </w:p>
    <w:p w14:paraId="1C86E250" w14:textId="204C62B3" w:rsidR="0058378B" w:rsidRDefault="00352F43" w:rsidP="008E65A8">
      <w:pPr>
        <w:spacing w:line="360" w:lineRule="auto"/>
        <w:jc w:val="both"/>
        <w:rPr>
          <w:rFonts w:ascii="Times New Roman" w:hAnsi="Times New Roman" w:cs="Times New Roman"/>
          <w:sz w:val="24"/>
          <w:szCs w:val="24"/>
        </w:rPr>
      </w:pPr>
      <w:r w:rsidRPr="00BE0CA0">
        <w:rPr>
          <w:rFonts w:ascii="Times New Roman" w:hAnsi="Times New Roman" w:cs="Times New Roman"/>
          <w:sz w:val="24"/>
          <w:szCs w:val="24"/>
        </w:rPr>
        <w:t xml:space="preserve">[1] </w:t>
      </w:r>
      <w:r w:rsidR="000F3A4E">
        <w:rPr>
          <w:rFonts w:ascii="Times New Roman" w:hAnsi="Times New Roman" w:cs="Times New Roman"/>
          <w:sz w:val="24"/>
          <w:szCs w:val="24"/>
        </w:rPr>
        <w:t xml:space="preserve">The germ seed </w:t>
      </w:r>
      <w:r w:rsidR="003E0ED1">
        <w:rPr>
          <w:rFonts w:ascii="Times New Roman" w:hAnsi="Times New Roman" w:cs="Times New Roman"/>
          <w:sz w:val="24"/>
          <w:szCs w:val="24"/>
        </w:rPr>
        <w:t>of</w:t>
      </w:r>
      <w:r w:rsidR="000F3A4E">
        <w:rPr>
          <w:rFonts w:ascii="Times New Roman" w:hAnsi="Times New Roman" w:cs="Times New Roman"/>
          <w:sz w:val="24"/>
          <w:szCs w:val="24"/>
        </w:rPr>
        <w:t xml:space="preserve"> the </w:t>
      </w:r>
      <w:r w:rsidR="003816E9">
        <w:rPr>
          <w:rFonts w:ascii="Times New Roman" w:hAnsi="Times New Roman" w:cs="Times New Roman"/>
          <w:sz w:val="24"/>
          <w:szCs w:val="24"/>
        </w:rPr>
        <w:t xml:space="preserve">dispute before me </w:t>
      </w:r>
      <w:r w:rsidR="000F3A4E">
        <w:rPr>
          <w:rFonts w:ascii="Times New Roman" w:hAnsi="Times New Roman" w:cs="Times New Roman"/>
          <w:sz w:val="24"/>
          <w:szCs w:val="24"/>
        </w:rPr>
        <w:t xml:space="preserve">is foreign currency, </w:t>
      </w:r>
      <w:r w:rsidR="005B1D0F">
        <w:rPr>
          <w:rFonts w:ascii="Times New Roman" w:hAnsi="Times New Roman" w:cs="Times New Roman"/>
          <w:sz w:val="24"/>
          <w:szCs w:val="24"/>
        </w:rPr>
        <w:t>an indispensable enabler of local and in particular, international trade and commerce.</w:t>
      </w:r>
    </w:p>
    <w:p w14:paraId="5F196ED1" w14:textId="190CC356" w:rsidR="000F3A4E" w:rsidRDefault="00262A34"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C36F1A">
        <w:rPr>
          <w:rFonts w:ascii="Times New Roman" w:hAnsi="Times New Roman" w:cs="Times New Roman"/>
          <w:sz w:val="24"/>
          <w:szCs w:val="24"/>
        </w:rPr>
        <w:t xml:space="preserve">] </w:t>
      </w:r>
      <w:r w:rsidR="003816E9">
        <w:rPr>
          <w:rFonts w:ascii="Times New Roman" w:hAnsi="Times New Roman" w:cs="Times New Roman"/>
          <w:sz w:val="24"/>
          <w:szCs w:val="24"/>
        </w:rPr>
        <w:t>This resource is</w:t>
      </w:r>
      <w:r w:rsidR="00C36F1A">
        <w:rPr>
          <w:rFonts w:ascii="Times New Roman" w:hAnsi="Times New Roman" w:cs="Times New Roman"/>
          <w:sz w:val="24"/>
          <w:szCs w:val="24"/>
        </w:rPr>
        <w:t xml:space="preserve"> also regulated, and quite stringently too, by a co</w:t>
      </w:r>
      <w:r w:rsidR="0058378B">
        <w:rPr>
          <w:rFonts w:ascii="Times New Roman" w:hAnsi="Times New Roman" w:cs="Times New Roman"/>
          <w:sz w:val="24"/>
          <w:szCs w:val="24"/>
        </w:rPr>
        <w:t>mpendium of instruments</w:t>
      </w:r>
      <w:r w:rsidR="00C36F1A">
        <w:rPr>
          <w:rFonts w:ascii="Times New Roman" w:hAnsi="Times New Roman" w:cs="Times New Roman"/>
          <w:sz w:val="24"/>
          <w:szCs w:val="24"/>
        </w:rPr>
        <w:t xml:space="preserve">. </w:t>
      </w:r>
      <w:r w:rsidR="0058378B">
        <w:rPr>
          <w:rFonts w:ascii="Times New Roman" w:hAnsi="Times New Roman" w:cs="Times New Roman"/>
          <w:sz w:val="24"/>
          <w:szCs w:val="24"/>
        </w:rPr>
        <w:t xml:space="preserve">These </w:t>
      </w:r>
      <w:r>
        <w:rPr>
          <w:rFonts w:ascii="Times New Roman" w:hAnsi="Times New Roman" w:cs="Times New Roman"/>
          <w:sz w:val="24"/>
          <w:szCs w:val="24"/>
        </w:rPr>
        <w:t xml:space="preserve">range from </w:t>
      </w:r>
      <w:r w:rsidR="0058378B">
        <w:rPr>
          <w:rFonts w:ascii="Times New Roman" w:hAnsi="Times New Roman" w:cs="Times New Roman"/>
          <w:sz w:val="24"/>
          <w:szCs w:val="24"/>
        </w:rPr>
        <w:t>primary and subsidiary legislation, a raft of directives, measures and circulars</w:t>
      </w:r>
      <w:r w:rsidR="005B1D0F">
        <w:rPr>
          <w:rFonts w:ascii="Times New Roman" w:hAnsi="Times New Roman" w:cs="Times New Roman"/>
          <w:sz w:val="24"/>
          <w:szCs w:val="24"/>
        </w:rPr>
        <w:t>,</w:t>
      </w:r>
      <w:r w:rsidR="0058378B">
        <w:rPr>
          <w:rFonts w:ascii="Times New Roman" w:hAnsi="Times New Roman" w:cs="Times New Roman"/>
          <w:sz w:val="24"/>
          <w:szCs w:val="24"/>
        </w:rPr>
        <w:t xml:space="preserve"> </w:t>
      </w:r>
      <w:r>
        <w:rPr>
          <w:rFonts w:ascii="Times New Roman" w:hAnsi="Times New Roman" w:cs="Times New Roman"/>
          <w:sz w:val="24"/>
          <w:szCs w:val="24"/>
        </w:rPr>
        <w:t>to periodic</w:t>
      </w:r>
      <w:r w:rsidR="0058378B">
        <w:rPr>
          <w:rFonts w:ascii="Times New Roman" w:hAnsi="Times New Roman" w:cs="Times New Roman"/>
          <w:sz w:val="24"/>
          <w:szCs w:val="24"/>
        </w:rPr>
        <w:t xml:space="preserve"> policy statements </w:t>
      </w:r>
      <w:r>
        <w:rPr>
          <w:rFonts w:ascii="Times New Roman" w:hAnsi="Times New Roman" w:cs="Times New Roman"/>
          <w:sz w:val="24"/>
          <w:szCs w:val="24"/>
        </w:rPr>
        <w:t xml:space="preserve">by </w:t>
      </w:r>
      <w:r w:rsidR="0058378B">
        <w:rPr>
          <w:rFonts w:ascii="Times New Roman" w:hAnsi="Times New Roman" w:cs="Times New Roman"/>
          <w:sz w:val="24"/>
          <w:szCs w:val="24"/>
        </w:rPr>
        <w:t xml:space="preserve">treasury and the central </w:t>
      </w:r>
      <w:r>
        <w:rPr>
          <w:rFonts w:ascii="Times New Roman" w:hAnsi="Times New Roman" w:cs="Times New Roman"/>
          <w:sz w:val="24"/>
          <w:szCs w:val="24"/>
        </w:rPr>
        <w:t xml:space="preserve">bank. This background forms part of the </w:t>
      </w:r>
      <w:r w:rsidR="00EB3628">
        <w:rPr>
          <w:rFonts w:ascii="Times New Roman" w:hAnsi="Times New Roman" w:cs="Times New Roman"/>
          <w:sz w:val="24"/>
          <w:szCs w:val="24"/>
        </w:rPr>
        <w:t xml:space="preserve">wider </w:t>
      </w:r>
      <w:r>
        <w:rPr>
          <w:rFonts w:ascii="Times New Roman" w:hAnsi="Times New Roman" w:cs="Times New Roman"/>
          <w:sz w:val="24"/>
          <w:szCs w:val="24"/>
        </w:rPr>
        <w:t xml:space="preserve">discretionary considerations </w:t>
      </w:r>
      <w:r w:rsidR="005B1D0F">
        <w:rPr>
          <w:rFonts w:ascii="Times New Roman" w:hAnsi="Times New Roman" w:cs="Times New Roman"/>
          <w:sz w:val="24"/>
          <w:szCs w:val="24"/>
        </w:rPr>
        <w:t xml:space="preserve">relevant to the </w:t>
      </w:r>
      <w:r>
        <w:rPr>
          <w:rFonts w:ascii="Times New Roman" w:hAnsi="Times New Roman" w:cs="Times New Roman"/>
          <w:sz w:val="24"/>
          <w:szCs w:val="24"/>
        </w:rPr>
        <w:t>resol</w:t>
      </w:r>
      <w:r w:rsidR="005B1D0F">
        <w:rPr>
          <w:rFonts w:ascii="Times New Roman" w:hAnsi="Times New Roman" w:cs="Times New Roman"/>
          <w:sz w:val="24"/>
          <w:szCs w:val="24"/>
        </w:rPr>
        <w:t xml:space="preserve">ution of the present </w:t>
      </w:r>
      <w:r>
        <w:rPr>
          <w:rFonts w:ascii="Times New Roman" w:hAnsi="Times New Roman" w:cs="Times New Roman"/>
          <w:sz w:val="24"/>
          <w:szCs w:val="24"/>
        </w:rPr>
        <w:t>dispute.</w:t>
      </w:r>
    </w:p>
    <w:p w14:paraId="2FD26ECE" w14:textId="0F2360B5" w:rsidR="00262A34" w:rsidRDefault="00262A34"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THE CLAIM</w:t>
      </w:r>
    </w:p>
    <w:p w14:paraId="2CA31421" w14:textId="75346A61" w:rsidR="00776766" w:rsidRDefault="00262A34"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816E9">
        <w:rPr>
          <w:rFonts w:ascii="Times New Roman" w:hAnsi="Times New Roman" w:cs="Times New Roman"/>
          <w:sz w:val="24"/>
          <w:szCs w:val="24"/>
        </w:rPr>
        <w:t xml:space="preserve">This is an application for a declaratory order made in terms of section 14 of the High Court Act [ Chapter 7:06]. </w:t>
      </w:r>
      <w:r>
        <w:rPr>
          <w:rFonts w:ascii="Times New Roman" w:hAnsi="Times New Roman" w:cs="Times New Roman"/>
          <w:sz w:val="24"/>
          <w:szCs w:val="24"/>
        </w:rPr>
        <w:t>The a</w:t>
      </w:r>
      <w:r w:rsidR="00E26DAA">
        <w:rPr>
          <w:rFonts w:ascii="Times New Roman" w:hAnsi="Times New Roman" w:cs="Times New Roman"/>
          <w:sz w:val="24"/>
          <w:szCs w:val="24"/>
        </w:rPr>
        <w:t xml:space="preserve">pplicant </w:t>
      </w:r>
      <w:r w:rsidR="00F46307">
        <w:rPr>
          <w:rFonts w:ascii="Times New Roman" w:hAnsi="Times New Roman" w:cs="Times New Roman"/>
          <w:sz w:val="24"/>
          <w:szCs w:val="24"/>
        </w:rPr>
        <w:t xml:space="preserve">“Magic Software” </w:t>
      </w:r>
      <w:r w:rsidR="00E26DAA">
        <w:rPr>
          <w:rFonts w:ascii="Times New Roman" w:hAnsi="Times New Roman" w:cs="Times New Roman"/>
          <w:sz w:val="24"/>
          <w:szCs w:val="24"/>
        </w:rPr>
        <w:t xml:space="preserve">is an information technology </w:t>
      </w:r>
      <w:r w:rsidR="003816E9">
        <w:rPr>
          <w:rFonts w:ascii="Times New Roman" w:hAnsi="Times New Roman" w:cs="Times New Roman"/>
          <w:sz w:val="24"/>
          <w:szCs w:val="24"/>
        </w:rPr>
        <w:t xml:space="preserve">company </w:t>
      </w:r>
      <w:r w:rsidR="00F46307">
        <w:rPr>
          <w:rFonts w:ascii="Times New Roman" w:hAnsi="Times New Roman" w:cs="Times New Roman"/>
          <w:sz w:val="24"/>
          <w:szCs w:val="24"/>
        </w:rPr>
        <w:t xml:space="preserve">registered in the State of Israel. Respondent </w:t>
      </w:r>
      <w:r w:rsidR="00903D1C">
        <w:rPr>
          <w:rFonts w:ascii="Times New Roman" w:hAnsi="Times New Roman" w:cs="Times New Roman"/>
          <w:sz w:val="24"/>
          <w:szCs w:val="24"/>
        </w:rPr>
        <w:t xml:space="preserve">“Nedbank” </w:t>
      </w:r>
      <w:r w:rsidR="00F46307">
        <w:rPr>
          <w:rFonts w:ascii="Times New Roman" w:hAnsi="Times New Roman" w:cs="Times New Roman"/>
          <w:sz w:val="24"/>
          <w:szCs w:val="24"/>
        </w:rPr>
        <w:t xml:space="preserve">is a commercial bank </w:t>
      </w:r>
      <w:r w:rsidR="008D67D8">
        <w:rPr>
          <w:rFonts w:ascii="Times New Roman" w:hAnsi="Times New Roman" w:cs="Times New Roman"/>
          <w:sz w:val="24"/>
          <w:szCs w:val="24"/>
        </w:rPr>
        <w:t xml:space="preserve">registered in terms of the laws of Zimbabwe and </w:t>
      </w:r>
      <w:r w:rsidR="008E65A8">
        <w:rPr>
          <w:rFonts w:ascii="Times New Roman" w:hAnsi="Times New Roman" w:cs="Times New Roman"/>
          <w:sz w:val="24"/>
          <w:szCs w:val="24"/>
        </w:rPr>
        <w:t>operating in the jurisdiction</w:t>
      </w:r>
      <w:r w:rsidR="00C03B41">
        <w:rPr>
          <w:rFonts w:ascii="Times New Roman" w:hAnsi="Times New Roman" w:cs="Times New Roman"/>
          <w:sz w:val="24"/>
          <w:szCs w:val="24"/>
        </w:rPr>
        <w:t xml:space="preserve">. </w:t>
      </w:r>
    </w:p>
    <w:p w14:paraId="42BD9934" w14:textId="0A8B36D5" w:rsidR="00903D1C" w:rsidRDefault="00776766"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62A34">
        <w:rPr>
          <w:rFonts w:ascii="Times New Roman" w:hAnsi="Times New Roman" w:cs="Times New Roman"/>
          <w:sz w:val="24"/>
          <w:szCs w:val="24"/>
        </w:rPr>
        <w:t>4</w:t>
      </w:r>
      <w:r w:rsidR="00C219AC">
        <w:rPr>
          <w:rFonts w:ascii="Times New Roman" w:hAnsi="Times New Roman" w:cs="Times New Roman"/>
          <w:sz w:val="24"/>
          <w:szCs w:val="24"/>
        </w:rPr>
        <w:t xml:space="preserve">] </w:t>
      </w:r>
      <w:r w:rsidR="00FD2FB3">
        <w:rPr>
          <w:rFonts w:ascii="Times New Roman" w:hAnsi="Times New Roman" w:cs="Times New Roman"/>
          <w:sz w:val="24"/>
          <w:szCs w:val="24"/>
        </w:rPr>
        <w:t xml:space="preserve">The customer-banker relationship between the parties generated the present dispute. Magic Software now </w:t>
      </w:r>
      <w:r w:rsidR="00903D1C">
        <w:rPr>
          <w:rFonts w:ascii="Times New Roman" w:hAnsi="Times New Roman" w:cs="Times New Roman"/>
          <w:sz w:val="24"/>
          <w:szCs w:val="24"/>
        </w:rPr>
        <w:t xml:space="preserve">seeks declaratory relief in </w:t>
      </w:r>
      <w:r w:rsidR="00262A34">
        <w:rPr>
          <w:rFonts w:ascii="Times New Roman" w:hAnsi="Times New Roman" w:cs="Times New Roman"/>
          <w:sz w:val="24"/>
          <w:szCs w:val="24"/>
        </w:rPr>
        <w:t xml:space="preserve">the following </w:t>
      </w:r>
      <w:r w:rsidR="00903D1C">
        <w:rPr>
          <w:rFonts w:ascii="Times New Roman" w:hAnsi="Times New Roman" w:cs="Times New Roman"/>
          <w:sz w:val="24"/>
          <w:szCs w:val="24"/>
        </w:rPr>
        <w:t>terms; -</w:t>
      </w:r>
    </w:p>
    <w:p w14:paraId="08B3198B" w14:textId="66145994" w:rsidR="00903D1C" w:rsidRPr="008E65A8" w:rsidRDefault="00903D1C" w:rsidP="008E65A8">
      <w:pPr>
        <w:pStyle w:val="ListParagraph"/>
        <w:numPr>
          <w:ilvl w:val="0"/>
          <w:numId w:val="1"/>
        </w:numPr>
        <w:spacing w:line="360" w:lineRule="auto"/>
        <w:ind w:left="1491" w:hanging="357"/>
        <w:jc w:val="both"/>
        <w:rPr>
          <w:rFonts w:ascii="Times New Roman" w:hAnsi="Times New Roman" w:cs="Times New Roman"/>
          <w:sz w:val="24"/>
          <w:szCs w:val="24"/>
        </w:rPr>
      </w:pPr>
      <w:r w:rsidRPr="008E65A8">
        <w:rPr>
          <w:rFonts w:ascii="Times New Roman" w:hAnsi="Times New Roman" w:cs="Times New Roman"/>
          <w:sz w:val="24"/>
          <w:szCs w:val="24"/>
        </w:rPr>
        <w:t>The Application for a declarator be and is hereby granted.</w:t>
      </w:r>
    </w:p>
    <w:p w14:paraId="6F219F14" w14:textId="12B108EE" w:rsidR="00903D1C" w:rsidRPr="008E65A8" w:rsidRDefault="00903D1C" w:rsidP="008E65A8">
      <w:pPr>
        <w:pStyle w:val="ListParagraph"/>
        <w:numPr>
          <w:ilvl w:val="0"/>
          <w:numId w:val="1"/>
        </w:numPr>
        <w:spacing w:line="360" w:lineRule="auto"/>
        <w:ind w:left="1491" w:hanging="357"/>
        <w:jc w:val="both"/>
        <w:rPr>
          <w:rFonts w:ascii="Times New Roman" w:hAnsi="Times New Roman" w:cs="Times New Roman"/>
          <w:sz w:val="24"/>
          <w:szCs w:val="24"/>
        </w:rPr>
      </w:pPr>
      <w:r w:rsidRPr="008E65A8">
        <w:rPr>
          <w:rFonts w:ascii="Times New Roman" w:hAnsi="Times New Roman" w:cs="Times New Roman"/>
          <w:sz w:val="24"/>
          <w:szCs w:val="24"/>
        </w:rPr>
        <w:t>Applicant`s funds in the sum of USD1,996 723,02 which were deposited with the Respondent constitute a foreign loan and foreign obligation.</w:t>
      </w:r>
    </w:p>
    <w:p w14:paraId="14389F8C" w14:textId="1E9DA1A3" w:rsidR="008E65A8" w:rsidRPr="008E65A8" w:rsidRDefault="00903D1C" w:rsidP="008E65A8">
      <w:pPr>
        <w:pStyle w:val="ListParagraph"/>
        <w:numPr>
          <w:ilvl w:val="0"/>
          <w:numId w:val="1"/>
        </w:numPr>
        <w:spacing w:line="360" w:lineRule="auto"/>
        <w:ind w:left="1491" w:hanging="357"/>
        <w:jc w:val="both"/>
        <w:rPr>
          <w:rFonts w:ascii="Times New Roman" w:hAnsi="Times New Roman" w:cs="Times New Roman"/>
          <w:sz w:val="24"/>
          <w:szCs w:val="24"/>
        </w:rPr>
      </w:pPr>
      <w:r w:rsidRPr="008E65A8">
        <w:rPr>
          <w:rFonts w:ascii="Times New Roman" w:hAnsi="Times New Roman" w:cs="Times New Roman"/>
          <w:sz w:val="24"/>
          <w:szCs w:val="24"/>
        </w:rPr>
        <w:lastRenderedPageBreak/>
        <w:t>The conversion of Applicant`s funds from United States Dollars to RTGS Dollars is hereby declared unlawful and ultra vires section 44C (2)</w:t>
      </w:r>
      <w:r w:rsidR="008E65A8" w:rsidRPr="008E65A8">
        <w:rPr>
          <w:rFonts w:ascii="Times New Roman" w:hAnsi="Times New Roman" w:cs="Times New Roman"/>
          <w:sz w:val="24"/>
          <w:szCs w:val="24"/>
        </w:rPr>
        <w:t>(b) of the Reserve Bank of Zimbabwe Act [chapter 22:15].</w:t>
      </w:r>
    </w:p>
    <w:p w14:paraId="4477C81F" w14:textId="24541155" w:rsidR="008E65A8" w:rsidRPr="008E65A8" w:rsidRDefault="008E65A8" w:rsidP="008E65A8">
      <w:pPr>
        <w:pStyle w:val="ListParagraph"/>
        <w:numPr>
          <w:ilvl w:val="0"/>
          <w:numId w:val="1"/>
        </w:numPr>
        <w:spacing w:line="360" w:lineRule="auto"/>
        <w:ind w:left="1491" w:hanging="357"/>
        <w:jc w:val="both"/>
        <w:rPr>
          <w:rFonts w:ascii="Times New Roman" w:hAnsi="Times New Roman" w:cs="Times New Roman"/>
          <w:sz w:val="24"/>
          <w:szCs w:val="24"/>
        </w:rPr>
      </w:pPr>
      <w:r w:rsidRPr="008E65A8">
        <w:rPr>
          <w:rFonts w:ascii="Times New Roman" w:hAnsi="Times New Roman" w:cs="Times New Roman"/>
          <w:sz w:val="24"/>
          <w:szCs w:val="24"/>
        </w:rPr>
        <w:t xml:space="preserve">The Respondent is indebted to the Applicant in the sum of </w:t>
      </w:r>
      <w:bookmarkStart w:id="0" w:name="_Hlk169890320"/>
      <w:r w:rsidRPr="008E65A8">
        <w:rPr>
          <w:rFonts w:ascii="Times New Roman" w:hAnsi="Times New Roman" w:cs="Times New Roman"/>
          <w:sz w:val="24"/>
          <w:szCs w:val="24"/>
        </w:rPr>
        <w:t>USD1,996 723,02.</w:t>
      </w:r>
      <w:bookmarkEnd w:id="0"/>
    </w:p>
    <w:p w14:paraId="7FABDC0C" w14:textId="1B28811E" w:rsidR="008E65A8" w:rsidRPr="008E65A8" w:rsidRDefault="008E65A8" w:rsidP="008E65A8">
      <w:pPr>
        <w:pStyle w:val="ListParagraph"/>
        <w:numPr>
          <w:ilvl w:val="0"/>
          <w:numId w:val="1"/>
        </w:numPr>
        <w:spacing w:line="360" w:lineRule="auto"/>
        <w:ind w:left="1491" w:hanging="357"/>
        <w:jc w:val="both"/>
        <w:rPr>
          <w:rFonts w:ascii="Times New Roman" w:hAnsi="Times New Roman" w:cs="Times New Roman"/>
          <w:sz w:val="24"/>
          <w:szCs w:val="24"/>
        </w:rPr>
      </w:pPr>
      <w:r w:rsidRPr="008E65A8">
        <w:rPr>
          <w:rFonts w:ascii="Times New Roman" w:hAnsi="Times New Roman" w:cs="Times New Roman"/>
          <w:sz w:val="24"/>
          <w:szCs w:val="24"/>
        </w:rPr>
        <w:t xml:space="preserve">The Respondent shall pay Applicant the sum of </w:t>
      </w:r>
      <w:bookmarkStart w:id="1" w:name="_Hlk170139960"/>
      <w:r w:rsidRPr="008E65A8">
        <w:rPr>
          <w:rFonts w:ascii="Times New Roman" w:hAnsi="Times New Roman" w:cs="Times New Roman"/>
          <w:sz w:val="24"/>
          <w:szCs w:val="24"/>
        </w:rPr>
        <w:t>USD1,996 723,02.</w:t>
      </w:r>
    </w:p>
    <w:bookmarkEnd w:id="1"/>
    <w:p w14:paraId="3CAEC42E" w14:textId="1876DABD" w:rsidR="00D9019D" w:rsidRDefault="00D9019D"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DISPUTE </w:t>
      </w:r>
    </w:p>
    <w:p w14:paraId="46012B76" w14:textId="600F3F9B" w:rsidR="00D9019D" w:rsidRDefault="00776766"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C4AB9">
        <w:rPr>
          <w:rFonts w:ascii="Times New Roman" w:hAnsi="Times New Roman" w:cs="Times New Roman"/>
          <w:sz w:val="24"/>
          <w:szCs w:val="24"/>
        </w:rPr>
        <w:t>5</w:t>
      </w:r>
      <w:r>
        <w:rPr>
          <w:rFonts w:ascii="Times New Roman" w:hAnsi="Times New Roman" w:cs="Times New Roman"/>
          <w:sz w:val="24"/>
          <w:szCs w:val="24"/>
        </w:rPr>
        <w:t xml:space="preserve">] </w:t>
      </w:r>
      <w:r w:rsidR="00FD2FB3">
        <w:rPr>
          <w:rFonts w:ascii="Times New Roman" w:hAnsi="Times New Roman" w:cs="Times New Roman"/>
          <w:sz w:val="24"/>
          <w:szCs w:val="24"/>
        </w:rPr>
        <w:t>The history of the matter goes thus; -i</w:t>
      </w:r>
      <w:r>
        <w:rPr>
          <w:rFonts w:ascii="Times New Roman" w:hAnsi="Times New Roman" w:cs="Times New Roman"/>
          <w:sz w:val="24"/>
          <w:szCs w:val="24"/>
        </w:rPr>
        <w:t xml:space="preserve">n 2016, Magic Software was contracted to provide an upgrade to local telecommunications entity Tel-One`s “Leap Billing Services”. The main and ancillary agreements constituting this relationship </w:t>
      </w:r>
      <w:r w:rsidR="00FD2FB3">
        <w:rPr>
          <w:rFonts w:ascii="Times New Roman" w:hAnsi="Times New Roman" w:cs="Times New Roman"/>
          <w:sz w:val="24"/>
          <w:szCs w:val="24"/>
        </w:rPr>
        <w:t xml:space="preserve">form part </w:t>
      </w:r>
      <w:r>
        <w:rPr>
          <w:rFonts w:ascii="Times New Roman" w:hAnsi="Times New Roman" w:cs="Times New Roman"/>
          <w:sz w:val="24"/>
          <w:szCs w:val="24"/>
        </w:rPr>
        <w:t xml:space="preserve">of </w:t>
      </w:r>
      <w:r w:rsidR="00FD2FB3">
        <w:rPr>
          <w:rFonts w:ascii="Times New Roman" w:hAnsi="Times New Roman" w:cs="Times New Roman"/>
          <w:sz w:val="24"/>
          <w:szCs w:val="24"/>
        </w:rPr>
        <w:t xml:space="preserve">the </w:t>
      </w:r>
      <w:r>
        <w:rPr>
          <w:rFonts w:ascii="Times New Roman" w:hAnsi="Times New Roman" w:cs="Times New Roman"/>
          <w:sz w:val="24"/>
          <w:szCs w:val="24"/>
        </w:rPr>
        <w:t xml:space="preserve">record. Magic Software </w:t>
      </w:r>
      <w:r w:rsidR="00955441">
        <w:rPr>
          <w:rFonts w:ascii="Times New Roman" w:hAnsi="Times New Roman" w:cs="Times New Roman"/>
          <w:sz w:val="24"/>
          <w:szCs w:val="24"/>
        </w:rPr>
        <w:t xml:space="preserve">thereafter </w:t>
      </w:r>
      <w:r>
        <w:rPr>
          <w:rFonts w:ascii="Times New Roman" w:hAnsi="Times New Roman" w:cs="Times New Roman"/>
          <w:sz w:val="24"/>
          <w:szCs w:val="24"/>
        </w:rPr>
        <w:t xml:space="preserve">approached Nedbank </w:t>
      </w:r>
      <w:r w:rsidR="008D67D8">
        <w:rPr>
          <w:rFonts w:ascii="Times New Roman" w:hAnsi="Times New Roman" w:cs="Times New Roman"/>
          <w:sz w:val="24"/>
          <w:szCs w:val="24"/>
        </w:rPr>
        <w:t>in</w:t>
      </w:r>
      <w:r w:rsidR="00955441">
        <w:rPr>
          <w:rFonts w:ascii="Times New Roman" w:hAnsi="Times New Roman" w:cs="Times New Roman"/>
          <w:sz w:val="24"/>
          <w:szCs w:val="24"/>
        </w:rPr>
        <w:t xml:space="preserve"> </w:t>
      </w:r>
      <w:r w:rsidR="00892DF7">
        <w:rPr>
          <w:rFonts w:ascii="Times New Roman" w:hAnsi="Times New Roman" w:cs="Times New Roman"/>
          <w:sz w:val="24"/>
          <w:szCs w:val="24"/>
        </w:rPr>
        <w:t>2017, in order</w:t>
      </w:r>
      <w:r w:rsidR="008D67D8">
        <w:rPr>
          <w:rFonts w:ascii="Times New Roman" w:hAnsi="Times New Roman" w:cs="Times New Roman"/>
          <w:sz w:val="24"/>
          <w:szCs w:val="24"/>
        </w:rPr>
        <w:t xml:space="preserve"> </w:t>
      </w:r>
      <w:r>
        <w:rPr>
          <w:rFonts w:ascii="Times New Roman" w:hAnsi="Times New Roman" w:cs="Times New Roman"/>
          <w:sz w:val="24"/>
          <w:szCs w:val="24"/>
        </w:rPr>
        <w:t xml:space="preserve">to open an account into </w:t>
      </w:r>
      <w:r w:rsidR="008D67D8">
        <w:rPr>
          <w:rFonts w:ascii="Times New Roman" w:hAnsi="Times New Roman" w:cs="Times New Roman"/>
          <w:sz w:val="24"/>
          <w:szCs w:val="24"/>
        </w:rPr>
        <w:t xml:space="preserve">which </w:t>
      </w:r>
      <w:r>
        <w:rPr>
          <w:rFonts w:ascii="Times New Roman" w:hAnsi="Times New Roman" w:cs="Times New Roman"/>
          <w:sz w:val="24"/>
          <w:szCs w:val="24"/>
        </w:rPr>
        <w:t xml:space="preserve">Tel-One would </w:t>
      </w:r>
      <w:r w:rsidR="008D67D8">
        <w:rPr>
          <w:rFonts w:ascii="Times New Roman" w:hAnsi="Times New Roman" w:cs="Times New Roman"/>
          <w:sz w:val="24"/>
          <w:szCs w:val="24"/>
        </w:rPr>
        <w:t>e</w:t>
      </w:r>
      <w:r w:rsidR="00C219AC">
        <w:rPr>
          <w:rFonts w:ascii="Times New Roman" w:hAnsi="Times New Roman" w:cs="Times New Roman"/>
          <w:sz w:val="24"/>
          <w:szCs w:val="24"/>
        </w:rPr>
        <w:t>ffect</w:t>
      </w:r>
      <w:r>
        <w:rPr>
          <w:rFonts w:ascii="Times New Roman" w:hAnsi="Times New Roman" w:cs="Times New Roman"/>
          <w:sz w:val="24"/>
          <w:szCs w:val="24"/>
        </w:rPr>
        <w:t xml:space="preserve"> </w:t>
      </w:r>
      <w:r w:rsidR="008D67D8">
        <w:rPr>
          <w:rFonts w:ascii="Times New Roman" w:hAnsi="Times New Roman" w:cs="Times New Roman"/>
          <w:sz w:val="24"/>
          <w:szCs w:val="24"/>
        </w:rPr>
        <w:t xml:space="preserve">payments due to Magic Software </w:t>
      </w:r>
      <w:r>
        <w:rPr>
          <w:rFonts w:ascii="Times New Roman" w:hAnsi="Times New Roman" w:cs="Times New Roman"/>
          <w:sz w:val="24"/>
          <w:szCs w:val="24"/>
        </w:rPr>
        <w:t xml:space="preserve">in terms of the </w:t>
      </w:r>
      <w:r w:rsidR="008D67D8">
        <w:rPr>
          <w:rFonts w:ascii="Times New Roman" w:hAnsi="Times New Roman" w:cs="Times New Roman"/>
          <w:sz w:val="24"/>
          <w:szCs w:val="24"/>
        </w:rPr>
        <w:t>Leap Billing C</w:t>
      </w:r>
      <w:r>
        <w:rPr>
          <w:rFonts w:ascii="Times New Roman" w:hAnsi="Times New Roman" w:cs="Times New Roman"/>
          <w:sz w:val="24"/>
          <w:szCs w:val="24"/>
        </w:rPr>
        <w:t>ontract.</w:t>
      </w:r>
    </w:p>
    <w:p w14:paraId="4F8AA17A" w14:textId="0B670D34" w:rsidR="00776766" w:rsidRDefault="00776766"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C4AB9">
        <w:rPr>
          <w:rFonts w:ascii="Times New Roman" w:hAnsi="Times New Roman" w:cs="Times New Roman"/>
          <w:sz w:val="24"/>
          <w:szCs w:val="24"/>
        </w:rPr>
        <w:t>6</w:t>
      </w:r>
      <w:r>
        <w:rPr>
          <w:rFonts w:ascii="Times New Roman" w:hAnsi="Times New Roman" w:cs="Times New Roman"/>
          <w:sz w:val="24"/>
          <w:szCs w:val="24"/>
        </w:rPr>
        <w:t xml:space="preserve">] </w:t>
      </w:r>
      <w:r w:rsidR="00FD2FB3">
        <w:rPr>
          <w:rFonts w:ascii="Times New Roman" w:hAnsi="Times New Roman" w:cs="Times New Roman"/>
          <w:sz w:val="24"/>
          <w:szCs w:val="24"/>
        </w:rPr>
        <w:t>In the founding affidavit filed on its behalf by its chief executive officer</w:t>
      </w:r>
      <w:r w:rsidR="0079466F">
        <w:rPr>
          <w:rFonts w:ascii="Times New Roman" w:hAnsi="Times New Roman" w:cs="Times New Roman"/>
          <w:sz w:val="24"/>
          <w:szCs w:val="24"/>
        </w:rPr>
        <w:t>,</w:t>
      </w:r>
      <w:r w:rsidR="00FD2FB3">
        <w:rPr>
          <w:rFonts w:ascii="Times New Roman" w:hAnsi="Times New Roman" w:cs="Times New Roman"/>
          <w:sz w:val="24"/>
          <w:szCs w:val="24"/>
        </w:rPr>
        <w:t xml:space="preserve"> Yael Sara Ilan Chaimovsky (“Chaimovsky”), Magic Software claimed that it communicated its requirement to open a United States Dollar escrow account to Nedbank`s officials. </w:t>
      </w:r>
      <w:r w:rsidR="0079466F">
        <w:rPr>
          <w:rFonts w:ascii="Times New Roman" w:hAnsi="Times New Roman" w:cs="Times New Roman"/>
          <w:sz w:val="24"/>
          <w:szCs w:val="24"/>
        </w:rPr>
        <w:t xml:space="preserve">Specifically mentioned was one </w:t>
      </w:r>
      <w:r w:rsidR="00FD2FB3">
        <w:rPr>
          <w:rFonts w:ascii="Times New Roman" w:hAnsi="Times New Roman" w:cs="Times New Roman"/>
          <w:sz w:val="24"/>
          <w:szCs w:val="24"/>
        </w:rPr>
        <w:t xml:space="preserve">Tafadzwa Chikwanda, an employee of Nedbank. </w:t>
      </w:r>
    </w:p>
    <w:p w14:paraId="5A11EC7D" w14:textId="0193933E" w:rsidR="00AC3DA6" w:rsidRDefault="00AC3DA6"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C4AB9">
        <w:rPr>
          <w:rFonts w:ascii="Times New Roman" w:hAnsi="Times New Roman" w:cs="Times New Roman"/>
          <w:sz w:val="24"/>
          <w:szCs w:val="24"/>
        </w:rPr>
        <w:t>7</w:t>
      </w:r>
      <w:r>
        <w:rPr>
          <w:rFonts w:ascii="Times New Roman" w:hAnsi="Times New Roman" w:cs="Times New Roman"/>
          <w:sz w:val="24"/>
          <w:szCs w:val="24"/>
        </w:rPr>
        <w:t xml:space="preserve">] Magic Software attached </w:t>
      </w:r>
      <w:r w:rsidR="008D67D8">
        <w:rPr>
          <w:rFonts w:ascii="Times New Roman" w:hAnsi="Times New Roman" w:cs="Times New Roman"/>
          <w:sz w:val="24"/>
          <w:szCs w:val="24"/>
        </w:rPr>
        <w:t xml:space="preserve">to its papers, </w:t>
      </w:r>
      <w:r>
        <w:rPr>
          <w:rFonts w:ascii="Times New Roman" w:hAnsi="Times New Roman" w:cs="Times New Roman"/>
          <w:sz w:val="24"/>
          <w:szCs w:val="24"/>
        </w:rPr>
        <w:t xml:space="preserve">two emails </w:t>
      </w:r>
      <w:r w:rsidR="008D67D8">
        <w:rPr>
          <w:rFonts w:ascii="Times New Roman" w:hAnsi="Times New Roman" w:cs="Times New Roman"/>
          <w:sz w:val="24"/>
          <w:szCs w:val="24"/>
        </w:rPr>
        <w:t xml:space="preserve">exchanged </w:t>
      </w:r>
      <w:r>
        <w:rPr>
          <w:rFonts w:ascii="Times New Roman" w:hAnsi="Times New Roman" w:cs="Times New Roman"/>
          <w:sz w:val="24"/>
          <w:szCs w:val="24"/>
        </w:rPr>
        <w:t xml:space="preserve">between the parties` respective officers. </w:t>
      </w:r>
      <w:r w:rsidR="0079466F">
        <w:rPr>
          <w:rFonts w:ascii="Times New Roman" w:hAnsi="Times New Roman" w:cs="Times New Roman"/>
          <w:sz w:val="24"/>
          <w:szCs w:val="24"/>
        </w:rPr>
        <w:t xml:space="preserve">In </w:t>
      </w:r>
      <w:r w:rsidR="008D67D8">
        <w:rPr>
          <w:rFonts w:ascii="Times New Roman" w:hAnsi="Times New Roman" w:cs="Times New Roman"/>
          <w:sz w:val="24"/>
          <w:szCs w:val="24"/>
        </w:rPr>
        <w:t xml:space="preserve">one </w:t>
      </w:r>
      <w:r>
        <w:rPr>
          <w:rFonts w:ascii="Times New Roman" w:hAnsi="Times New Roman" w:cs="Times New Roman"/>
          <w:sz w:val="24"/>
          <w:szCs w:val="24"/>
        </w:rPr>
        <w:t xml:space="preserve">dated 12 May </w:t>
      </w:r>
      <w:r w:rsidR="006D6B3A">
        <w:rPr>
          <w:rFonts w:ascii="Times New Roman" w:hAnsi="Times New Roman" w:cs="Times New Roman"/>
          <w:sz w:val="24"/>
          <w:szCs w:val="24"/>
        </w:rPr>
        <w:t>2017, the</w:t>
      </w:r>
      <w:r w:rsidR="0079466F">
        <w:rPr>
          <w:rFonts w:ascii="Times New Roman" w:hAnsi="Times New Roman" w:cs="Times New Roman"/>
          <w:sz w:val="24"/>
          <w:szCs w:val="24"/>
        </w:rPr>
        <w:t xml:space="preserve"> said </w:t>
      </w:r>
      <w:r>
        <w:rPr>
          <w:rFonts w:ascii="Times New Roman" w:hAnsi="Times New Roman" w:cs="Times New Roman"/>
          <w:sz w:val="24"/>
          <w:szCs w:val="24"/>
        </w:rPr>
        <w:t xml:space="preserve">Tafadzwa Chikwanda </w:t>
      </w:r>
      <w:r w:rsidR="006D6B3A">
        <w:rPr>
          <w:rFonts w:ascii="Times New Roman" w:hAnsi="Times New Roman" w:cs="Times New Roman"/>
          <w:sz w:val="24"/>
          <w:szCs w:val="24"/>
        </w:rPr>
        <w:t xml:space="preserve">communicated </w:t>
      </w:r>
      <w:r w:rsidR="009E022A">
        <w:rPr>
          <w:rFonts w:ascii="Times New Roman" w:hAnsi="Times New Roman" w:cs="Times New Roman"/>
          <w:sz w:val="24"/>
          <w:szCs w:val="24"/>
        </w:rPr>
        <w:t xml:space="preserve">to Magic Software’s then CEO, A Mr Chavi </w:t>
      </w:r>
      <w:r w:rsidR="006D6B3A">
        <w:rPr>
          <w:rFonts w:ascii="Times New Roman" w:hAnsi="Times New Roman" w:cs="Times New Roman"/>
          <w:sz w:val="24"/>
          <w:szCs w:val="24"/>
        </w:rPr>
        <w:t>Kichlon, the</w:t>
      </w:r>
      <w:r>
        <w:rPr>
          <w:rFonts w:ascii="Times New Roman" w:hAnsi="Times New Roman" w:cs="Times New Roman"/>
          <w:sz w:val="24"/>
          <w:szCs w:val="24"/>
        </w:rPr>
        <w:t xml:space="preserve"> requirements </w:t>
      </w:r>
      <w:r w:rsidR="009E022A">
        <w:rPr>
          <w:rFonts w:ascii="Times New Roman" w:hAnsi="Times New Roman" w:cs="Times New Roman"/>
          <w:sz w:val="24"/>
          <w:szCs w:val="24"/>
        </w:rPr>
        <w:t>for opening</w:t>
      </w:r>
      <w:r w:rsidR="00F32BE3">
        <w:rPr>
          <w:rFonts w:ascii="Times New Roman" w:hAnsi="Times New Roman" w:cs="Times New Roman"/>
          <w:sz w:val="24"/>
          <w:szCs w:val="24"/>
        </w:rPr>
        <w:t xml:space="preserve"> </w:t>
      </w:r>
      <w:r>
        <w:rPr>
          <w:rFonts w:ascii="Times New Roman" w:hAnsi="Times New Roman" w:cs="Times New Roman"/>
          <w:sz w:val="24"/>
          <w:szCs w:val="24"/>
        </w:rPr>
        <w:t xml:space="preserve">a “corporate current </w:t>
      </w:r>
      <w:r w:rsidR="006D6B3A">
        <w:rPr>
          <w:rFonts w:ascii="Times New Roman" w:hAnsi="Times New Roman" w:cs="Times New Roman"/>
          <w:sz w:val="24"/>
          <w:szCs w:val="24"/>
        </w:rPr>
        <w:t>account”. The</w:t>
      </w:r>
      <w:r>
        <w:rPr>
          <w:rFonts w:ascii="Times New Roman" w:hAnsi="Times New Roman" w:cs="Times New Roman"/>
          <w:sz w:val="24"/>
          <w:szCs w:val="24"/>
        </w:rPr>
        <w:t xml:space="preserve"> second email dated 10 June </w:t>
      </w:r>
      <w:r w:rsidR="006D6B3A">
        <w:rPr>
          <w:rFonts w:ascii="Times New Roman" w:hAnsi="Times New Roman" w:cs="Times New Roman"/>
          <w:sz w:val="24"/>
          <w:szCs w:val="24"/>
        </w:rPr>
        <w:t xml:space="preserve">2017, was addressed by Nedbank`s </w:t>
      </w:r>
      <w:r w:rsidR="00976863">
        <w:rPr>
          <w:rFonts w:ascii="Times New Roman" w:hAnsi="Times New Roman" w:cs="Times New Roman"/>
          <w:sz w:val="24"/>
          <w:szCs w:val="24"/>
        </w:rPr>
        <w:t xml:space="preserve">Shorai </w:t>
      </w:r>
      <w:r w:rsidR="006131EF">
        <w:rPr>
          <w:rFonts w:ascii="Times New Roman" w:hAnsi="Times New Roman" w:cs="Times New Roman"/>
          <w:sz w:val="24"/>
          <w:szCs w:val="24"/>
        </w:rPr>
        <w:t xml:space="preserve">Dube </w:t>
      </w:r>
      <w:r w:rsidR="009E022A">
        <w:rPr>
          <w:rFonts w:ascii="Times New Roman" w:hAnsi="Times New Roman" w:cs="Times New Roman"/>
          <w:sz w:val="24"/>
          <w:szCs w:val="24"/>
        </w:rPr>
        <w:t xml:space="preserve">to Mr. Kichlon. It </w:t>
      </w:r>
      <w:r w:rsidR="006131EF">
        <w:rPr>
          <w:rFonts w:ascii="Times New Roman" w:hAnsi="Times New Roman" w:cs="Times New Roman"/>
          <w:sz w:val="24"/>
          <w:szCs w:val="24"/>
        </w:rPr>
        <w:t>recorded</w:t>
      </w:r>
      <w:r>
        <w:rPr>
          <w:rFonts w:ascii="Times New Roman" w:hAnsi="Times New Roman" w:cs="Times New Roman"/>
          <w:sz w:val="24"/>
          <w:szCs w:val="24"/>
        </w:rPr>
        <w:t xml:space="preserve"> the parties as having met the previous day</w:t>
      </w:r>
      <w:r w:rsidR="009E022A">
        <w:rPr>
          <w:rFonts w:ascii="Times New Roman" w:hAnsi="Times New Roman" w:cs="Times New Roman"/>
          <w:sz w:val="24"/>
          <w:szCs w:val="24"/>
        </w:rPr>
        <w:t xml:space="preserve"> and </w:t>
      </w:r>
      <w:r>
        <w:rPr>
          <w:rFonts w:ascii="Times New Roman" w:hAnsi="Times New Roman" w:cs="Times New Roman"/>
          <w:sz w:val="24"/>
          <w:szCs w:val="24"/>
        </w:rPr>
        <w:t xml:space="preserve">listed what the bank indicated as outstanding </w:t>
      </w:r>
      <w:r w:rsidR="001224C6">
        <w:rPr>
          <w:rFonts w:ascii="Times New Roman" w:hAnsi="Times New Roman" w:cs="Times New Roman"/>
          <w:sz w:val="24"/>
          <w:szCs w:val="24"/>
        </w:rPr>
        <w:t>documents</w:t>
      </w:r>
      <w:r w:rsidR="009E022A">
        <w:rPr>
          <w:rFonts w:ascii="Times New Roman" w:hAnsi="Times New Roman" w:cs="Times New Roman"/>
          <w:sz w:val="24"/>
          <w:szCs w:val="24"/>
        </w:rPr>
        <w:t xml:space="preserve"> to the account opening</w:t>
      </w:r>
      <w:r w:rsidR="001224C6">
        <w:rPr>
          <w:rFonts w:ascii="Times New Roman" w:hAnsi="Times New Roman" w:cs="Times New Roman"/>
          <w:sz w:val="24"/>
          <w:szCs w:val="24"/>
        </w:rPr>
        <w:t xml:space="preserve">. </w:t>
      </w:r>
    </w:p>
    <w:p w14:paraId="11004A91" w14:textId="448E7FB6" w:rsidR="001224C6" w:rsidRDefault="00AC3DA6" w:rsidP="001224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C4AB9">
        <w:rPr>
          <w:rFonts w:ascii="Times New Roman" w:hAnsi="Times New Roman" w:cs="Times New Roman"/>
          <w:sz w:val="24"/>
          <w:szCs w:val="24"/>
        </w:rPr>
        <w:t>8</w:t>
      </w:r>
      <w:r>
        <w:rPr>
          <w:rFonts w:ascii="Times New Roman" w:hAnsi="Times New Roman" w:cs="Times New Roman"/>
          <w:sz w:val="24"/>
          <w:szCs w:val="24"/>
        </w:rPr>
        <w:t>] Magic Software allege</w:t>
      </w:r>
      <w:r w:rsidR="009E022A">
        <w:rPr>
          <w:rFonts w:ascii="Times New Roman" w:hAnsi="Times New Roman" w:cs="Times New Roman"/>
          <w:sz w:val="24"/>
          <w:szCs w:val="24"/>
        </w:rPr>
        <w:t xml:space="preserve">s herein that </w:t>
      </w:r>
      <w:r w:rsidR="00F32BE3">
        <w:rPr>
          <w:rFonts w:ascii="Times New Roman" w:hAnsi="Times New Roman" w:cs="Times New Roman"/>
          <w:sz w:val="24"/>
          <w:szCs w:val="24"/>
        </w:rPr>
        <w:t xml:space="preserve">Nedbank`s officials specifically advised and confirmed that they would </w:t>
      </w:r>
      <w:r w:rsidR="008D67D8">
        <w:rPr>
          <w:rFonts w:ascii="Times New Roman" w:hAnsi="Times New Roman" w:cs="Times New Roman"/>
          <w:sz w:val="24"/>
          <w:szCs w:val="24"/>
        </w:rPr>
        <w:t xml:space="preserve">avail </w:t>
      </w:r>
      <w:r>
        <w:rPr>
          <w:rFonts w:ascii="Times New Roman" w:hAnsi="Times New Roman" w:cs="Times New Roman"/>
          <w:sz w:val="24"/>
          <w:szCs w:val="24"/>
        </w:rPr>
        <w:t xml:space="preserve">a </w:t>
      </w:r>
      <w:r w:rsidR="0067550E">
        <w:rPr>
          <w:rFonts w:ascii="Times New Roman" w:hAnsi="Times New Roman" w:cs="Times New Roman"/>
          <w:sz w:val="24"/>
          <w:szCs w:val="24"/>
        </w:rPr>
        <w:t xml:space="preserve">“non-resident escrow account”. </w:t>
      </w:r>
      <w:r w:rsidR="009E022A">
        <w:rPr>
          <w:rFonts w:ascii="Times New Roman" w:hAnsi="Times New Roman" w:cs="Times New Roman"/>
          <w:sz w:val="24"/>
          <w:szCs w:val="24"/>
        </w:rPr>
        <w:t>N</w:t>
      </w:r>
      <w:r w:rsidR="001224C6">
        <w:rPr>
          <w:rFonts w:ascii="Times New Roman" w:hAnsi="Times New Roman" w:cs="Times New Roman"/>
          <w:sz w:val="24"/>
          <w:szCs w:val="24"/>
        </w:rPr>
        <w:t xml:space="preserve">one of the two emails cited </w:t>
      </w:r>
      <w:r w:rsidR="008D67D8">
        <w:rPr>
          <w:rFonts w:ascii="Times New Roman" w:hAnsi="Times New Roman" w:cs="Times New Roman"/>
          <w:sz w:val="24"/>
          <w:szCs w:val="24"/>
        </w:rPr>
        <w:t xml:space="preserve">above </w:t>
      </w:r>
      <w:r w:rsidR="001224C6">
        <w:rPr>
          <w:rFonts w:ascii="Times New Roman" w:hAnsi="Times New Roman" w:cs="Times New Roman"/>
          <w:sz w:val="24"/>
          <w:szCs w:val="24"/>
        </w:rPr>
        <w:t>refer</w:t>
      </w:r>
      <w:r w:rsidR="006D6B3A">
        <w:rPr>
          <w:rFonts w:ascii="Times New Roman" w:hAnsi="Times New Roman" w:cs="Times New Roman"/>
          <w:sz w:val="24"/>
          <w:szCs w:val="24"/>
        </w:rPr>
        <w:t xml:space="preserve">s </w:t>
      </w:r>
      <w:r w:rsidR="001224C6">
        <w:rPr>
          <w:rFonts w:ascii="Times New Roman" w:hAnsi="Times New Roman" w:cs="Times New Roman"/>
          <w:sz w:val="24"/>
          <w:szCs w:val="24"/>
        </w:rPr>
        <w:t xml:space="preserve">directly and unequivocally to a “non-resident escrow </w:t>
      </w:r>
      <w:r w:rsidR="009E022A">
        <w:rPr>
          <w:rFonts w:ascii="Times New Roman" w:hAnsi="Times New Roman" w:cs="Times New Roman"/>
          <w:sz w:val="24"/>
          <w:szCs w:val="24"/>
        </w:rPr>
        <w:t xml:space="preserve">account”. An account was nonetheless, subsequently opened. It may </w:t>
      </w:r>
      <w:r w:rsidR="001224C6">
        <w:rPr>
          <w:rFonts w:ascii="Times New Roman" w:hAnsi="Times New Roman" w:cs="Times New Roman"/>
          <w:sz w:val="24"/>
          <w:szCs w:val="24"/>
        </w:rPr>
        <w:t xml:space="preserve">be accepted as common cause that both parties proceeded </w:t>
      </w:r>
      <w:r w:rsidR="009E022A">
        <w:rPr>
          <w:rFonts w:ascii="Times New Roman" w:hAnsi="Times New Roman" w:cs="Times New Roman"/>
          <w:sz w:val="24"/>
          <w:szCs w:val="24"/>
        </w:rPr>
        <w:t xml:space="preserve">on </w:t>
      </w:r>
      <w:r w:rsidR="001224C6">
        <w:rPr>
          <w:rFonts w:ascii="Times New Roman" w:hAnsi="Times New Roman" w:cs="Times New Roman"/>
          <w:sz w:val="24"/>
          <w:szCs w:val="24"/>
        </w:rPr>
        <w:t xml:space="preserve">the understanding that the account </w:t>
      </w:r>
      <w:r w:rsidR="009E022A">
        <w:rPr>
          <w:rFonts w:ascii="Times New Roman" w:hAnsi="Times New Roman" w:cs="Times New Roman"/>
          <w:sz w:val="24"/>
          <w:szCs w:val="24"/>
        </w:rPr>
        <w:t xml:space="preserve">concerned </w:t>
      </w:r>
      <w:r w:rsidR="001224C6">
        <w:rPr>
          <w:rFonts w:ascii="Times New Roman" w:hAnsi="Times New Roman" w:cs="Times New Roman"/>
          <w:sz w:val="24"/>
          <w:szCs w:val="24"/>
        </w:rPr>
        <w:t>was indeed a non-resident escrow foreign currency account.</w:t>
      </w:r>
    </w:p>
    <w:p w14:paraId="37AD196E" w14:textId="5AB7AAB2" w:rsidR="00F66B2B" w:rsidRDefault="001224C6"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C4AB9">
        <w:rPr>
          <w:rFonts w:ascii="Times New Roman" w:hAnsi="Times New Roman" w:cs="Times New Roman"/>
          <w:sz w:val="24"/>
          <w:szCs w:val="24"/>
        </w:rPr>
        <w:t>9</w:t>
      </w:r>
      <w:r>
        <w:rPr>
          <w:rFonts w:ascii="Times New Roman" w:hAnsi="Times New Roman" w:cs="Times New Roman"/>
          <w:sz w:val="24"/>
          <w:szCs w:val="24"/>
        </w:rPr>
        <w:t xml:space="preserve">] </w:t>
      </w:r>
      <w:r w:rsidR="009E022A">
        <w:rPr>
          <w:rFonts w:ascii="Times New Roman" w:hAnsi="Times New Roman" w:cs="Times New Roman"/>
          <w:sz w:val="24"/>
          <w:szCs w:val="24"/>
        </w:rPr>
        <w:t>In the p</w:t>
      </w:r>
      <w:r w:rsidR="006D6B3A">
        <w:rPr>
          <w:rFonts w:ascii="Times New Roman" w:hAnsi="Times New Roman" w:cs="Times New Roman"/>
          <w:sz w:val="24"/>
          <w:szCs w:val="24"/>
        </w:rPr>
        <w:t>resent claim, Nedbank</w:t>
      </w:r>
      <w:r w:rsidR="00551DCA">
        <w:rPr>
          <w:rFonts w:ascii="Times New Roman" w:hAnsi="Times New Roman" w:cs="Times New Roman"/>
          <w:sz w:val="24"/>
          <w:szCs w:val="24"/>
        </w:rPr>
        <w:t xml:space="preserve"> </w:t>
      </w:r>
      <w:r w:rsidR="006D6B3A">
        <w:rPr>
          <w:rFonts w:ascii="Times New Roman" w:hAnsi="Times New Roman" w:cs="Times New Roman"/>
          <w:sz w:val="24"/>
          <w:szCs w:val="24"/>
        </w:rPr>
        <w:t xml:space="preserve">now </w:t>
      </w:r>
      <w:r w:rsidR="00551DCA">
        <w:rPr>
          <w:rFonts w:ascii="Times New Roman" w:hAnsi="Times New Roman" w:cs="Times New Roman"/>
          <w:sz w:val="24"/>
          <w:szCs w:val="24"/>
        </w:rPr>
        <w:t>claims</w:t>
      </w:r>
      <w:r w:rsidR="009E022A">
        <w:rPr>
          <w:rFonts w:ascii="Times New Roman" w:hAnsi="Times New Roman" w:cs="Times New Roman"/>
          <w:sz w:val="24"/>
          <w:szCs w:val="24"/>
        </w:rPr>
        <w:t xml:space="preserve"> that the account was irregularly opened </w:t>
      </w:r>
      <w:r w:rsidR="00551DCA">
        <w:rPr>
          <w:rFonts w:ascii="Times New Roman" w:hAnsi="Times New Roman" w:cs="Times New Roman"/>
          <w:sz w:val="24"/>
          <w:szCs w:val="24"/>
        </w:rPr>
        <w:t xml:space="preserve">for want of </w:t>
      </w:r>
      <w:r w:rsidR="009E022A">
        <w:rPr>
          <w:rFonts w:ascii="Times New Roman" w:hAnsi="Times New Roman" w:cs="Times New Roman"/>
          <w:sz w:val="24"/>
          <w:szCs w:val="24"/>
        </w:rPr>
        <w:t xml:space="preserve">prior approval </w:t>
      </w:r>
      <w:r w:rsidR="00551DCA">
        <w:rPr>
          <w:rFonts w:ascii="Times New Roman" w:hAnsi="Times New Roman" w:cs="Times New Roman"/>
          <w:sz w:val="24"/>
          <w:szCs w:val="24"/>
        </w:rPr>
        <w:t xml:space="preserve">by </w:t>
      </w:r>
      <w:r w:rsidR="009E022A">
        <w:rPr>
          <w:rFonts w:ascii="Times New Roman" w:hAnsi="Times New Roman" w:cs="Times New Roman"/>
          <w:sz w:val="24"/>
          <w:szCs w:val="24"/>
        </w:rPr>
        <w:t xml:space="preserve">the </w:t>
      </w:r>
      <w:r w:rsidR="0067550E">
        <w:rPr>
          <w:rFonts w:ascii="Times New Roman" w:hAnsi="Times New Roman" w:cs="Times New Roman"/>
          <w:sz w:val="24"/>
          <w:szCs w:val="24"/>
        </w:rPr>
        <w:t xml:space="preserve">Reserve Bank of Zimbabwe (RBZ)`s Exchange Control </w:t>
      </w:r>
      <w:r w:rsidR="00551DCA">
        <w:rPr>
          <w:rFonts w:ascii="Times New Roman" w:hAnsi="Times New Roman" w:cs="Times New Roman"/>
          <w:sz w:val="24"/>
          <w:szCs w:val="24"/>
        </w:rPr>
        <w:t>department. It was Magic Software’s responsibility to secure such authorisation, argue</w:t>
      </w:r>
      <w:r w:rsidR="006D6B3A">
        <w:rPr>
          <w:rFonts w:ascii="Times New Roman" w:hAnsi="Times New Roman" w:cs="Times New Roman"/>
          <w:sz w:val="24"/>
          <w:szCs w:val="24"/>
        </w:rPr>
        <w:t>s</w:t>
      </w:r>
      <w:r w:rsidR="00551DCA">
        <w:rPr>
          <w:rFonts w:ascii="Times New Roman" w:hAnsi="Times New Roman" w:cs="Times New Roman"/>
          <w:sz w:val="24"/>
          <w:szCs w:val="24"/>
        </w:rPr>
        <w:t xml:space="preserve"> Nedbank. </w:t>
      </w:r>
    </w:p>
    <w:p w14:paraId="7E73DC4E" w14:textId="20ADC336" w:rsidR="003B3587" w:rsidRDefault="00F66B2B"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C4AB9">
        <w:rPr>
          <w:rFonts w:ascii="Times New Roman" w:hAnsi="Times New Roman" w:cs="Times New Roman"/>
          <w:sz w:val="24"/>
          <w:szCs w:val="24"/>
        </w:rPr>
        <w:t>10</w:t>
      </w:r>
      <w:r>
        <w:rPr>
          <w:rFonts w:ascii="Times New Roman" w:hAnsi="Times New Roman" w:cs="Times New Roman"/>
          <w:sz w:val="24"/>
          <w:szCs w:val="24"/>
        </w:rPr>
        <w:t>] Magic</w:t>
      </w:r>
      <w:r w:rsidR="003B3587">
        <w:rPr>
          <w:rFonts w:ascii="Times New Roman" w:hAnsi="Times New Roman" w:cs="Times New Roman"/>
          <w:sz w:val="24"/>
          <w:szCs w:val="24"/>
        </w:rPr>
        <w:t xml:space="preserve"> Software </w:t>
      </w:r>
      <w:r w:rsidR="00551DCA">
        <w:rPr>
          <w:rFonts w:ascii="Times New Roman" w:hAnsi="Times New Roman" w:cs="Times New Roman"/>
          <w:sz w:val="24"/>
          <w:szCs w:val="24"/>
        </w:rPr>
        <w:t>re</w:t>
      </w:r>
      <w:r w:rsidR="008D67D8">
        <w:rPr>
          <w:rFonts w:ascii="Times New Roman" w:hAnsi="Times New Roman" w:cs="Times New Roman"/>
          <w:sz w:val="24"/>
          <w:szCs w:val="24"/>
        </w:rPr>
        <w:t xml:space="preserve">futed this claim and instead alleged that </w:t>
      </w:r>
      <w:r w:rsidR="00551DCA">
        <w:rPr>
          <w:rFonts w:ascii="Times New Roman" w:hAnsi="Times New Roman" w:cs="Times New Roman"/>
          <w:sz w:val="24"/>
          <w:szCs w:val="24"/>
        </w:rPr>
        <w:t xml:space="preserve">Nedbank </w:t>
      </w:r>
      <w:r w:rsidR="006D6B3A">
        <w:rPr>
          <w:rFonts w:ascii="Times New Roman" w:hAnsi="Times New Roman" w:cs="Times New Roman"/>
          <w:sz w:val="24"/>
          <w:szCs w:val="24"/>
        </w:rPr>
        <w:t xml:space="preserve">failed to render correct advice </w:t>
      </w:r>
      <w:r w:rsidR="008D67D8">
        <w:rPr>
          <w:rFonts w:ascii="Times New Roman" w:hAnsi="Times New Roman" w:cs="Times New Roman"/>
          <w:sz w:val="24"/>
          <w:szCs w:val="24"/>
        </w:rPr>
        <w:t xml:space="preserve">on the requirements behind the opening of the </w:t>
      </w:r>
      <w:r w:rsidR="006D6B3A">
        <w:rPr>
          <w:rFonts w:ascii="Times New Roman" w:hAnsi="Times New Roman" w:cs="Times New Roman"/>
          <w:sz w:val="24"/>
          <w:szCs w:val="24"/>
        </w:rPr>
        <w:t>escrow foreign currency account.</w:t>
      </w:r>
      <w:r w:rsidR="00551DCA">
        <w:rPr>
          <w:rFonts w:ascii="Times New Roman" w:hAnsi="Times New Roman" w:cs="Times New Roman"/>
          <w:sz w:val="24"/>
          <w:szCs w:val="24"/>
        </w:rPr>
        <w:t xml:space="preserve"> In that regard, Magic Software entreated the court not to allow </w:t>
      </w:r>
      <w:r w:rsidR="00AB6D02">
        <w:rPr>
          <w:rFonts w:ascii="Times New Roman" w:hAnsi="Times New Roman" w:cs="Times New Roman"/>
          <w:sz w:val="24"/>
          <w:szCs w:val="24"/>
        </w:rPr>
        <w:t xml:space="preserve">Nedbank to </w:t>
      </w:r>
      <w:r w:rsidR="00551DCA">
        <w:rPr>
          <w:rFonts w:ascii="Times New Roman" w:hAnsi="Times New Roman" w:cs="Times New Roman"/>
          <w:sz w:val="24"/>
          <w:szCs w:val="24"/>
        </w:rPr>
        <w:t xml:space="preserve">escape </w:t>
      </w:r>
      <w:r w:rsidR="006D6B3A">
        <w:rPr>
          <w:rFonts w:ascii="Times New Roman" w:hAnsi="Times New Roman" w:cs="Times New Roman"/>
          <w:sz w:val="24"/>
          <w:szCs w:val="24"/>
        </w:rPr>
        <w:t xml:space="preserve">from obligation </w:t>
      </w:r>
      <w:r w:rsidR="008D67D8">
        <w:rPr>
          <w:rFonts w:ascii="Times New Roman" w:hAnsi="Times New Roman" w:cs="Times New Roman"/>
          <w:sz w:val="24"/>
          <w:szCs w:val="24"/>
        </w:rPr>
        <w:t xml:space="preserve">nor </w:t>
      </w:r>
      <w:r w:rsidR="00AB6D02">
        <w:rPr>
          <w:rFonts w:ascii="Times New Roman" w:hAnsi="Times New Roman" w:cs="Times New Roman"/>
          <w:sz w:val="24"/>
          <w:szCs w:val="24"/>
        </w:rPr>
        <w:t xml:space="preserve">benefit </w:t>
      </w:r>
      <w:r w:rsidR="008D67D8">
        <w:rPr>
          <w:rFonts w:ascii="Times New Roman" w:hAnsi="Times New Roman" w:cs="Times New Roman"/>
          <w:sz w:val="24"/>
          <w:szCs w:val="24"/>
        </w:rPr>
        <w:t>from dereliction</w:t>
      </w:r>
      <w:r w:rsidR="00551DCA">
        <w:rPr>
          <w:rFonts w:ascii="Times New Roman" w:hAnsi="Times New Roman" w:cs="Times New Roman"/>
          <w:sz w:val="24"/>
          <w:szCs w:val="24"/>
        </w:rPr>
        <w:t xml:space="preserve">. </w:t>
      </w:r>
    </w:p>
    <w:p w14:paraId="065A1861" w14:textId="1CFA0CBC" w:rsidR="006131EF" w:rsidRDefault="006131EF"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RBZ DIRECTIVE RT 120/18</w:t>
      </w:r>
    </w:p>
    <w:p w14:paraId="7ADE2264" w14:textId="7EBA5735" w:rsidR="00E973B9" w:rsidRDefault="0067550E" w:rsidP="0067550E">
      <w:pPr>
        <w:spacing w:line="360" w:lineRule="auto"/>
        <w:jc w:val="both"/>
        <w:rPr>
          <w:rFonts w:ascii="Times New Roman" w:hAnsi="Times New Roman" w:cs="Times New Roman"/>
          <w:sz w:val="24"/>
          <w:szCs w:val="24"/>
        </w:rPr>
      </w:pPr>
      <w:r w:rsidRPr="0067550E">
        <w:rPr>
          <w:rFonts w:ascii="Times New Roman" w:hAnsi="Times New Roman" w:cs="Times New Roman"/>
          <w:sz w:val="24"/>
          <w:szCs w:val="24"/>
        </w:rPr>
        <w:t>[</w:t>
      </w:r>
      <w:r w:rsidR="008C4AB9">
        <w:rPr>
          <w:rFonts w:ascii="Times New Roman" w:hAnsi="Times New Roman" w:cs="Times New Roman"/>
          <w:sz w:val="24"/>
          <w:szCs w:val="24"/>
        </w:rPr>
        <w:t>11</w:t>
      </w:r>
      <w:r w:rsidR="00AB6D02">
        <w:rPr>
          <w:rFonts w:ascii="Times New Roman" w:hAnsi="Times New Roman" w:cs="Times New Roman"/>
          <w:sz w:val="24"/>
          <w:szCs w:val="24"/>
        </w:rPr>
        <w:t>]</w:t>
      </w:r>
      <w:r w:rsidRPr="0067550E">
        <w:rPr>
          <w:rFonts w:ascii="Times New Roman" w:hAnsi="Times New Roman" w:cs="Times New Roman"/>
          <w:sz w:val="24"/>
          <w:szCs w:val="24"/>
        </w:rPr>
        <w:t xml:space="preserve"> </w:t>
      </w:r>
      <w:r w:rsidR="001224C6">
        <w:rPr>
          <w:rFonts w:ascii="Times New Roman" w:hAnsi="Times New Roman" w:cs="Times New Roman"/>
          <w:sz w:val="24"/>
          <w:szCs w:val="24"/>
        </w:rPr>
        <w:t>As noted,</w:t>
      </w:r>
      <w:r w:rsidRPr="0067550E">
        <w:rPr>
          <w:rFonts w:ascii="Times New Roman" w:hAnsi="Times New Roman" w:cs="Times New Roman"/>
          <w:sz w:val="24"/>
          <w:szCs w:val="24"/>
        </w:rPr>
        <w:t xml:space="preserve"> an account, (whatever its nature/status</w:t>
      </w:r>
      <w:r w:rsidR="0077339D">
        <w:rPr>
          <w:rFonts w:ascii="Times New Roman" w:hAnsi="Times New Roman" w:cs="Times New Roman"/>
          <w:sz w:val="24"/>
          <w:szCs w:val="24"/>
        </w:rPr>
        <w:t>-I will refer to it as the escrow account</w:t>
      </w:r>
      <w:r w:rsidRPr="0067550E">
        <w:rPr>
          <w:rFonts w:ascii="Times New Roman" w:hAnsi="Times New Roman" w:cs="Times New Roman"/>
          <w:sz w:val="24"/>
          <w:szCs w:val="24"/>
        </w:rPr>
        <w:t xml:space="preserve">) was opened to the </w:t>
      </w:r>
      <w:r w:rsidR="00E973B9">
        <w:rPr>
          <w:rFonts w:ascii="Times New Roman" w:hAnsi="Times New Roman" w:cs="Times New Roman"/>
          <w:sz w:val="24"/>
          <w:szCs w:val="24"/>
        </w:rPr>
        <w:t xml:space="preserve">name and </w:t>
      </w:r>
      <w:r w:rsidRPr="0067550E">
        <w:rPr>
          <w:rFonts w:ascii="Times New Roman" w:hAnsi="Times New Roman" w:cs="Times New Roman"/>
          <w:sz w:val="24"/>
          <w:szCs w:val="24"/>
        </w:rPr>
        <w:t xml:space="preserve">credit of Magic Software in Nedbank`s books. Therein were deposited proceeds from Magic Software`s services to Tel-One. </w:t>
      </w:r>
      <w:r w:rsidR="00AB6D02">
        <w:rPr>
          <w:rFonts w:ascii="Times New Roman" w:hAnsi="Times New Roman" w:cs="Times New Roman"/>
          <w:sz w:val="24"/>
          <w:szCs w:val="24"/>
        </w:rPr>
        <w:t xml:space="preserve">It is also common cause that </w:t>
      </w:r>
      <w:r w:rsidR="00E973B9">
        <w:rPr>
          <w:rFonts w:ascii="Times New Roman" w:hAnsi="Times New Roman" w:cs="Times New Roman"/>
          <w:sz w:val="24"/>
          <w:szCs w:val="24"/>
        </w:rPr>
        <w:t xml:space="preserve">the deposits into this United States Dollar denominated account were made </w:t>
      </w:r>
      <w:r w:rsidR="00F32BE3">
        <w:rPr>
          <w:rFonts w:ascii="Times New Roman" w:hAnsi="Times New Roman" w:cs="Times New Roman"/>
          <w:sz w:val="24"/>
          <w:szCs w:val="24"/>
        </w:rPr>
        <w:t xml:space="preserve">from </w:t>
      </w:r>
      <w:r w:rsidR="00E973B9">
        <w:rPr>
          <w:rFonts w:ascii="Times New Roman" w:hAnsi="Times New Roman" w:cs="Times New Roman"/>
          <w:sz w:val="24"/>
          <w:szCs w:val="24"/>
        </w:rPr>
        <w:t xml:space="preserve">the RTGS payment </w:t>
      </w:r>
      <w:r w:rsidR="00303F63">
        <w:rPr>
          <w:rFonts w:ascii="Times New Roman" w:hAnsi="Times New Roman" w:cs="Times New Roman"/>
          <w:sz w:val="24"/>
          <w:szCs w:val="24"/>
        </w:rPr>
        <w:t xml:space="preserve">platform and were </w:t>
      </w:r>
      <w:r w:rsidR="00E973B9">
        <w:rPr>
          <w:rFonts w:ascii="Times New Roman" w:hAnsi="Times New Roman" w:cs="Times New Roman"/>
          <w:sz w:val="24"/>
          <w:szCs w:val="24"/>
        </w:rPr>
        <w:t xml:space="preserve">entirely </w:t>
      </w:r>
      <w:r w:rsidR="00303F63">
        <w:rPr>
          <w:rFonts w:ascii="Times New Roman" w:hAnsi="Times New Roman" w:cs="Times New Roman"/>
          <w:sz w:val="24"/>
          <w:szCs w:val="24"/>
        </w:rPr>
        <w:t xml:space="preserve">local. </w:t>
      </w:r>
    </w:p>
    <w:p w14:paraId="36EAEA9B" w14:textId="284B5FF1" w:rsidR="0067550E" w:rsidRDefault="00E973B9" w:rsidP="0067550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66B2B">
        <w:rPr>
          <w:rFonts w:ascii="Times New Roman" w:hAnsi="Times New Roman" w:cs="Times New Roman"/>
          <w:sz w:val="24"/>
          <w:szCs w:val="24"/>
        </w:rPr>
        <w:t>1</w:t>
      </w:r>
      <w:r w:rsidR="00EB3628">
        <w:rPr>
          <w:rFonts w:ascii="Times New Roman" w:hAnsi="Times New Roman" w:cs="Times New Roman"/>
          <w:sz w:val="24"/>
          <w:szCs w:val="24"/>
        </w:rPr>
        <w:t>2</w:t>
      </w:r>
      <w:r>
        <w:rPr>
          <w:rFonts w:ascii="Times New Roman" w:hAnsi="Times New Roman" w:cs="Times New Roman"/>
          <w:sz w:val="24"/>
          <w:szCs w:val="24"/>
        </w:rPr>
        <w:t xml:space="preserve">] </w:t>
      </w:r>
      <w:r w:rsidR="00946F05">
        <w:rPr>
          <w:rFonts w:ascii="Times New Roman" w:hAnsi="Times New Roman" w:cs="Times New Roman"/>
          <w:sz w:val="24"/>
          <w:szCs w:val="24"/>
        </w:rPr>
        <w:t xml:space="preserve">It was also </w:t>
      </w:r>
      <w:r>
        <w:rPr>
          <w:rFonts w:ascii="Times New Roman" w:hAnsi="Times New Roman" w:cs="Times New Roman"/>
          <w:sz w:val="24"/>
          <w:szCs w:val="24"/>
        </w:rPr>
        <w:t>not in contention</w:t>
      </w:r>
      <w:r w:rsidR="00946F05">
        <w:rPr>
          <w:rFonts w:ascii="Times New Roman" w:hAnsi="Times New Roman" w:cs="Times New Roman"/>
          <w:sz w:val="24"/>
          <w:szCs w:val="24"/>
        </w:rPr>
        <w:t xml:space="preserve">, that the </w:t>
      </w:r>
      <w:r>
        <w:rPr>
          <w:rFonts w:ascii="Times New Roman" w:hAnsi="Times New Roman" w:cs="Times New Roman"/>
          <w:sz w:val="24"/>
          <w:szCs w:val="24"/>
        </w:rPr>
        <w:t>account was purely retentional.</w:t>
      </w:r>
      <w:r w:rsidR="00F13FFC">
        <w:rPr>
          <w:rFonts w:ascii="Times New Roman" w:hAnsi="Times New Roman" w:cs="Times New Roman"/>
          <w:sz w:val="24"/>
          <w:szCs w:val="24"/>
        </w:rPr>
        <w:t xml:space="preserve"> It recorded</w:t>
      </w:r>
      <w:r w:rsidR="00AB6D02">
        <w:rPr>
          <w:rFonts w:ascii="Times New Roman" w:hAnsi="Times New Roman" w:cs="Times New Roman"/>
          <w:sz w:val="24"/>
          <w:szCs w:val="24"/>
        </w:rPr>
        <w:t xml:space="preserve"> no other </w:t>
      </w:r>
      <w:r>
        <w:rPr>
          <w:rFonts w:ascii="Times New Roman" w:hAnsi="Times New Roman" w:cs="Times New Roman"/>
          <w:sz w:val="24"/>
          <w:szCs w:val="24"/>
        </w:rPr>
        <w:t xml:space="preserve">third-party </w:t>
      </w:r>
      <w:r w:rsidR="00F13FFC">
        <w:rPr>
          <w:rFonts w:ascii="Times New Roman" w:hAnsi="Times New Roman" w:cs="Times New Roman"/>
          <w:sz w:val="24"/>
          <w:szCs w:val="24"/>
        </w:rPr>
        <w:t xml:space="preserve">transactional </w:t>
      </w:r>
      <w:r w:rsidR="00AB6D02">
        <w:rPr>
          <w:rFonts w:ascii="Times New Roman" w:hAnsi="Times New Roman" w:cs="Times New Roman"/>
          <w:sz w:val="24"/>
          <w:szCs w:val="24"/>
        </w:rPr>
        <w:t xml:space="preserve">activity apart from the </w:t>
      </w:r>
      <w:r w:rsidR="00F13FFC">
        <w:rPr>
          <w:rFonts w:ascii="Times New Roman" w:hAnsi="Times New Roman" w:cs="Times New Roman"/>
          <w:sz w:val="24"/>
          <w:szCs w:val="24"/>
        </w:rPr>
        <w:t xml:space="preserve">incoming </w:t>
      </w:r>
      <w:r w:rsidR="00AB6D02">
        <w:rPr>
          <w:rFonts w:ascii="Times New Roman" w:hAnsi="Times New Roman" w:cs="Times New Roman"/>
          <w:sz w:val="24"/>
          <w:szCs w:val="24"/>
        </w:rPr>
        <w:t>Tel-One deposits.</w:t>
      </w:r>
      <w:r w:rsidR="00946F05" w:rsidRPr="00946F05">
        <w:rPr>
          <w:rFonts w:ascii="Times New Roman" w:hAnsi="Times New Roman" w:cs="Times New Roman"/>
          <w:sz w:val="24"/>
          <w:szCs w:val="24"/>
        </w:rPr>
        <w:t xml:space="preserve"> </w:t>
      </w:r>
      <w:r w:rsidR="00946F05">
        <w:rPr>
          <w:rFonts w:ascii="Times New Roman" w:hAnsi="Times New Roman" w:cs="Times New Roman"/>
          <w:sz w:val="24"/>
          <w:szCs w:val="24"/>
        </w:rPr>
        <w:t>The escrow account`s transactional history is pivotal to the resolution this dispute.</w:t>
      </w:r>
      <w:r w:rsidR="00AB6D02">
        <w:rPr>
          <w:rFonts w:ascii="Times New Roman" w:hAnsi="Times New Roman" w:cs="Times New Roman"/>
          <w:sz w:val="24"/>
          <w:szCs w:val="24"/>
        </w:rPr>
        <w:t xml:space="preserve"> </w:t>
      </w:r>
      <w:r w:rsidR="0067550E" w:rsidRPr="0067550E">
        <w:rPr>
          <w:rFonts w:ascii="Times New Roman" w:hAnsi="Times New Roman" w:cs="Times New Roman"/>
          <w:sz w:val="24"/>
          <w:szCs w:val="24"/>
        </w:rPr>
        <w:t>As at 4 October 2018, the balance therein stood a</w:t>
      </w:r>
      <w:r w:rsidR="0067550E">
        <w:rPr>
          <w:rFonts w:ascii="Times New Roman" w:hAnsi="Times New Roman" w:cs="Times New Roman"/>
          <w:sz w:val="24"/>
          <w:szCs w:val="24"/>
        </w:rPr>
        <w:t>t</w:t>
      </w:r>
      <w:r w:rsidR="0067550E" w:rsidRPr="0067550E">
        <w:rPr>
          <w:rFonts w:ascii="Times New Roman" w:hAnsi="Times New Roman" w:cs="Times New Roman"/>
          <w:sz w:val="24"/>
          <w:szCs w:val="24"/>
        </w:rPr>
        <w:t xml:space="preserve"> USD</w:t>
      </w:r>
      <w:r>
        <w:rPr>
          <w:rFonts w:ascii="Times New Roman" w:hAnsi="Times New Roman" w:cs="Times New Roman"/>
          <w:sz w:val="24"/>
          <w:szCs w:val="24"/>
        </w:rPr>
        <w:t>$</w:t>
      </w:r>
      <w:r w:rsidR="0067550E" w:rsidRPr="0067550E">
        <w:rPr>
          <w:rFonts w:ascii="Times New Roman" w:hAnsi="Times New Roman" w:cs="Times New Roman"/>
          <w:sz w:val="24"/>
          <w:szCs w:val="24"/>
        </w:rPr>
        <w:t>1,996 723,02.</w:t>
      </w:r>
      <w:r w:rsidR="0067550E">
        <w:rPr>
          <w:rFonts w:ascii="Times New Roman" w:hAnsi="Times New Roman" w:cs="Times New Roman"/>
          <w:sz w:val="24"/>
          <w:szCs w:val="24"/>
        </w:rPr>
        <w:t xml:space="preserve"> That date </w:t>
      </w:r>
      <w:r>
        <w:rPr>
          <w:rFonts w:ascii="Times New Roman" w:hAnsi="Times New Roman" w:cs="Times New Roman"/>
          <w:sz w:val="24"/>
          <w:szCs w:val="24"/>
        </w:rPr>
        <w:t xml:space="preserve">is </w:t>
      </w:r>
      <w:r w:rsidR="00303F63">
        <w:rPr>
          <w:rFonts w:ascii="Times New Roman" w:hAnsi="Times New Roman" w:cs="Times New Roman"/>
          <w:sz w:val="24"/>
          <w:szCs w:val="24"/>
        </w:rPr>
        <w:t>significant</w:t>
      </w:r>
      <w:r w:rsidR="006D6B3A">
        <w:rPr>
          <w:rFonts w:ascii="Times New Roman" w:hAnsi="Times New Roman" w:cs="Times New Roman"/>
          <w:sz w:val="24"/>
          <w:szCs w:val="24"/>
        </w:rPr>
        <w:t>-</w:t>
      </w:r>
      <w:r w:rsidR="00303F63">
        <w:rPr>
          <w:rFonts w:ascii="Times New Roman" w:hAnsi="Times New Roman" w:cs="Times New Roman"/>
          <w:sz w:val="24"/>
          <w:szCs w:val="24"/>
        </w:rPr>
        <w:t xml:space="preserve"> being the day o</w:t>
      </w:r>
      <w:r>
        <w:rPr>
          <w:rFonts w:ascii="Times New Roman" w:hAnsi="Times New Roman" w:cs="Times New Roman"/>
          <w:sz w:val="24"/>
          <w:szCs w:val="24"/>
        </w:rPr>
        <w:t xml:space="preserve">n which </w:t>
      </w:r>
      <w:r w:rsidR="0067550E">
        <w:rPr>
          <w:rFonts w:ascii="Times New Roman" w:hAnsi="Times New Roman" w:cs="Times New Roman"/>
          <w:sz w:val="24"/>
          <w:szCs w:val="24"/>
        </w:rPr>
        <w:t>the RBZ issued Directive RT120/18 (“RT 12</w:t>
      </w:r>
      <w:r w:rsidR="00AB4DA0">
        <w:rPr>
          <w:rFonts w:ascii="Times New Roman" w:hAnsi="Times New Roman" w:cs="Times New Roman"/>
          <w:sz w:val="24"/>
          <w:szCs w:val="24"/>
        </w:rPr>
        <w:t>0</w:t>
      </w:r>
      <w:r w:rsidR="0067550E">
        <w:rPr>
          <w:rFonts w:ascii="Times New Roman" w:hAnsi="Times New Roman" w:cs="Times New Roman"/>
          <w:sz w:val="24"/>
          <w:szCs w:val="24"/>
        </w:rPr>
        <w:t>/18”).</w:t>
      </w:r>
      <w:r w:rsidR="00F66B2B">
        <w:rPr>
          <w:rFonts w:ascii="Times New Roman" w:hAnsi="Times New Roman" w:cs="Times New Roman"/>
          <w:sz w:val="24"/>
          <w:szCs w:val="24"/>
        </w:rPr>
        <w:t xml:space="preserve"> </w:t>
      </w:r>
      <w:r w:rsidR="00AB4DA0">
        <w:rPr>
          <w:rFonts w:ascii="Times New Roman" w:hAnsi="Times New Roman" w:cs="Times New Roman"/>
          <w:sz w:val="24"/>
          <w:szCs w:val="24"/>
        </w:rPr>
        <w:t xml:space="preserve">This Directive </w:t>
      </w:r>
      <w:r w:rsidR="00303F63">
        <w:rPr>
          <w:rFonts w:ascii="Times New Roman" w:hAnsi="Times New Roman" w:cs="Times New Roman"/>
          <w:sz w:val="24"/>
          <w:szCs w:val="24"/>
        </w:rPr>
        <w:t xml:space="preserve">is </w:t>
      </w:r>
      <w:r w:rsidR="00F66B2B">
        <w:rPr>
          <w:rFonts w:ascii="Times New Roman" w:hAnsi="Times New Roman" w:cs="Times New Roman"/>
          <w:sz w:val="24"/>
          <w:szCs w:val="24"/>
        </w:rPr>
        <w:t xml:space="preserve">also central to the </w:t>
      </w:r>
      <w:r w:rsidR="000B7021">
        <w:rPr>
          <w:rFonts w:ascii="Times New Roman" w:hAnsi="Times New Roman" w:cs="Times New Roman"/>
          <w:sz w:val="24"/>
          <w:szCs w:val="24"/>
        </w:rPr>
        <w:t>conclusion of the dispute at hand.</w:t>
      </w:r>
    </w:p>
    <w:p w14:paraId="0ADFD148" w14:textId="2B98D9F0" w:rsidR="00976863" w:rsidRDefault="00E973B9"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B3628">
        <w:rPr>
          <w:rFonts w:ascii="Times New Roman" w:hAnsi="Times New Roman" w:cs="Times New Roman"/>
          <w:sz w:val="24"/>
          <w:szCs w:val="24"/>
        </w:rPr>
        <w:t>3</w:t>
      </w:r>
      <w:r w:rsidR="005E4141">
        <w:rPr>
          <w:rFonts w:ascii="Times New Roman" w:hAnsi="Times New Roman" w:cs="Times New Roman"/>
          <w:sz w:val="24"/>
          <w:szCs w:val="24"/>
        </w:rPr>
        <w:t>]</w:t>
      </w:r>
      <w:r w:rsidR="00976863">
        <w:rPr>
          <w:rFonts w:ascii="Times New Roman" w:hAnsi="Times New Roman" w:cs="Times New Roman"/>
          <w:sz w:val="24"/>
          <w:szCs w:val="24"/>
        </w:rPr>
        <w:t xml:space="preserve"> By </w:t>
      </w:r>
      <w:r w:rsidR="00AB6D02">
        <w:rPr>
          <w:rFonts w:ascii="Times New Roman" w:hAnsi="Times New Roman" w:cs="Times New Roman"/>
          <w:sz w:val="24"/>
          <w:szCs w:val="24"/>
        </w:rPr>
        <w:t xml:space="preserve">paragraph 2 </w:t>
      </w:r>
      <w:r w:rsidR="00303F63">
        <w:rPr>
          <w:rFonts w:ascii="Times New Roman" w:hAnsi="Times New Roman" w:cs="Times New Roman"/>
          <w:sz w:val="24"/>
          <w:szCs w:val="24"/>
        </w:rPr>
        <w:t xml:space="preserve">of </w:t>
      </w:r>
      <w:r w:rsidR="006D6B3A">
        <w:rPr>
          <w:rFonts w:ascii="Times New Roman" w:hAnsi="Times New Roman" w:cs="Times New Roman"/>
          <w:sz w:val="24"/>
          <w:szCs w:val="24"/>
        </w:rPr>
        <w:t xml:space="preserve">Directive </w:t>
      </w:r>
      <w:r w:rsidR="00303F63">
        <w:rPr>
          <w:rFonts w:ascii="Times New Roman" w:hAnsi="Times New Roman" w:cs="Times New Roman"/>
          <w:sz w:val="24"/>
          <w:szCs w:val="24"/>
        </w:rPr>
        <w:t>RT120/18,</w:t>
      </w:r>
      <w:r w:rsidR="00976863">
        <w:rPr>
          <w:rFonts w:ascii="Times New Roman" w:hAnsi="Times New Roman" w:cs="Times New Roman"/>
          <w:sz w:val="24"/>
          <w:szCs w:val="24"/>
        </w:rPr>
        <w:t xml:space="preserve"> the RBZ instructed all banks to </w:t>
      </w:r>
      <w:r w:rsidR="00AB6D02">
        <w:rPr>
          <w:rFonts w:ascii="Times New Roman" w:hAnsi="Times New Roman" w:cs="Times New Roman"/>
          <w:sz w:val="24"/>
          <w:szCs w:val="24"/>
        </w:rPr>
        <w:t xml:space="preserve">undertake a </w:t>
      </w:r>
      <w:r w:rsidR="00D14CF2">
        <w:rPr>
          <w:rFonts w:ascii="Times New Roman" w:hAnsi="Times New Roman" w:cs="Times New Roman"/>
          <w:sz w:val="24"/>
          <w:szCs w:val="24"/>
        </w:rPr>
        <w:t>redesignation o</w:t>
      </w:r>
      <w:r w:rsidR="00AB6D02">
        <w:rPr>
          <w:rFonts w:ascii="Times New Roman" w:hAnsi="Times New Roman" w:cs="Times New Roman"/>
          <w:sz w:val="24"/>
          <w:szCs w:val="24"/>
        </w:rPr>
        <w:t>f foreign currency accounts (“FCAs”) based on source of deposits.</w:t>
      </w:r>
      <w:r w:rsidR="00976863">
        <w:rPr>
          <w:rFonts w:ascii="Times New Roman" w:hAnsi="Times New Roman" w:cs="Times New Roman"/>
          <w:sz w:val="24"/>
          <w:szCs w:val="24"/>
        </w:rPr>
        <w:t xml:space="preserve"> Magic Software’s account, being constituted by on-shore deposits from Tel-One, was </w:t>
      </w:r>
      <w:r w:rsidR="00AB6D02">
        <w:rPr>
          <w:rFonts w:ascii="Times New Roman" w:hAnsi="Times New Roman" w:cs="Times New Roman"/>
          <w:sz w:val="24"/>
          <w:szCs w:val="24"/>
        </w:rPr>
        <w:t>designated a</w:t>
      </w:r>
      <w:r w:rsidR="00D14CF2">
        <w:rPr>
          <w:rFonts w:ascii="Times New Roman" w:hAnsi="Times New Roman" w:cs="Times New Roman"/>
          <w:sz w:val="24"/>
          <w:szCs w:val="24"/>
        </w:rPr>
        <w:t xml:space="preserve">n RTGS </w:t>
      </w:r>
      <w:r w:rsidR="00AB6D02">
        <w:rPr>
          <w:rFonts w:ascii="Times New Roman" w:hAnsi="Times New Roman" w:cs="Times New Roman"/>
          <w:sz w:val="24"/>
          <w:szCs w:val="24"/>
        </w:rPr>
        <w:t xml:space="preserve">FCA account. </w:t>
      </w:r>
      <w:r w:rsidR="00976863">
        <w:rPr>
          <w:rFonts w:ascii="Times New Roman" w:hAnsi="Times New Roman" w:cs="Times New Roman"/>
          <w:sz w:val="24"/>
          <w:szCs w:val="24"/>
        </w:rPr>
        <w:t xml:space="preserve">The result was that </w:t>
      </w:r>
      <w:r w:rsidR="00303F63">
        <w:rPr>
          <w:rFonts w:ascii="Times New Roman" w:hAnsi="Times New Roman" w:cs="Times New Roman"/>
          <w:sz w:val="24"/>
          <w:szCs w:val="24"/>
        </w:rPr>
        <w:t>the funds</w:t>
      </w:r>
      <w:r w:rsidR="008D67D8">
        <w:rPr>
          <w:rFonts w:ascii="Times New Roman" w:hAnsi="Times New Roman" w:cs="Times New Roman"/>
          <w:sz w:val="24"/>
          <w:szCs w:val="24"/>
        </w:rPr>
        <w:t xml:space="preserve"> were </w:t>
      </w:r>
      <w:r w:rsidR="00303F63">
        <w:rPr>
          <w:rFonts w:ascii="Times New Roman" w:hAnsi="Times New Roman" w:cs="Times New Roman"/>
          <w:sz w:val="24"/>
          <w:szCs w:val="24"/>
        </w:rPr>
        <w:t>all but de</w:t>
      </w:r>
      <w:r w:rsidR="008D67D8">
        <w:rPr>
          <w:rFonts w:ascii="Times New Roman" w:hAnsi="Times New Roman" w:cs="Times New Roman"/>
          <w:sz w:val="24"/>
          <w:szCs w:val="24"/>
        </w:rPr>
        <w:t>nominated as</w:t>
      </w:r>
      <w:r w:rsidR="00303F63">
        <w:rPr>
          <w:rFonts w:ascii="Times New Roman" w:hAnsi="Times New Roman" w:cs="Times New Roman"/>
          <w:sz w:val="24"/>
          <w:szCs w:val="24"/>
        </w:rPr>
        <w:t xml:space="preserve"> a local currency [ see more on this below</w:t>
      </w:r>
      <w:r w:rsidR="005F5C7C">
        <w:rPr>
          <w:rFonts w:ascii="Times New Roman" w:hAnsi="Times New Roman" w:cs="Times New Roman"/>
          <w:sz w:val="24"/>
          <w:szCs w:val="24"/>
        </w:rPr>
        <w:t>]. As</w:t>
      </w:r>
      <w:r w:rsidR="008D67D8">
        <w:rPr>
          <w:rFonts w:ascii="Times New Roman" w:hAnsi="Times New Roman" w:cs="Times New Roman"/>
          <w:sz w:val="24"/>
          <w:szCs w:val="24"/>
        </w:rPr>
        <w:t xml:space="preserve"> </w:t>
      </w:r>
      <w:r w:rsidR="005F5C7C">
        <w:rPr>
          <w:rFonts w:ascii="Times New Roman" w:hAnsi="Times New Roman" w:cs="Times New Roman"/>
          <w:sz w:val="24"/>
          <w:szCs w:val="24"/>
        </w:rPr>
        <w:t xml:space="preserve">such, Magic Software was unable to repatriate </w:t>
      </w:r>
      <w:r w:rsidR="008D67D8">
        <w:rPr>
          <w:rFonts w:ascii="Times New Roman" w:hAnsi="Times New Roman" w:cs="Times New Roman"/>
          <w:sz w:val="24"/>
          <w:szCs w:val="24"/>
        </w:rPr>
        <w:t xml:space="preserve">the </w:t>
      </w:r>
      <w:r w:rsidR="005F5C7C">
        <w:rPr>
          <w:rFonts w:ascii="Times New Roman" w:hAnsi="Times New Roman" w:cs="Times New Roman"/>
          <w:sz w:val="24"/>
          <w:szCs w:val="24"/>
        </w:rPr>
        <w:t>money when it attempted to do so in June 2019</w:t>
      </w:r>
      <w:r w:rsidR="0077339D">
        <w:rPr>
          <w:rFonts w:ascii="Times New Roman" w:hAnsi="Times New Roman" w:cs="Times New Roman"/>
          <w:sz w:val="24"/>
          <w:szCs w:val="24"/>
        </w:rPr>
        <w:t xml:space="preserve">. They </w:t>
      </w:r>
      <w:r w:rsidR="005F5C7C">
        <w:rPr>
          <w:rFonts w:ascii="Times New Roman" w:hAnsi="Times New Roman" w:cs="Times New Roman"/>
          <w:sz w:val="24"/>
          <w:szCs w:val="24"/>
        </w:rPr>
        <w:t xml:space="preserve">account balances </w:t>
      </w:r>
      <w:r w:rsidR="0077339D">
        <w:rPr>
          <w:rFonts w:ascii="Times New Roman" w:hAnsi="Times New Roman" w:cs="Times New Roman"/>
          <w:sz w:val="24"/>
          <w:szCs w:val="24"/>
        </w:rPr>
        <w:t xml:space="preserve">became </w:t>
      </w:r>
      <w:r w:rsidR="006D6B3A">
        <w:rPr>
          <w:rFonts w:ascii="Times New Roman" w:hAnsi="Times New Roman" w:cs="Times New Roman"/>
          <w:sz w:val="24"/>
          <w:szCs w:val="24"/>
        </w:rPr>
        <w:t xml:space="preserve">what was </w:t>
      </w:r>
      <w:r w:rsidR="0077339D">
        <w:rPr>
          <w:rFonts w:ascii="Times New Roman" w:hAnsi="Times New Roman" w:cs="Times New Roman"/>
          <w:sz w:val="24"/>
          <w:szCs w:val="24"/>
        </w:rPr>
        <w:t>known as “blocked funds”.</w:t>
      </w:r>
    </w:p>
    <w:p w14:paraId="5EE875E3" w14:textId="69DBDF49" w:rsidR="0077339D" w:rsidRDefault="00976863"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F6C4D">
        <w:rPr>
          <w:rFonts w:ascii="Times New Roman" w:hAnsi="Times New Roman" w:cs="Times New Roman"/>
          <w:sz w:val="24"/>
          <w:szCs w:val="24"/>
        </w:rPr>
        <w:t>1</w:t>
      </w:r>
      <w:r w:rsidR="00EB3628">
        <w:rPr>
          <w:rFonts w:ascii="Times New Roman" w:hAnsi="Times New Roman" w:cs="Times New Roman"/>
          <w:sz w:val="24"/>
          <w:szCs w:val="24"/>
        </w:rPr>
        <w:t>4</w:t>
      </w:r>
      <w:r>
        <w:rPr>
          <w:rFonts w:ascii="Times New Roman" w:hAnsi="Times New Roman" w:cs="Times New Roman"/>
          <w:sz w:val="24"/>
          <w:szCs w:val="24"/>
        </w:rPr>
        <w:t>]</w:t>
      </w:r>
      <w:r w:rsidR="00FF1548">
        <w:rPr>
          <w:rFonts w:ascii="Times New Roman" w:hAnsi="Times New Roman" w:cs="Times New Roman"/>
          <w:sz w:val="24"/>
          <w:szCs w:val="24"/>
        </w:rPr>
        <w:t xml:space="preserve"> </w:t>
      </w:r>
      <w:r w:rsidR="006D6B3A">
        <w:rPr>
          <w:rFonts w:ascii="Times New Roman" w:hAnsi="Times New Roman" w:cs="Times New Roman"/>
          <w:sz w:val="24"/>
          <w:szCs w:val="24"/>
        </w:rPr>
        <w:t>S</w:t>
      </w:r>
      <w:r w:rsidR="00FF1548">
        <w:rPr>
          <w:rFonts w:ascii="Times New Roman" w:hAnsi="Times New Roman" w:cs="Times New Roman"/>
          <w:sz w:val="24"/>
          <w:szCs w:val="24"/>
        </w:rPr>
        <w:t xml:space="preserve">everal attempts at parley </w:t>
      </w:r>
      <w:r w:rsidR="006D6B3A">
        <w:rPr>
          <w:rFonts w:ascii="Times New Roman" w:hAnsi="Times New Roman" w:cs="Times New Roman"/>
          <w:sz w:val="24"/>
          <w:szCs w:val="24"/>
        </w:rPr>
        <w:t xml:space="preserve">occurred </w:t>
      </w:r>
      <w:r w:rsidR="00FF1548">
        <w:rPr>
          <w:rFonts w:ascii="Times New Roman" w:hAnsi="Times New Roman" w:cs="Times New Roman"/>
          <w:sz w:val="24"/>
          <w:szCs w:val="24"/>
        </w:rPr>
        <w:t xml:space="preserve">between Magic Software, Nedbank, Tel-One and the RBZ </w:t>
      </w:r>
      <w:r w:rsidR="006D6B3A">
        <w:rPr>
          <w:rFonts w:ascii="Times New Roman" w:hAnsi="Times New Roman" w:cs="Times New Roman"/>
          <w:sz w:val="24"/>
          <w:szCs w:val="24"/>
        </w:rPr>
        <w:t xml:space="preserve">in a bid to </w:t>
      </w:r>
      <w:r w:rsidR="00F32BE3">
        <w:rPr>
          <w:rFonts w:ascii="Times New Roman" w:hAnsi="Times New Roman" w:cs="Times New Roman"/>
          <w:sz w:val="24"/>
          <w:szCs w:val="24"/>
        </w:rPr>
        <w:t xml:space="preserve">secure the release and repatriation </w:t>
      </w:r>
      <w:r>
        <w:rPr>
          <w:rFonts w:ascii="Times New Roman" w:hAnsi="Times New Roman" w:cs="Times New Roman"/>
          <w:sz w:val="24"/>
          <w:szCs w:val="24"/>
        </w:rPr>
        <w:t xml:space="preserve">of these </w:t>
      </w:r>
      <w:r w:rsidR="0077339D">
        <w:rPr>
          <w:rFonts w:ascii="Times New Roman" w:hAnsi="Times New Roman" w:cs="Times New Roman"/>
          <w:sz w:val="24"/>
          <w:szCs w:val="24"/>
        </w:rPr>
        <w:t xml:space="preserve">blocked </w:t>
      </w:r>
      <w:r>
        <w:rPr>
          <w:rFonts w:ascii="Times New Roman" w:hAnsi="Times New Roman" w:cs="Times New Roman"/>
          <w:sz w:val="24"/>
          <w:szCs w:val="24"/>
        </w:rPr>
        <w:t>funds</w:t>
      </w:r>
      <w:r w:rsidR="00F32BE3">
        <w:rPr>
          <w:rFonts w:ascii="Times New Roman" w:hAnsi="Times New Roman" w:cs="Times New Roman"/>
          <w:sz w:val="24"/>
          <w:szCs w:val="24"/>
        </w:rPr>
        <w:t xml:space="preserve">. </w:t>
      </w:r>
      <w:r w:rsidR="006D6B3A">
        <w:rPr>
          <w:rFonts w:ascii="Times New Roman" w:hAnsi="Times New Roman" w:cs="Times New Roman"/>
          <w:sz w:val="24"/>
          <w:szCs w:val="24"/>
        </w:rPr>
        <w:t xml:space="preserve">These </w:t>
      </w:r>
      <w:r w:rsidR="00A32551">
        <w:rPr>
          <w:rFonts w:ascii="Times New Roman" w:hAnsi="Times New Roman" w:cs="Times New Roman"/>
          <w:sz w:val="24"/>
          <w:szCs w:val="24"/>
        </w:rPr>
        <w:t>efforts included</w:t>
      </w:r>
      <w:r w:rsidR="00FF1548">
        <w:rPr>
          <w:rFonts w:ascii="Times New Roman" w:hAnsi="Times New Roman" w:cs="Times New Roman"/>
          <w:sz w:val="24"/>
          <w:szCs w:val="24"/>
        </w:rPr>
        <w:t xml:space="preserve"> a formal application to the RBZ</w:t>
      </w:r>
      <w:r w:rsidR="00A32551">
        <w:rPr>
          <w:rFonts w:ascii="Times New Roman" w:hAnsi="Times New Roman" w:cs="Times New Roman"/>
          <w:sz w:val="24"/>
          <w:szCs w:val="24"/>
        </w:rPr>
        <w:t xml:space="preserve"> for authority to release the funds</w:t>
      </w:r>
      <w:r w:rsidR="00FF1548">
        <w:rPr>
          <w:rFonts w:ascii="Times New Roman" w:hAnsi="Times New Roman" w:cs="Times New Roman"/>
          <w:sz w:val="24"/>
          <w:szCs w:val="24"/>
        </w:rPr>
        <w:t>.</w:t>
      </w:r>
      <w:r w:rsidR="005E61CA">
        <w:rPr>
          <w:rFonts w:ascii="Times New Roman" w:hAnsi="Times New Roman" w:cs="Times New Roman"/>
          <w:sz w:val="24"/>
          <w:szCs w:val="24"/>
        </w:rPr>
        <w:t xml:space="preserve"> </w:t>
      </w:r>
    </w:p>
    <w:p w14:paraId="5D76A5DF" w14:textId="5E9B971D" w:rsidR="00B7007A" w:rsidRDefault="0077339D"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A32551">
        <w:rPr>
          <w:rFonts w:ascii="Times New Roman" w:hAnsi="Times New Roman" w:cs="Times New Roman"/>
          <w:sz w:val="24"/>
          <w:szCs w:val="24"/>
        </w:rPr>
        <w:t>5</w:t>
      </w:r>
      <w:r>
        <w:rPr>
          <w:rFonts w:ascii="Times New Roman" w:hAnsi="Times New Roman" w:cs="Times New Roman"/>
          <w:sz w:val="24"/>
          <w:szCs w:val="24"/>
        </w:rPr>
        <w:t xml:space="preserve">] </w:t>
      </w:r>
      <w:r w:rsidR="00324C0A">
        <w:rPr>
          <w:rFonts w:ascii="Times New Roman" w:hAnsi="Times New Roman" w:cs="Times New Roman"/>
          <w:sz w:val="24"/>
          <w:szCs w:val="24"/>
        </w:rPr>
        <w:t xml:space="preserve">I may also point out that Magic Software`s objective during those engagements was </w:t>
      </w:r>
      <w:r w:rsidR="00023969">
        <w:rPr>
          <w:rFonts w:ascii="Times New Roman" w:hAnsi="Times New Roman" w:cs="Times New Roman"/>
          <w:sz w:val="24"/>
          <w:szCs w:val="24"/>
        </w:rPr>
        <w:t>never to</w:t>
      </w:r>
      <w:r w:rsidR="00324C0A">
        <w:rPr>
          <w:rFonts w:ascii="Times New Roman" w:hAnsi="Times New Roman" w:cs="Times New Roman"/>
          <w:sz w:val="24"/>
          <w:szCs w:val="24"/>
        </w:rPr>
        <w:t xml:space="preserve"> contest the redesignation, by RT120/18, of its escrow account at Nedbank, as a local RTGS FCA account. </w:t>
      </w:r>
      <w:r w:rsidR="00023969">
        <w:rPr>
          <w:rFonts w:ascii="Times New Roman" w:hAnsi="Times New Roman" w:cs="Times New Roman"/>
          <w:sz w:val="24"/>
          <w:szCs w:val="24"/>
        </w:rPr>
        <w:t xml:space="preserve">It merely sought a release of the blocked </w:t>
      </w:r>
      <w:r w:rsidR="00FF1548">
        <w:rPr>
          <w:rFonts w:ascii="Times New Roman" w:hAnsi="Times New Roman" w:cs="Times New Roman"/>
          <w:sz w:val="24"/>
          <w:szCs w:val="24"/>
        </w:rPr>
        <w:t>funds. That</w:t>
      </w:r>
      <w:r>
        <w:rPr>
          <w:rFonts w:ascii="Times New Roman" w:hAnsi="Times New Roman" w:cs="Times New Roman"/>
          <w:sz w:val="24"/>
          <w:szCs w:val="24"/>
        </w:rPr>
        <w:t xml:space="preserve"> aside, </w:t>
      </w:r>
      <w:r w:rsidR="00324C0A">
        <w:rPr>
          <w:rFonts w:ascii="Times New Roman" w:hAnsi="Times New Roman" w:cs="Times New Roman"/>
          <w:sz w:val="24"/>
          <w:szCs w:val="24"/>
        </w:rPr>
        <w:t xml:space="preserve">the RBZ rejected </w:t>
      </w:r>
      <w:r>
        <w:rPr>
          <w:rFonts w:ascii="Times New Roman" w:hAnsi="Times New Roman" w:cs="Times New Roman"/>
          <w:sz w:val="24"/>
          <w:szCs w:val="24"/>
        </w:rPr>
        <w:lastRenderedPageBreak/>
        <w:t xml:space="preserve">Magic Software`s pleas for exemption </w:t>
      </w:r>
      <w:r w:rsidR="00324C0A">
        <w:rPr>
          <w:rFonts w:ascii="Times New Roman" w:hAnsi="Times New Roman" w:cs="Times New Roman"/>
          <w:sz w:val="24"/>
          <w:szCs w:val="24"/>
        </w:rPr>
        <w:t xml:space="preserve">and advised </w:t>
      </w:r>
      <w:r w:rsidR="00023969">
        <w:rPr>
          <w:rFonts w:ascii="Times New Roman" w:hAnsi="Times New Roman" w:cs="Times New Roman"/>
          <w:sz w:val="24"/>
          <w:szCs w:val="24"/>
        </w:rPr>
        <w:t>as follows,</w:t>
      </w:r>
      <w:r w:rsidR="00324C0A">
        <w:rPr>
          <w:rFonts w:ascii="Times New Roman" w:hAnsi="Times New Roman" w:cs="Times New Roman"/>
          <w:sz w:val="24"/>
          <w:szCs w:val="24"/>
        </w:rPr>
        <w:t xml:space="preserve"> in a letter </w:t>
      </w:r>
      <w:r w:rsidR="00023969">
        <w:rPr>
          <w:rFonts w:ascii="Times New Roman" w:hAnsi="Times New Roman" w:cs="Times New Roman"/>
          <w:sz w:val="24"/>
          <w:szCs w:val="24"/>
        </w:rPr>
        <w:t xml:space="preserve">addressed to Nedbank on </w:t>
      </w:r>
      <w:r w:rsidR="00B7007A">
        <w:rPr>
          <w:rFonts w:ascii="Times New Roman" w:hAnsi="Times New Roman" w:cs="Times New Roman"/>
          <w:sz w:val="24"/>
          <w:szCs w:val="24"/>
        </w:rPr>
        <w:t>6 September 2021</w:t>
      </w:r>
      <w:r w:rsidR="001F75D9">
        <w:rPr>
          <w:rFonts w:ascii="Times New Roman" w:hAnsi="Times New Roman" w:cs="Times New Roman"/>
          <w:sz w:val="24"/>
          <w:szCs w:val="24"/>
        </w:rPr>
        <w:t>; -</w:t>
      </w:r>
    </w:p>
    <w:p w14:paraId="355407B4" w14:textId="084D64A3" w:rsidR="001F75D9" w:rsidRDefault="001F75D9" w:rsidP="001F75D9">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We advise that Exchange Control is not agreeable to the registration of the blocked funds amounting to US$2,285,000 due to the following reason (s):</w:t>
      </w:r>
    </w:p>
    <w:p w14:paraId="3F7F8A84" w14:textId="435DAC46" w:rsidR="001F75D9" w:rsidRPr="001F75D9" w:rsidRDefault="001F75D9" w:rsidP="001F75D9">
      <w:pPr>
        <w:pStyle w:val="ListParagraph"/>
        <w:numPr>
          <w:ilvl w:val="0"/>
          <w:numId w:val="4"/>
        </w:numPr>
        <w:spacing w:line="360" w:lineRule="auto"/>
        <w:jc w:val="both"/>
        <w:rPr>
          <w:rFonts w:ascii="Times New Roman" w:hAnsi="Times New Roman" w:cs="Times New Roman"/>
          <w:sz w:val="24"/>
          <w:szCs w:val="24"/>
        </w:rPr>
      </w:pPr>
      <w:r w:rsidRPr="001F75D9">
        <w:rPr>
          <w:rFonts w:ascii="Times New Roman" w:hAnsi="Times New Roman" w:cs="Times New Roman"/>
          <w:sz w:val="24"/>
          <w:szCs w:val="24"/>
        </w:rPr>
        <w:t>The non-resident account held by the applicant is not sanctioned by Exchange Control;</w:t>
      </w:r>
    </w:p>
    <w:p w14:paraId="4A1DBA0A" w14:textId="3D6D4365" w:rsidR="001F75D9" w:rsidRPr="001F75D9" w:rsidRDefault="001F75D9" w:rsidP="001F75D9">
      <w:pPr>
        <w:pStyle w:val="ListParagraph"/>
        <w:numPr>
          <w:ilvl w:val="0"/>
          <w:numId w:val="4"/>
        </w:numPr>
        <w:spacing w:line="360" w:lineRule="auto"/>
        <w:jc w:val="both"/>
        <w:rPr>
          <w:rFonts w:ascii="Times New Roman" w:hAnsi="Times New Roman" w:cs="Times New Roman"/>
          <w:sz w:val="24"/>
          <w:szCs w:val="24"/>
        </w:rPr>
      </w:pPr>
      <w:r w:rsidRPr="001F75D9">
        <w:rPr>
          <w:rFonts w:ascii="Times New Roman" w:hAnsi="Times New Roman" w:cs="Times New Roman"/>
          <w:sz w:val="24"/>
          <w:szCs w:val="24"/>
        </w:rPr>
        <w:t>The appeal is premised on the failure by Nedbank to properly advise the client of which Nedbank did not neither (sic) accept nor deny the issues raised by the applicant; and</w:t>
      </w:r>
    </w:p>
    <w:p w14:paraId="76D02551" w14:textId="72B59CE4" w:rsidR="00B7007A" w:rsidRPr="00CF6C4D" w:rsidRDefault="001F75D9" w:rsidP="008E65A8">
      <w:pPr>
        <w:pStyle w:val="ListParagraph"/>
        <w:numPr>
          <w:ilvl w:val="0"/>
          <w:numId w:val="4"/>
        </w:numPr>
        <w:spacing w:line="360" w:lineRule="auto"/>
        <w:jc w:val="both"/>
        <w:rPr>
          <w:rFonts w:ascii="Times New Roman" w:hAnsi="Times New Roman" w:cs="Times New Roman"/>
          <w:sz w:val="24"/>
          <w:szCs w:val="24"/>
        </w:rPr>
      </w:pPr>
      <w:r w:rsidRPr="00CF6C4D">
        <w:rPr>
          <w:rFonts w:ascii="Times New Roman" w:hAnsi="Times New Roman" w:cs="Times New Roman"/>
          <w:sz w:val="24"/>
          <w:szCs w:val="24"/>
        </w:rPr>
        <w:t>The amount claimed of US$2,285,000 is not consistent with the balance of US$1,996 723,02 in the non-resident account as of 21 February 2019.”</w:t>
      </w:r>
    </w:p>
    <w:p w14:paraId="044D2FEA" w14:textId="03942CE9" w:rsidR="008C07FA" w:rsidRDefault="00CF6C4D"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A32551">
        <w:rPr>
          <w:rFonts w:ascii="Times New Roman" w:hAnsi="Times New Roman" w:cs="Times New Roman"/>
          <w:sz w:val="24"/>
          <w:szCs w:val="24"/>
        </w:rPr>
        <w:t>6</w:t>
      </w:r>
      <w:r>
        <w:rPr>
          <w:rFonts w:ascii="Times New Roman" w:hAnsi="Times New Roman" w:cs="Times New Roman"/>
          <w:sz w:val="24"/>
          <w:szCs w:val="24"/>
        </w:rPr>
        <w:t>]</w:t>
      </w:r>
      <w:r w:rsidR="00324C0A">
        <w:rPr>
          <w:rFonts w:ascii="Times New Roman" w:hAnsi="Times New Roman" w:cs="Times New Roman"/>
          <w:sz w:val="24"/>
          <w:szCs w:val="24"/>
        </w:rPr>
        <w:t xml:space="preserve"> </w:t>
      </w:r>
      <w:r>
        <w:rPr>
          <w:rFonts w:ascii="Times New Roman" w:hAnsi="Times New Roman" w:cs="Times New Roman"/>
          <w:sz w:val="24"/>
          <w:szCs w:val="24"/>
        </w:rPr>
        <w:t>Magic Software indicate</w:t>
      </w:r>
      <w:r w:rsidR="00313CFE">
        <w:rPr>
          <w:rFonts w:ascii="Times New Roman" w:hAnsi="Times New Roman" w:cs="Times New Roman"/>
          <w:sz w:val="24"/>
          <w:szCs w:val="24"/>
        </w:rPr>
        <w:t>d that</w:t>
      </w:r>
      <w:r w:rsidR="003E0ED1">
        <w:rPr>
          <w:rFonts w:ascii="Times New Roman" w:hAnsi="Times New Roman" w:cs="Times New Roman"/>
          <w:sz w:val="24"/>
          <w:szCs w:val="24"/>
        </w:rPr>
        <w:t>,</w:t>
      </w:r>
      <w:r w:rsidR="00313CFE">
        <w:rPr>
          <w:rFonts w:ascii="Times New Roman" w:hAnsi="Times New Roman" w:cs="Times New Roman"/>
          <w:sz w:val="24"/>
          <w:szCs w:val="24"/>
        </w:rPr>
        <w:t xml:space="preserve"> as at the time of filing present application, it had an appeal pending against the Exchange Control ruling. It is not clear whether it had appealed this particular ruling of 6 September 2020, or </w:t>
      </w:r>
      <w:r w:rsidR="000B7021">
        <w:rPr>
          <w:rFonts w:ascii="Times New Roman" w:hAnsi="Times New Roman" w:cs="Times New Roman"/>
          <w:sz w:val="24"/>
          <w:szCs w:val="24"/>
        </w:rPr>
        <w:t xml:space="preserve">other rulings in </w:t>
      </w:r>
      <w:r w:rsidR="00313CFE">
        <w:rPr>
          <w:rFonts w:ascii="Times New Roman" w:hAnsi="Times New Roman" w:cs="Times New Roman"/>
          <w:sz w:val="24"/>
          <w:szCs w:val="24"/>
        </w:rPr>
        <w:t>communicat</w:t>
      </w:r>
      <w:r w:rsidR="005F5C7C">
        <w:rPr>
          <w:rFonts w:ascii="Times New Roman" w:hAnsi="Times New Roman" w:cs="Times New Roman"/>
          <w:sz w:val="24"/>
          <w:szCs w:val="24"/>
        </w:rPr>
        <w:t xml:space="preserve">ed to it by </w:t>
      </w:r>
      <w:r w:rsidR="00313CFE">
        <w:rPr>
          <w:rFonts w:ascii="Times New Roman" w:hAnsi="Times New Roman" w:cs="Times New Roman"/>
          <w:sz w:val="24"/>
          <w:szCs w:val="24"/>
        </w:rPr>
        <w:t>Nedbank`s Exchange Control Department</w:t>
      </w:r>
      <w:r w:rsidR="000B7021">
        <w:rPr>
          <w:rFonts w:ascii="Times New Roman" w:hAnsi="Times New Roman" w:cs="Times New Roman"/>
          <w:sz w:val="24"/>
          <w:szCs w:val="24"/>
        </w:rPr>
        <w:t xml:space="preserve"> </w:t>
      </w:r>
      <w:r w:rsidR="005F5C7C">
        <w:rPr>
          <w:rFonts w:ascii="Times New Roman" w:hAnsi="Times New Roman" w:cs="Times New Roman"/>
          <w:sz w:val="24"/>
          <w:szCs w:val="24"/>
        </w:rPr>
        <w:t xml:space="preserve">which also </w:t>
      </w:r>
      <w:r w:rsidR="000B7021">
        <w:rPr>
          <w:rFonts w:ascii="Times New Roman" w:hAnsi="Times New Roman" w:cs="Times New Roman"/>
          <w:sz w:val="24"/>
          <w:szCs w:val="24"/>
        </w:rPr>
        <w:t>forming part of the record</w:t>
      </w:r>
      <w:r w:rsidR="00313CFE">
        <w:rPr>
          <w:rFonts w:ascii="Times New Roman" w:hAnsi="Times New Roman" w:cs="Times New Roman"/>
          <w:sz w:val="24"/>
          <w:szCs w:val="24"/>
        </w:rPr>
        <w:t xml:space="preserve">. </w:t>
      </w:r>
    </w:p>
    <w:p w14:paraId="6AA91BF3" w14:textId="7CA1BFA5" w:rsidR="002A2D7A" w:rsidRDefault="008C07FA"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32551">
        <w:rPr>
          <w:rFonts w:ascii="Times New Roman" w:hAnsi="Times New Roman" w:cs="Times New Roman"/>
          <w:sz w:val="24"/>
          <w:szCs w:val="24"/>
        </w:rPr>
        <w:t>7</w:t>
      </w:r>
      <w:r>
        <w:rPr>
          <w:rFonts w:ascii="Times New Roman" w:hAnsi="Times New Roman" w:cs="Times New Roman"/>
          <w:sz w:val="24"/>
          <w:szCs w:val="24"/>
        </w:rPr>
        <w:t xml:space="preserve">] </w:t>
      </w:r>
      <w:r w:rsidR="000B7021">
        <w:rPr>
          <w:rFonts w:ascii="Times New Roman" w:hAnsi="Times New Roman" w:cs="Times New Roman"/>
          <w:sz w:val="24"/>
          <w:szCs w:val="24"/>
        </w:rPr>
        <w:t xml:space="preserve">What is clear </w:t>
      </w:r>
      <w:r w:rsidR="003E0ED1">
        <w:rPr>
          <w:rFonts w:ascii="Times New Roman" w:hAnsi="Times New Roman" w:cs="Times New Roman"/>
          <w:sz w:val="24"/>
          <w:szCs w:val="24"/>
        </w:rPr>
        <w:t xml:space="preserve">however, </w:t>
      </w:r>
      <w:r w:rsidR="000B7021">
        <w:rPr>
          <w:rFonts w:ascii="Times New Roman" w:hAnsi="Times New Roman" w:cs="Times New Roman"/>
          <w:sz w:val="24"/>
          <w:szCs w:val="24"/>
        </w:rPr>
        <w:t xml:space="preserve">is that Magic Software </w:t>
      </w:r>
      <w:r w:rsidR="002A2D7A">
        <w:rPr>
          <w:rFonts w:ascii="Times New Roman" w:hAnsi="Times New Roman" w:cs="Times New Roman"/>
          <w:sz w:val="24"/>
          <w:szCs w:val="24"/>
        </w:rPr>
        <w:t>have not approached the court under these proceedings</w:t>
      </w:r>
      <w:r w:rsidR="006B3BEE">
        <w:rPr>
          <w:rFonts w:ascii="Times New Roman" w:hAnsi="Times New Roman" w:cs="Times New Roman"/>
          <w:sz w:val="24"/>
          <w:szCs w:val="24"/>
        </w:rPr>
        <w:t>,</w:t>
      </w:r>
      <w:r w:rsidR="002A2D7A">
        <w:rPr>
          <w:rFonts w:ascii="Times New Roman" w:hAnsi="Times New Roman" w:cs="Times New Roman"/>
          <w:sz w:val="24"/>
          <w:szCs w:val="24"/>
        </w:rPr>
        <w:t xml:space="preserve"> to contest </w:t>
      </w:r>
      <w:r w:rsidR="005F5C7C">
        <w:rPr>
          <w:rFonts w:ascii="Times New Roman" w:hAnsi="Times New Roman" w:cs="Times New Roman"/>
          <w:sz w:val="24"/>
          <w:szCs w:val="24"/>
        </w:rPr>
        <w:t>n</w:t>
      </w:r>
      <w:r w:rsidR="002A2D7A">
        <w:rPr>
          <w:rFonts w:ascii="Times New Roman" w:hAnsi="Times New Roman" w:cs="Times New Roman"/>
          <w:sz w:val="24"/>
          <w:szCs w:val="24"/>
        </w:rPr>
        <w:t xml:space="preserve">or impeach the RBZ. Quite obvious too, that the RBZ </w:t>
      </w:r>
      <w:r w:rsidR="000B7021">
        <w:rPr>
          <w:rFonts w:ascii="Times New Roman" w:hAnsi="Times New Roman" w:cs="Times New Roman"/>
          <w:sz w:val="24"/>
          <w:szCs w:val="24"/>
        </w:rPr>
        <w:t xml:space="preserve">is </w:t>
      </w:r>
      <w:r w:rsidR="002A2D7A">
        <w:rPr>
          <w:rFonts w:ascii="Times New Roman" w:hAnsi="Times New Roman" w:cs="Times New Roman"/>
          <w:sz w:val="24"/>
          <w:szCs w:val="24"/>
        </w:rPr>
        <w:t xml:space="preserve">not </w:t>
      </w:r>
      <w:r w:rsidR="006B3BEE">
        <w:rPr>
          <w:rFonts w:ascii="Times New Roman" w:hAnsi="Times New Roman" w:cs="Times New Roman"/>
          <w:sz w:val="24"/>
          <w:szCs w:val="24"/>
        </w:rPr>
        <w:t>cited as</w:t>
      </w:r>
      <w:r w:rsidR="000B7021">
        <w:rPr>
          <w:rFonts w:ascii="Times New Roman" w:hAnsi="Times New Roman" w:cs="Times New Roman"/>
          <w:sz w:val="24"/>
          <w:szCs w:val="24"/>
        </w:rPr>
        <w:t xml:space="preserve"> a party to </w:t>
      </w:r>
      <w:r w:rsidR="002A2D7A">
        <w:rPr>
          <w:rFonts w:ascii="Times New Roman" w:hAnsi="Times New Roman" w:cs="Times New Roman"/>
          <w:sz w:val="24"/>
          <w:szCs w:val="24"/>
        </w:rPr>
        <w:t xml:space="preserve">these proceedings. </w:t>
      </w:r>
      <w:r w:rsidR="007B4EFB">
        <w:rPr>
          <w:rFonts w:ascii="Times New Roman" w:hAnsi="Times New Roman" w:cs="Times New Roman"/>
          <w:sz w:val="24"/>
          <w:szCs w:val="24"/>
        </w:rPr>
        <w:t xml:space="preserve">These </w:t>
      </w:r>
      <w:r w:rsidR="006B3BEE">
        <w:rPr>
          <w:rFonts w:ascii="Times New Roman" w:hAnsi="Times New Roman" w:cs="Times New Roman"/>
          <w:sz w:val="24"/>
          <w:szCs w:val="24"/>
        </w:rPr>
        <w:t xml:space="preserve">seemingly obvious </w:t>
      </w:r>
      <w:r w:rsidR="007B4EFB">
        <w:rPr>
          <w:rFonts w:ascii="Times New Roman" w:hAnsi="Times New Roman" w:cs="Times New Roman"/>
          <w:sz w:val="24"/>
          <w:szCs w:val="24"/>
        </w:rPr>
        <w:t xml:space="preserve">observations </w:t>
      </w:r>
      <w:r w:rsidR="006B3BEE">
        <w:rPr>
          <w:rFonts w:ascii="Times New Roman" w:hAnsi="Times New Roman" w:cs="Times New Roman"/>
          <w:sz w:val="24"/>
          <w:szCs w:val="24"/>
        </w:rPr>
        <w:t xml:space="preserve">are </w:t>
      </w:r>
      <w:r w:rsidR="007B4EFB">
        <w:rPr>
          <w:rFonts w:ascii="Times New Roman" w:hAnsi="Times New Roman" w:cs="Times New Roman"/>
          <w:sz w:val="24"/>
          <w:szCs w:val="24"/>
        </w:rPr>
        <w:t xml:space="preserve">necessitated </w:t>
      </w:r>
      <w:r w:rsidR="006B3BEE">
        <w:rPr>
          <w:rFonts w:ascii="Times New Roman" w:hAnsi="Times New Roman" w:cs="Times New Roman"/>
          <w:sz w:val="24"/>
          <w:szCs w:val="24"/>
        </w:rPr>
        <w:t xml:space="preserve">by the relief sought. Particularly </w:t>
      </w:r>
      <w:r w:rsidR="007B4EFB">
        <w:rPr>
          <w:rFonts w:ascii="Times New Roman" w:hAnsi="Times New Roman" w:cs="Times New Roman"/>
          <w:sz w:val="24"/>
          <w:szCs w:val="24"/>
        </w:rPr>
        <w:t>the prayer in paragraph 3 of Magic Software`s draft order.</w:t>
      </w:r>
    </w:p>
    <w:p w14:paraId="099D930B" w14:textId="6F425123" w:rsidR="00A32551" w:rsidRDefault="00A32551"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I may state that in its notice of opposition, Nedbank turned around to argue that the formal attempt to seek a release of the funds amounted to a waiver by Magic Software of </w:t>
      </w:r>
      <w:r w:rsidR="005F5C7C">
        <w:rPr>
          <w:rFonts w:ascii="Times New Roman" w:hAnsi="Times New Roman" w:cs="Times New Roman"/>
          <w:sz w:val="24"/>
          <w:szCs w:val="24"/>
        </w:rPr>
        <w:t xml:space="preserve">any </w:t>
      </w:r>
      <w:r>
        <w:rPr>
          <w:rFonts w:ascii="Times New Roman" w:hAnsi="Times New Roman" w:cs="Times New Roman"/>
          <w:sz w:val="24"/>
          <w:szCs w:val="24"/>
        </w:rPr>
        <w:t xml:space="preserve">rights </w:t>
      </w:r>
      <w:r w:rsidR="005F5C7C">
        <w:rPr>
          <w:rFonts w:ascii="Times New Roman" w:hAnsi="Times New Roman" w:cs="Times New Roman"/>
          <w:sz w:val="24"/>
          <w:szCs w:val="24"/>
        </w:rPr>
        <w:t xml:space="preserve">it may have had </w:t>
      </w:r>
      <w:r>
        <w:rPr>
          <w:rFonts w:ascii="Times New Roman" w:hAnsi="Times New Roman" w:cs="Times New Roman"/>
          <w:sz w:val="24"/>
          <w:szCs w:val="24"/>
        </w:rPr>
        <w:t>against Nedbank.  Magic Software disputed this conclusion. It raised further allegations of breach of duty by Nedbank. It stated that in the first place, the responsibility to register blocked funds with the RBZ lay with Nedbank itself in its capacity as the Exchange Control Authorised Dealer. This position was prescribed by RBZ Directives RU 28/19 and RU 102/19, so argued Magic Software.</w:t>
      </w:r>
    </w:p>
    <w:p w14:paraId="78BA099E" w14:textId="35EF3424" w:rsidR="0025012A" w:rsidRDefault="00A50138" w:rsidP="0025012A">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EB3628">
        <w:rPr>
          <w:rFonts w:ascii="Times New Roman" w:hAnsi="Times New Roman" w:cs="Times New Roman"/>
          <w:sz w:val="24"/>
          <w:szCs w:val="24"/>
        </w:rPr>
        <w:t>9</w:t>
      </w:r>
      <w:r>
        <w:rPr>
          <w:rFonts w:ascii="Times New Roman" w:hAnsi="Times New Roman" w:cs="Times New Roman"/>
          <w:sz w:val="24"/>
          <w:szCs w:val="24"/>
        </w:rPr>
        <w:t xml:space="preserve">] </w:t>
      </w:r>
      <w:r w:rsidR="00313CFE">
        <w:rPr>
          <w:rFonts w:ascii="Times New Roman" w:hAnsi="Times New Roman" w:cs="Times New Roman"/>
          <w:sz w:val="24"/>
          <w:szCs w:val="24"/>
        </w:rPr>
        <w:t xml:space="preserve">Nonetheless, </w:t>
      </w:r>
      <w:r w:rsidR="003B3587">
        <w:rPr>
          <w:rFonts w:ascii="Times New Roman" w:hAnsi="Times New Roman" w:cs="Times New Roman"/>
          <w:sz w:val="24"/>
          <w:szCs w:val="24"/>
        </w:rPr>
        <w:t xml:space="preserve">Magic Software`s </w:t>
      </w:r>
      <w:r w:rsidR="00324C0A">
        <w:rPr>
          <w:rFonts w:ascii="Times New Roman" w:hAnsi="Times New Roman" w:cs="Times New Roman"/>
          <w:sz w:val="24"/>
          <w:szCs w:val="24"/>
        </w:rPr>
        <w:t xml:space="preserve">present </w:t>
      </w:r>
      <w:r w:rsidR="003B3587">
        <w:rPr>
          <w:rFonts w:ascii="Times New Roman" w:hAnsi="Times New Roman" w:cs="Times New Roman"/>
          <w:sz w:val="24"/>
          <w:szCs w:val="24"/>
        </w:rPr>
        <w:t xml:space="preserve">claim is anchored </w:t>
      </w:r>
      <w:r>
        <w:rPr>
          <w:rFonts w:ascii="Times New Roman" w:hAnsi="Times New Roman" w:cs="Times New Roman"/>
          <w:sz w:val="24"/>
          <w:szCs w:val="24"/>
        </w:rPr>
        <w:t>firstly, on</w:t>
      </w:r>
      <w:r w:rsidR="003B3587">
        <w:rPr>
          <w:rFonts w:ascii="Times New Roman" w:hAnsi="Times New Roman" w:cs="Times New Roman"/>
          <w:sz w:val="24"/>
          <w:szCs w:val="24"/>
        </w:rPr>
        <w:t xml:space="preserve"> the contention that Directive RT120/18 did not, as alleged by Nedbank, convert </w:t>
      </w:r>
      <w:r w:rsidR="005E44C6">
        <w:rPr>
          <w:rFonts w:ascii="Times New Roman" w:hAnsi="Times New Roman" w:cs="Times New Roman"/>
          <w:sz w:val="24"/>
          <w:szCs w:val="24"/>
        </w:rPr>
        <w:t xml:space="preserve">its United States Dollar </w:t>
      </w:r>
      <w:r w:rsidR="003B3587">
        <w:rPr>
          <w:rFonts w:ascii="Times New Roman" w:hAnsi="Times New Roman" w:cs="Times New Roman"/>
          <w:sz w:val="24"/>
          <w:szCs w:val="24"/>
        </w:rPr>
        <w:t xml:space="preserve">balances in the escrow account into </w:t>
      </w:r>
      <w:r w:rsidR="005F5C7C">
        <w:rPr>
          <w:rFonts w:ascii="Times New Roman" w:hAnsi="Times New Roman" w:cs="Times New Roman"/>
          <w:sz w:val="24"/>
          <w:szCs w:val="24"/>
        </w:rPr>
        <w:t xml:space="preserve">local </w:t>
      </w:r>
      <w:r w:rsidR="003B3587">
        <w:rPr>
          <w:rFonts w:ascii="Times New Roman" w:hAnsi="Times New Roman" w:cs="Times New Roman"/>
          <w:sz w:val="24"/>
          <w:szCs w:val="24"/>
        </w:rPr>
        <w:t>RTGS</w:t>
      </w:r>
      <w:r w:rsidR="005F5C7C">
        <w:rPr>
          <w:rFonts w:ascii="Times New Roman" w:hAnsi="Times New Roman" w:cs="Times New Roman"/>
          <w:sz w:val="24"/>
          <w:szCs w:val="24"/>
        </w:rPr>
        <w:t xml:space="preserve"> dollars</w:t>
      </w:r>
      <w:r w:rsidR="003B3587">
        <w:rPr>
          <w:rFonts w:ascii="Times New Roman" w:hAnsi="Times New Roman" w:cs="Times New Roman"/>
          <w:sz w:val="24"/>
          <w:szCs w:val="24"/>
        </w:rPr>
        <w:t>.</w:t>
      </w:r>
      <w:r w:rsidR="005E44C6">
        <w:rPr>
          <w:rFonts w:ascii="Times New Roman" w:hAnsi="Times New Roman" w:cs="Times New Roman"/>
          <w:sz w:val="24"/>
          <w:szCs w:val="24"/>
        </w:rPr>
        <w:t xml:space="preserve"> As far as Magic Software was concern</w:t>
      </w:r>
      <w:r w:rsidR="003E0ED1">
        <w:rPr>
          <w:rFonts w:ascii="Times New Roman" w:hAnsi="Times New Roman" w:cs="Times New Roman"/>
          <w:sz w:val="24"/>
          <w:szCs w:val="24"/>
        </w:rPr>
        <w:t>ed</w:t>
      </w:r>
      <w:r w:rsidR="005E44C6">
        <w:rPr>
          <w:rFonts w:ascii="Times New Roman" w:hAnsi="Times New Roman" w:cs="Times New Roman"/>
          <w:sz w:val="24"/>
          <w:szCs w:val="24"/>
        </w:rPr>
        <w:t xml:space="preserve">, the balances in its </w:t>
      </w:r>
      <w:r w:rsidR="00CF6C4D">
        <w:rPr>
          <w:rFonts w:ascii="Times New Roman" w:hAnsi="Times New Roman" w:cs="Times New Roman"/>
          <w:sz w:val="24"/>
          <w:szCs w:val="24"/>
        </w:rPr>
        <w:t xml:space="preserve">account with Nedbank remained denominated in United States </w:t>
      </w:r>
      <w:r w:rsidR="00C97B59">
        <w:rPr>
          <w:rFonts w:ascii="Times New Roman" w:hAnsi="Times New Roman" w:cs="Times New Roman"/>
          <w:sz w:val="24"/>
          <w:szCs w:val="24"/>
        </w:rPr>
        <w:t xml:space="preserve">Dollars. </w:t>
      </w:r>
      <w:r w:rsidR="0025012A">
        <w:rPr>
          <w:rFonts w:ascii="Times New Roman" w:hAnsi="Times New Roman" w:cs="Times New Roman"/>
          <w:sz w:val="24"/>
          <w:szCs w:val="24"/>
        </w:rPr>
        <w:t xml:space="preserve">It </w:t>
      </w:r>
      <w:r w:rsidR="00023969">
        <w:rPr>
          <w:rFonts w:ascii="Times New Roman" w:hAnsi="Times New Roman" w:cs="Times New Roman"/>
          <w:sz w:val="24"/>
          <w:szCs w:val="24"/>
        </w:rPr>
        <w:t xml:space="preserve">was </w:t>
      </w:r>
      <w:r w:rsidR="00FF1548">
        <w:rPr>
          <w:rFonts w:ascii="Times New Roman" w:hAnsi="Times New Roman" w:cs="Times New Roman"/>
          <w:sz w:val="24"/>
          <w:szCs w:val="24"/>
        </w:rPr>
        <w:lastRenderedPageBreak/>
        <w:t>further argued</w:t>
      </w:r>
      <w:r w:rsidR="00023969">
        <w:rPr>
          <w:rFonts w:ascii="Times New Roman" w:hAnsi="Times New Roman" w:cs="Times New Roman"/>
          <w:sz w:val="24"/>
          <w:szCs w:val="24"/>
        </w:rPr>
        <w:t xml:space="preserve"> on its behalf</w:t>
      </w:r>
      <w:r w:rsidR="0025012A">
        <w:rPr>
          <w:rFonts w:ascii="Times New Roman" w:hAnsi="Times New Roman" w:cs="Times New Roman"/>
          <w:sz w:val="24"/>
          <w:szCs w:val="24"/>
        </w:rPr>
        <w:t xml:space="preserve"> that the conversion of currencies (from the previous multi-currency regime obtaining in Zimbabwe since 2009) to RTGS </w:t>
      </w:r>
      <w:r w:rsidR="005F5C7C">
        <w:rPr>
          <w:rFonts w:ascii="Times New Roman" w:hAnsi="Times New Roman" w:cs="Times New Roman"/>
          <w:sz w:val="24"/>
          <w:szCs w:val="24"/>
        </w:rPr>
        <w:t xml:space="preserve">dollars </w:t>
      </w:r>
      <w:r w:rsidR="0025012A">
        <w:rPr>
          <w:rFonts w:ascii="Times New Roman" w:hAnsi="Times New Roman" w:cs="Times New Roman"/>
          <w:sz w:val="24"/>
          <w:szCs w:val="24"/>
        </w:rPr>
        <w:t xml:space="preserve">at the rate of one-is-to-one only occurred </w:t>
      </w:r>
      <w:r w:rsidR="005F5C7C">
        <w:rPr>
          <w:rFonts w:ascii="Times New Roman" w:hAnsi="Times New Roman" w:cs="Times New Roman"/>
          <w:sz w:val="24"/>
          <w:szCs w:val="24"/>
        </w:rPr>
        <w:t xml:space="preserve">much later </w:t>
      </w:r>
      <w:r w:rsidR="0025012A">
        <w:rPr>
          <w:rFonts w:ascii="Times New Roman" w:hAnsi="Times New Roman" w:cs="Times New Roman"/>
          <w:sz w:val="24"/>
          <w:szCs w:val="24"/>
        </w:rPr>
        <w:t>on 22 February 2019.</w:t>
      </w:r>
      <w:r w:rsidR="0025012A" w:rsidRPr="00324C0A">
        <w:rPr>
          <w:rFonts w:ascii="Times New Roman" w:hAnsi="Times New Roman" w:cs="Times New Roman"/>
          <w:sz w:val="24"/>
          <w:szCs w:val="24"/>
        </w:rPr>
        <w:t xml:space="preserve"> </w:t>
      </w:r>
    </w:p>
    <w:p w14:paraId="1A05DED7" w14:textId="2F44C9C6" w:rsidR="00CF6C4D" w:rsidRDefault="0025012A"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[ 20] This being the date when the </w:t>
      </w:r>
      <w:r w:rsidRPr="00A32551">
        <w:rPr>
          <w:rFonts w:ascii="Times New Roman" w:hAnsi="Times New Roman" w:cs="Times New Roman"/>
          <w:sz w:val="24"/>
          <w:szCs w:val="24"/>
          <w:u w:val="single"/>
        </w:rPr>
        <w:t xml:space="preserve">Presidential Powers (Temporary Measures) (Amendment of Reserve Bank of Zimbabwe Act and Issue of Real Time Gross Settlement Electronic Dollars (RTGS Dollars)) Regulations, </w:t>
      </w:r>
      <w:r w:rsidRPr="003B3587">
        <w:rPr>
          <w:rFonts w:ascii="Times New Roman" w:hAnsi="Times New Roman" w:cs="Times New Roman"/>
          <w:sz w:val="24"/>
          <w:szCs w:val="24"/>
        </w:rPr>
        <w:t>2019 SI 33/19</w:t>
      </w:r>
      <w:r>
        <w:rPr>
          <w:rFonts w:ascii="Times New Roman" w:hAnsi="Times New Roman" w:cs="Times New Roman"/>
          <w:sz w:val="24"/>
          <w:szCs w:val="24"/>
        </w:rPr>
        <w:t xml:space="preserve"> (“SI 33/19”) came into effect. </w:t>
      </w:r>
    </w:p>
    <w:p w14:paraId="6196C793" w14:textId="081C8D3A" w:rsidR="0025012A" w:rsidRDefault="00CF6C4D"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B3628">
        <w:rPr>
          <w:rFonts w:ascii="Times New Roman" w:hAnsi="Times New Roman" w:cs="Times New Roman"/>
          <w:sz w:val="24"/>
          <w:szCs w:val="24"/>
        </w:rPr>
        <w:t>2</w:t>
      </w:r>
      <w:r w:rsidR="0025012A">
        <w:rPr>
          <w:rFonts w:ascii="Times New Roman" w:hAnsi="Times New Roman" w:cs="Times New Roman"/>
          <w:sz w:val="24"/>
          <w:szCs w:val="24"/>
        </w:rPr>
        <w:t>1</w:t>
      </w:r>
      <w:r>
        <w:rPr>
          <w:rFonts w:ascii="Times New Roman" w:hAnsi="Times New Roman" w:cs="Times New Roman"/>
          <w:sz w:val="24"/>
          <w:szCs w:val="24"/>
        </w:rPr>
        <w:t xml:space="preserve">] </w:t>
      </w:r>
      <w:r w:rsidR="00A50138">
        <w:rPr>
          <w:rFonts w:ascii="Times New Roman" w:hAnsi="Times New Roman" w:cs="Times New Roman"/>
          <w:sz w:val="24"/>
          <w:szCs w:val="24"/>
        </w:rPr>
        <w:t>Secondly, Magic</w:t>
      </w:r>
      <w:r w:rsidR="009B2721">
        <w:rPr>
          <w:rFonts w:ascii="Times New Roman" w:hAnsi="Times New Roman" w:cs="Times New Roman"/>
          <w:sz w:val="24"/>
          <w:szCs w:val="24"/>
        </w:rPr>
        <w:t xml:space="preserve"> Software </w:t>
      </w:r>
      <w:r w:rsidR="00023969">
        <w:rPr>
          <w:rFonts w:ascii="Times New Roman" w:hAnsi="Times New Roman" w:cs="Times New Roman"/>
          <w:sz w:val="24"/>
          <w:szCs w:val="24"/>
        </w:rPr>
        <w:t xml:space="preserve">contended </w:t>
      </w:r>
      <w:r w:rsidR="00FF1548">
        <w:rPr>
          <w:rFonts w:ascii="Times New Roman" w:hAnsi="Times New Roman" w:cs="Times New Roman"/>
          <w:sz w:val="24"/>
          <w:szCs w:val="24"/>
        </w:rPr>
        <w:t>that Nedbank</w:t>
      </w:r>
      <w:r w:rsidR="00A50138">
        <w:rPr>
          <w:rFonts w:ascii="Times New Roman" w:hAnsi="Times New Roman" w:cs="Times New Roman"/>
          <w:sz w:val="24"/>
          <w:szCs w:val="24"/>
        </w:rPr>
        <w:t xml:space="preserve"> was liable to restitute it to extent of the </w:t>
      </w:r>
      <w:r w:rsidR="005E44C6">
        <w:rPr>
          <w:rFonts w:ascii="Times New Roman" w:hAnsi="Times New Roman" w:cs="Times New Roman"/>
          <w:sz w:val="24"/>
          <w:szCs w:val="24"/>
        </w:rPr>
        <w:t xml:space="preserve">United States Dollar </w:t>
      </w:r>
      <w:r w:rsidR="00A50138">
        <w:rPr>
          <w:rFonts w:ascii="Times New Roman" w:hAnsi="Times New Roman" w:cs="Times New Roman"/>
          <w:sz w:val="24"/>
          <w:szCs w:val="24"/>
        </w:rPr>
        <w:t xml:space="preserve">value in the escrow account for </w:t>
      </w:r>
      <w:r w:rsidR="00324C0A">
        <w:rPr>
          <w:rFonts w:ascii="Times New Roman" w:hAnsi="Times New Roman" w:cs="Times New Roman"/>
          <w:sz w:val="24"/>
          <w:szCs w:val="24"/>
        </w:rPr>
        <w:t xml:space="preserve">breach of contract in that it (i) failed to advise Magic Software to </w:t>
      </w:r>
      <w:r w:rsidR="0025012A">
        <w:rPr>
          <w:rFonts w:ascii="Times New Roman" w:hAnsi="Times New Roman" w:cs="Times New Roman"/>
          <w:sz w:val="24"/>
          <w:szCs w:val="24"/>
        </w:rPr>
        <w:t>obtain</w:t>
      </w:r>
      <w:r w:rsidR="00324C0A">
        <w:rPr>
          <w:rFonts w:ascii="Times New Roman" w:hAnsi="Times New Roman" w:cs="Times New Roman"/>
          <w:sz w:val="24"/>
          <w:szCs w:val="24"/>
        </w:rPr>
        <w:t xml:space="preserve"> Exchange Control approval prior to opening the escrow account and (ii) neglected to timeously </w:t>
      </w:r>
      <w:r w:rsidR="0025012A">
        <w:rPr>
          <w:rFonts w:ascii="Times New Roman" w:hAnsi="Times New Roman" w:cs="Times New Roman"/>
          <w:sz w:val="24"/>
          <w:szCs w:val="24"/>
        </w:rPr>
        <w:t>submit the application for registration of blocked funds with the RBZ.</w:t>
      </w:r>
    </w:p>
    <w:p w14:paraId="0F58273D" w14:textId="77777777" w:rsidR="003A6BD0" w:rsidRDefault="0025012A"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A50138">
        <w:rPr>
          <w:rFonts w:ascii="Times New Roman" w:hAnsi="Times New Roman" w:cs="Times New Roman"/>
          <w:sz w:val="24"/>
          <w:szCs w:val="24"/>
        </w:rPr>
        <w:t xml:space="preserve">Thirdly, Magic Software </w:t>
      </w:r>
      <w:r w:rsidR="000B7021">
        <w:rPr>
          <w:rFonts w:ascii="Times New Roman" w:hAnsi="Times New Roman" w:cs="Times New Roman"/>
          <w:sz w:val="24"/>
          <w:szCs w:val="24"/>
        </w:rPr>
        <w:t>claimed that the funds in its escrow account at Nedbank constituted</w:t>
      </w:r>
      <w:r w:rsidR="00CF6C4D">
        <w:rPr>
          <w:rFonts w:ascii="Times New Roman" w:hAnsi="Times New Roman" w:cs="Times New Roman"/>
          <w:sz w:val="24"/>
          <w:szCs w:val="24"/>
        </w:rPr>
        <w:t xml:space="preserve"> a foreign </w:t>
      </w:r>
      <w:r w:rsidR="005E4141">
        <w:rPr>
          <w:rFonts w:ascii="Times New Roman" w:hAnsi="Times New Roman" w:cs="Times New Roman"/>
          <w:sz w:val="24"/>
          <w:szCs w:val="24"/>
        </w:rPr>
        <w:t>obligation</w:t>
      </w:r>
      <w:r w:rsidR="005E44C6">
        <w:rPr>
          <w:rFonts w:ascii="Times New Roman" w:hAnsi="Times New Roman" w:cs="Times New Roman"/>
          <w:sz w:val="24"/>
          <w:szCs w:val="24"/>
        </w:rPr>
        <w:t xml:space="preserve"> in terms of section 44C (2) (b) of the Reserve Bank Act [ Chapter 22:15</w:t>
      </w:r>
      <w:r>
        <w:rPr>
          <w:rFonts w:ascii="Times New Roman" w:hAnsi="Times New Roman" w:cs="Times New Roman"/>
          <w:sz w:val="24"/>
          <w:szCs w:val="24"/>
        </w:rPr>
        <w:t>] (“</w:t>
      </w:r>
      <w:r w:rsidR="005E44C6">
        <w:rPr>
          <w:rFonts w:ascii="Times New Roman" w:hAnsi="Times New Roman" w:cs="Times New Roman"/>
          <w:sz w:val="24"/>
          <w:szCs w:val="24"/>
        </w:rPr>
        <w:t>the RBZ Act”)</w:t>
      </w:r>
      <w:r w:rsidR="005E4141">
        <w:rPr>
          <w:rFonts w:ascii="Times New Roman" w:hAnsi="Times New Roman" w:cs="Times New Roman"/>
          <w:sz w:val="24"/>
          <w:szCs w:val="24"/>
        </w:rPr>
        <w:t xml:space="preserve">. </w:t>
      </w:r>
    </w:p>
    <w:p w14:paraId="660EA2D1" w14:textId="5B712AC6" w:rsidR="003E0ED1" w:rsidRDefault="003A6BD0" w:rsidP="003A6B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In summary, Nedbank’s defence was that (i) Magic Software`s failure to attach the very contract itself as well as refer to the specific provisions relied upon were fatal to its </w:t>
      </w:r>
      <w:r w:rsidR="003E0ED1">
        <w:rPr>
          <w:rFonts w:ascii="Times New Roman" w:hAnsi="Times New Roman" w:cs="Times New Roman"/>
          <w:sz w:val="24"/>
          <w:szCs w:val="24"/>
        </w:rPr>
        <w:t>claim. It had placed nothing before the court to found the terms, rights and obligations of the parties.</w:t>
      </w:r>
      <w:r w:rsidR="00023969">
        <w:rPr>
          <w:rFonts w:ascii="Times New Roman" w:hAnsi="Times New Roman" w:cs="Times New Roman"/>
          <w:sz w:val="24"/>
          <w:szCs w:val="24"/>
        </w:rPr>
        <w:t xml:space="preserve"> And as</w:t>
      </w:r>
      <w:r w:rsidR="003E0ED1">
        <w:rPr>
          <w:rFonts w:ascii="Times New Roman" w:hAnsi="Times New Roman" w:cs="Times New Roman"/>
          <w:sz w:val="24"/>
          <w:szCs w:val="24"/>
        </w:rPr>
        <w:t xml:space="preserve"> (</w:t>
      </w:r>
      <w:r w:rsidR="00061E0E">
        <w:rPr>
          <w:rFonts w:ascii="Times New Roman" w:hAnsi="Times New Roman" w:cs="Times New Roman"/>
          <w:sz w:val="24"/>
          <w:szCs w:val="24"/>
        </w:rPr>
        <w:t>ii</w:t>
      </w:r>
      <w:r w:rsidR="00023969">
        <w:rPr>
          <w:rFonts w:ascii="Times New Roman" w:hAnsi="Times New Roman" w:cs="Times New Roman"/>
          <w:sz w:val="24"/>
          <w:szCs w:val="24"/>
        </w:rPr>
        <w:t>), Nedbank took the position that</w:t>
      </w:r>
      <w:r w:rsidR="003E0ED1">
        <w:rPr>
          <w:rFonts w:ascii="Times New Roman" w:hAnsi="Times New Roman" w:cs="Times New Roman"/>
          <w:sz w:val="24"/>
          <w:szCs w:val="24"/>
        </w:rPr>
        <w:t xml:space="preserve"> </w:t>
      </w:r>
      <w:r w:rsidR="00061E0E">
        <w:rPr>
          <w:rFonts w:ascii="Times New Roman" w:hAnsi="Times New Roman" w:cs="Times New Roman"/>
          <w:sz w:val="24"/>
          <w:szCs w:val="24"/>
        </w:rPr>
        <w:t xml:space="preserve">Magic Software`s claim </w:t>
      </w:r>
      <w:r w:rsidR="00023969">
        <w:rPr>
          <w:rFonts w:ascii="Times New Roman" w:hAnsi="Times New Roman" w:cs="Times New Roman"/>
          <w:sz w:val="24"/>
          <w:szCs w:val="24"/>
        </w:rPr>
        <w:t>was essentially a tangential</w:t>
      </w:r>
      <w:r w:rsidR="00061E0E">
        <w:rPr>
          <w:rFonts w:ascii="Times New Roman" w:hAnsi="Times New Roman" w:cs="Times New Roman"/>
          <w:sz w:val="24"/>
          <w:szCs w:val="24"/>
        </w:rPr>
        <w:t xml:space="preserve"> contestation of RT120/18 and its effects. </w:t>
      </w:r>
    </w:p>
    <w:p w14:paraId="1F09FB4B" w14:textId="129DCBF0" w:rsidR="005E61CA" w:rsidRDefault="003E0ED1"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[ 24] </w:t>
      </w:r>
      <w:r w:rsidR="005F5C7C">
        <w:rPr>
          <w:rFonts w:ascii="Times New Roman" w:hAnsi="Times New Roman" w:cs="Times New Roman"/>
          <w:sz w:val="24"/>
          <w:szCs w:val="24"/>
        </w:rPr>
        <w:t>As such t</w:t>
      </w:r>
      <w:r w:rsidR="00061E0E">
        <w:rPr>
          <w:rFonts w:ascii="Times New Roman" w:hAnsi="Times New Roman" w:cs="Times New Roman"/>
          <w:sz w:val="24"/>
          <w:szCs w:val="24"/>
        </w:rPr>
        <w:t xml:space="preserve">he failure </w:t>
      </w:r>
      <w:r w:rsidR="00023969">
        <w:rPr>
          <w:rFonts w:ascii="Times New Roman" w:hAnsi="Times New Roman" w:cs="Times New Roman"/>
          <w:sz w:val="24"/>
          <w:szCs w:val="24"/>
        </w:rPr>
        <w:t xml:space="preserve">by Magic Software </w:t>
      </w:r>
      <w:r w:rsidR="00061E0E">
        <w:rPr>
          <w:rFonts w:ascii="Times New Roman" w:hAnsi="Times New Roman" w:cs="Times New Roman"/>
          <w:sz w:val="24"/>
          <w:szCs w:val="24"/>
        </w:rPr>
        <w:t xml:space="preserve">to join </w:t>
      </w:r>
      <w:r w:rsidR="003A6BD0">
        <w:rPr>
          <w:rFonts w:ascii="Times New Roman" w:hAnsi="Times New Roman" w:cs="Times New Roman"/>
          <w:sz w:val="24"/>
          <w:szCs w:val="24"/>
        </w:rPr>
        <w:t xml:space="preserve">the RBZ to these proceedings </w:t>
      </w:r>
      <w:r w:rsidR="00061E0E">
        <w:rPr>
          <w:rFonts w:ascii="Times New Roman" w:hAnsi="Times New Roman" w:cs="Times New Roman"/>
          <w:sz w:val="24"/>
          <w:szCs w:val="24"/>
        </w:rPr>
        <w:t>imperilled the</w:t>
      </w:r>
      <w:r w:rsidR="00023969">
        <w:rPr>
          <w:rFonts w:ascii="Times New Roman" w:hAnsi="Times New Roman" w:cs="Times New Roman"/>
          <w:sz w:val="24"/>
          <w:szCs w:val="24"/>
        </w:rPr>
        <w:t xml:space="preserve"> </w:t>
      </w:r>
      <w:r w:rsidR="0025620D">
        <w:rPr>
          <w:rFonts w:ascii="Times New Roman" w:hAnsi="Times New Roman" w:cs="Times New Roman"/>
          <w:sz w:val="24"/>
          <w:szCs w:val="24"/>
        </w:rPr>
        <w:t>present suit</w:t>
      </w:r>
      <w:r w:rsidR="00061E0E">
        <w:rPr>
          <w:rFonts w:ascii="Times New Roman" w:hAnsi="Times New Roman" w:cs="Times New Roman"/>
          <w:sz w:val="24"/>
          <w:szCs w:val="24"/>
        </w:rPr>
        <w:t xml:space="preserve">. As (iv), Nedbank </w:t>
      </w:r>
      <w:r w:rsidR="0025620D">
        <w:rPr>
          <w:rFonts w:ascii="Times New Roman" w:hAnsi="Times New Roman" w:cs="Times New Roman"/>
          <w:sz w:val="24"/>
          <w:szCs w:val="24"/>
        </w:rPr>
        <w:t>dismissed the veracity of Magic Software’s claim u</w:t>
      </w:r>
      <w:r w:rsidR="00061E0E">
        <w:rPr>
          <w:rFonts w:ascii="Times New Roman" w:hAnsi="Times New Roman" w:cs="Times New Roman"/>
          <w:sz w:val="24"/>
          <w:szCs w:val="24"/>
        </w:rPr>
        <w:t xml:space="preserve">nder </w:t>
      </w:r>
      <w:r w:rsidR="003A6BD0">
        <w:rPr>
          <w:rFonts w:ascii="Times New Roman" w:hAnsi="Times New Roman" w:cs="Times New Roman"/>
          <w:sz w:val="24"/>
          <w:szCs w:val="24"/>
        </w:rPr>
        <w:t>section 44C (2) (b) of the RBZ Act</w:t>
      </w:r>
      <w:r w:rsidR="00061E0E">
        <w:rPr>
          <w:rFonts w:ascii="Times New Roman" w:hAnsi="Times New Roman" w:cs="Times New Roman"/>
          <w:sz w:val="24"/>
          <w:szCs w:val="24"/>
        </w:rPr>
        <w:t xml:space="preserve"> on the basis that </w:t>
      </w:r>
      <w:r w:rsidR="003A6BD0">
        <w:rPr>
          <w:rFonts w:ascii="Times New Roman" w:hAnsi="Times New Roman" w:cs="Times New Roman"/>
          <w:sz w:val="24"/>
          <w:szCs w:val="24"/>
        </w:rPr>
        <w:t>the funds neither constituted a foreign loan nor foreign obligation</w:t>
      </w:r>
      <w:r w:rsidR="00061E0E">
        <w:rPr>
          <w:rFonts w:ascii="Times New Roman" w:hAnsi="Times New Roman" w:cs="Times New Roman"/>
          <w:sz w:val="24"/>
          <w:szCs w:val="24"/>
        </w:rPr>
        <w:t>.</w:t>
      </w:r>
      <w:r w:rsidR="00D86754">
        <w:rPr>
          <w:rFonts w:ascii="Times New Roman" w:hAnsi="Times New Roman" w:cs="Times New Roman"/>
          <w:sz w:val="24"/>
          <w:szCs w:val="24"/>
        </w:rPr>
        <w:t xml:space="preserve"> The</w:t>
      </w:r>
      <w:r>
        <w:rPr>
          <w:rFonts w:ascii="Times New Roman" w:hAnsi="Times New Roman" w:cs="Times New Roman"/>
          <w:sz w:val="24"/>
          <w:szCs w:val="24"/>
        </w:rPr>
        <w:t xml:space="preserve">se defences were </w:t>
      </w:r>
      <w:r w:rsidR="00FB752A">
        <w:rPr>
          <w:rFonts w:ascii="Times New Roman" w:hAnsi="Times New Roman" w:cs="Times New Roman"/>
          <w:sz w:val="24"/>
          <w:szCs w:val="24"/>
        </w:rPr>
        <w:t xml:space="preserve">however </w:t>
      </w:r>
      <w:r>
        <w:rPr>
          <w:rFonts w:ascii="Times New Roman" w:hAnsi="Times New Roman" w:cs="Times New Roman"/>
          <w:sz w:val="24"/>
          <w:szCs w:val="24"/>
        </w:rPr>
        <w:t xml:space="preserve">preceded by </w:t>
      </w:r>
      <w:r w:rsidR="005E61CA">
        <w:rPr>
          <w:rFonts w:ascii="Times New Roman" w:hAnsi="Times New Roman" w:cs="Times New Roman"/>
          <w:sz w:val="24"/>
          <w:szCs w:val="24"/>
        </w:rPr>
        <w:t xml:space="preserve">two points </w:t>
      </w:r>
      <w:r w:rsidR="005E61CA" w:rsidRPr="008E2A42">
        <w:rPr>
          <w:rFonts w:ascii="Times New Roman" w:hAnsi="Times New Roman" w:cs="Times New Roman"/>
          <w:i/>
          <w:iCs/>
          <w:sz w:val="24"/>
          <w:szCs w:val="24"/>
        </w:rPr>
        <w:t>in limine</w:t>
      </w:r>
      <w:r w:rsidR="005E61CA">
        <w:rPr>
          <w:rFonts w:ascii="Times New Roman" w:hAnsi="Times New Roman" w:cs="Times New Roman"/>
          <w:sz w:val="24"/>
          <w:szCs w:val="24"/>
        </w:rPr>
        <w:t xml:space="preserve"> which I deal with </w:t>
      </w:r>
      <w:r w:rsidR="005F5C7C">
        <w:rPr>
          <w:rFonts w:ascii="Times New Roman" w:hAnsi="Times New Roman" w:cs="Times New Roman"/>
          <w:sz w:val="24"/>
          <w:szCs w:val="24"/>
        </w:rPr>
        <w:t>next.</w:t>
      </w:r>
    </w:p>
    <w:p w14:paraId="2F39A980" w14:textId="652CF824" w:rsidR="00B81C2B" w:rsidRDefault="00976863"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B81C2B">
        <w:rPr>
          <w:rFonts w:ascii="Times New Roman" w:hAnsi="Times New Roman" w:cs="Times New Roman"/>
          <w:sz w:val="24"/>
          <w:szCs w:val="24"/>
        </w:rPr>
        <w:t xml:space="preserve">HE </w:t>
      </w:r>
      <w:r w:rsidR="00533625">
        <w:rPr>
          <w:rFonts w:ascii="Times New Roman" w:hAnsi="Times New Roman" w:cs="Times New Roman"/>
          <w:sz w:val="24"/>
          <w:szCs w:val="24"/>
        </w:rPr>
        <w:t xml:space="preserve">FIRST </w:t>
      </w:r>
      <w:r w:rsidR="00B81C2B">
        <w:rPr>
          <w:rFonts w:ascii="Times New Roman" w:hAnsi="Times New Roman" w:cs="Times New Roman"/>
          <w:sz w:val="24"/>
          <w:szCs w:val="24"/>
        </w:rPr>
        <w:t xml:space="preserve">POINT </w:t>
      </w:r>
      <w:r w:rsidR="00B81C2B" w:rsidRPr="00952D41">
        <w:rPr>
          <w:rFonts w:ascii="Times New Roman" w:hAnsi="Times New Roman" w:cs="Times New Roman"/>
          <w:i/>
          <w:iCs/>
          <w:sz w:val="24"/>
          <w:szCs w:val="24"/>
        </w:rPr>
        <w:t xml:space="preserve">IN </w:t>
      </w:r>
      <w:r w:rsidR="00533625" w:rsidRPr="00952D41">
        <w:rPr>
          <w:rFonts w:ascii="Times New Roman" w:hAnsi="Times New Roman" w:cs="Times New Roman"/>
          <w:i/>
          <w:iCs/>
          <w:sz w:val="24"/>
          <w:szCs w:val="24"/>
        </w:rPr>
        <w:t>LIMINE</w:t>
      </w:r>
      <w:r w:rsidR="00533625">
        <w:rPr>
          <w:rFonts w:ascii="Times New Roman" w:hAnsi="Times New Roman" w:cs="Times New Roman"/>
          <w:i/>
          <w:iCs/>
          <w:sz w:val="24"/>
          <w:szCs w:val="24"/>
        </w:rPr>
        <w:t xml:space="preserve">: </w:t>
      </w:r>
      <w:r w:rsidR="00533625" w:rsidRPr="00533625">
        <w:rPr>
          <w:rFonts w:ascii="Times New Roman" w:hAnsi="Times New Roman" w:cs="Times New Roman"/>
          <w:sz w:val="24"/>
          <w:szCs w:val="24"/>
        </w:rPr>
        <w:t>INVALID AUTHORITY</w:t>
      </w:r>
    </w:p>
    <w:p w14:paraId="7395B8AC" w14:textId="209522F8" w:rsidR="00B81C2B" w:rsidRDefault="00B81C2B"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C07FA">
        <w:rPr>
          <w:rFonts w:ascii="Times New Roman" w:hAnsi="Times New Roman" w:cs="Times New Roman"/>
          <w:sz w:val="24"/>
          <w:szCs w:val="24"/>
        </w:rPr>
        <w:t>2</w:t>
      </w:r>
      <w:r w:rsidR="00D86754">
        <w:rPr>
          <w:rFonts w:ascii="Times New Roman" w:hAnsi="Times New Roman" w:cs="Times New Roman"/>
          <w:sz w:val="24"/>
          <w:szCs w:val="24"/>
        </w:rPr>
        <w:t>5</w:t>
      </w:r>
      <w:r>
        <w:rPr>
          <w:rFonts w:ascii="Times New Roman" w:hAnsi="Times New Roman" w:cs="Times New Roman"/>
          <w:sz w:val="24"/>
          <w:szCs w:val="24"/>
        </w:rPr>
        <w:t>]</w:t>
      </w:r>
      <w:r w:rsidR="005E61CA">
        <w:rPr>
          <w:rFonts w:ascii="Times New Roman" w:hAnsi="Times New Roman" w:cs="Times New Roman"/>
          <w:sz w:val="24"/>
          <w:szCs w:val="24"/>
        </w:rPr>
        <w:t xml:space="preserve"> As </w:t>
      </w:r>
      <w:r>
        <w:rPr>
          <w:rFonts w:ascii="Times New Roman" w:hAnsi="Times New Roman" w:cs="Times New Roman"/>
          <w:sz w:val="24"/>
          <w:szCs w:val="24"/>
        </w:rPr>
        <w:t>its first point</w:t>
      </w:r>
      <w:r w:rsidR="005E61CA">
        <w:rPr>
          <w:rFonts w:ascii="Times New Roman" w:hAnsi="Times New Roman" w:cs="Times New Roman"/>
          <w:sz w:val="24"/>
          <w:szCs w:val="24"/>
        </w:rPr>
        <w:t xml:space="preserve"> </w:t>
      </w:r>
      <w:r w:rsidR="005E61CA" w:rsidRPr="003A663A">
        <w:rPr>
          <w:rFonts w:ascii="Times New Roman" w:hAnsi="Times New Roman" w:cs="Times New Roman"/>
          <w:i/>
          <w:iCs/>
          <w:sz w:val="24"/>
          <w:szCs w:val="24"/>
        </w:rPr>
        <w:t>in limine</w:t>
      </w:r>
      <w:r w:rsidR="005E61CA">
        <w:rPr>
          <w:rFonts w:ascii="Times New Roman" w:hAnsi="Times New Roman" w:cs="Times New Roman"/>
          <w:sz w:val="24"/>
          <w:szCs w:val="24"/>
        </w:rPr>
        <w:t xml:space="preserve">, Nedbank contended </w:t>
      </w:r>
      <w:r>
        <w:rPr>
          <w:rFonts w:ascii="Times New Roman" w:hAnsi="Times New Roman" w:cs="Times New Roman"/>
          <w:sz w:val="24"/>
          <w:szCs w:val="24"/>
        </w:rPr>
        <w:t xml:space="preserve">that Magic Software`s claim had prescribed. </w:t>
      </w:r>
      <w:r w:rsidR="00915306">
        <w:rPr>
          <w:rFonts w:ascii="Times New Roman" w:hAnsi="Times New Roman" w:cs="Times New Roman"/>
          <w:sz w:val="24"/>
          <w:szCs w:val="24"/>
        </w:rPr>
        <w:t>And as the second,</w:t>
      </w:r>
      <w:r>
        <w:rPr>
          <w:rFonts w:ascii="Times New Roman" w:hAnsi="Times New Roman" w:cs="Times New Roman"/>
          <w:sz w:val="24"/>
          <w:szCs w:val="24"/>
        </w:rPr>
        <w:t xml:space="preserve"> Nedbank argued that there was in fact</w:t>
      </w:r>
      <w:r w:rsidR="00952D41">
        <w:rPr>
          <w:rFonts w:ascii="Times New Roman" w:hAnsi="Times New Roman" w:cs="Times New Roman"/>
          <w:sz w:val="24"/>
          <w:szCs w:val="24"/>
        </w:rPr>
        <w:t>,</w:t>
      </w:r>
      <w:r>
        <w:rPr>
          <w:rFonts w:ascii="Times New Roman" w:hAnsi="Times New Roman" w:cs="Times New Roman"/>
          <w:sz w:val="24"/>
          <w:szCs w:val="24"/>
        </w:rPr>
        <w:t xml:space="preserve"> no </w:t>
      </w:r>
      <w:r w:rsidR="005E44C6">
        <w:rPr>
          <w:rFonts w:ascii="Times New Roman" w:hAnsi="Times New Roman" w:cs="Times New Roman"/>
          <w:sz w:val="24"/>
          <w:szCs w:val="24"/>
        </w:rPr>
        <w:t xml:space="preserve">valid </w:t>
      </w:r>
      <w:r>
        <w:rPr>
          <w:rFonts w:ascii="Times New Roman" w:hAnsi="Times New Roman" w:cs="Times New Roman"/>
          <w:sz w:val="24"/>
          <w:szCs w:val="24"/>
        </w:rPr>
        <w:t xml:space="preserve">application before the court because the deponent to the founding affidavit lacked </w:t>
      </w:r>
      <w:r w:rsidR="005E44C6">
        <w:rPr>
          <w:rFonts w:ascii="Times New Roman" w:hAnsi="Times New Roman" w:cs="Times New Roman"/>
          <w:sz w:val="24"/>
          <w:szCs w:val="24"/>
        </w:rPr>
        <w:t xml:space="preserve">proper </w:t>
      </w:r>
      <w:r>
        <w:rPr>
          <w:rFonts w:ascii="Times New Roman" w:hAnsi="Times New Roman" w:cs="Times New Roman"/>
          <w:sz w:val="24"/>
          <w:szCs w:val="24"/>
        </w:rPr>
        <w:t>authority to institute the present proceedings.</w:t>
      </w:r>
    </w:p>
    <w:p w14:paraId="48F5AF7B" w14:textId="49547397" w:rsidR="00B81C2B" w:rsidRDefault="00B81C2B"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8C07FA">
        <w:rPr>
          <w:rFonts w:ascii="Times New Roman" w:hAnsi="Times New Roman" w:cs="Times New Roman"/>
          <w:sz w:val="24"/>
          <w:szCs w:val="24"/>
        </w:rPr>
        <w:t>2</w:t>
      </w:r>
      <w:r w:rsidR="00D86754">
        <w:rPr>
          <w:rFonts w:ascii="Times New Roman" w:hAnsi="Times New Roman" w:cs="Times New Roman"/>
          <w:sz w:val="24"/>
          <w:szCs w:val="24"/>
        </w:rPr>
        <w:t>6</w:t>
      </w:r>
      <w:r>
        <w:rPr>
          <w:rFonts w:ascii="Times New Roman" w:hAnsi="Times New Roman" w:cs="Times New Roman"/>
          <w:sz w:val="24"/>
          <w:szCs w:val="24"/>
        </w:rPr>
        <w:t xml:space="preserve">] </w:t>
      </w:r>
      <w:r w:rsidR="003A663A">
        <w:rPr>
          <w:rFonts w:ascii="Times New Roman" w:hAnsi="Times New Roman" w:cs="Times New Roman"/>
          <w:sz w:val="24"/>
          <w:szCs w:val="24"/>
        </w:rPr>
        <w:t xml:space="preserve">I start with the second </w:t>
      </w:r>
      <w:r w:rsidR="00915306">
        <w:rPr>
          <w:rFonts w:ascii="Times New Roman" w:hAnsi="Times New Roman" w:cs="Times New Roman"/>
          <w:sz w:val="24"/>
          <w:szCs w:val="24"/>
        </w:rPr>
        <w:t xml:space="preserve">objection </w:t>
      </w:r>
      <w:r w:rsidR="003A663A">
        <w:rPr>
          <w:rFonts w:ascii="Times New Roman" w:hAnsi="Times New Roman" w:cs="Times New Roman"/>
          <w:sz w:val="24"/>
          <w:szCs w:val="24"/>
        </w:rPr>
        <w:t xml:space="preserve">as I believe it </w:t>
      </w:r>
      <w:r w:rsidR="003E0ED1">
        <w:rPr>
          <w:rFonts w:ascii="Times New Roman" w:hAnsi="Times New Roman" w:cs="Times New Roman"/>
          <w:sz w:val="24"/>
          <w:szCs w:val="24"/>
        </w:rPr>
        <w:t xml:space="preserve">enjoys </w:t>
      </w:r>
      <w:r w:rsidR="003A663A">
        <w:rPr>
          <w:rFonts w:ascii="Times New Roman" w:hAnsi="Times New Roman" w:cs="Times New Roman"/>
          <w:sz w:val="24"/>
          <w:szCs w:val="24"/>
        </w:rPr>
        <w:t>primacy over the first.</w:t>
      </w:r>
      <w:r>
        <w:rPr>
          <w:rFonts w:ascii="Times New Roman" w:hAnsi="Times New Roman" w:cs="Times New Roman"/>
          <w:sz w:val="24"/>
          <w:szCs w:val="24"/>
        </w:rPr>
        <w:t xml:space="preserve"> Magic Software`s founding affidavit</w:t>
      </w:r>
      <w:r w:rsidR="005F5C7C">
        <w:rPr>
          <w:rFonts w:ascii="Times New Roman" w:hAnsi="Times New Roman" w:cs="Times New Roman"/>
          <w:sz w:val="24"/>
          <w:szCs w:val="24"/>
        </w:rPr>
        <w:t>,</w:t>
      </w:r>
      <w:r>
        <w:rPr>
          <w:rFonts w:ascii="Times New Roman" w:hAnsi="Times New Roman" w:cs="Times New Roman"/>
          <w:sz w:val="24"/>
          <w:szCs w:val="24"/>
        </w:rPr>
        <w:t xml:space="preserve"> deposed to </w:t>
      </w:r>
      <w:r w:rsidR="00AC3DA6">
        <w:rPr>
          <w:rFonts w:ascii="Times New Roman" w:hAnsi="Times New Roman" w:cs="Times New Roman"/>
          <w:sz w:val="24"/>
          <w:szCs w:val="24"/>
        </w:rPr>
        <w:t xml:space="preserve">by Chaimovsky </w:t>
      </w:r>
      <w:r w:rsidR="001D6AFB">
        <w:rPr>
          <w:rFonts w:ascii="Times New Roman" w:hAnsi="Times New Roman" w:cs="Times New Roman"/>
          <w:sz w:val="24"/>
          <w:szCs w:val="24"/>
        </w:rPr>
        <w:t>on 12 March 2022</w:t>
      </w:r>
      <w:r w:rsidR="005F5C7C">
        <w:rPr>
          <w:rFonts w:ascii="Times New Roman" w:hAnsi="Times New Roman" w:cs="Times New Roman"/>
          <w:sz w:val="24"/>
          <w:szCs w:val="24"/>
        </w:rPr>
        <w:t>,</w:t>
      </w:r>
      <w:r w:rsidR="00AC3DA6">
        <w:rPr>
          <w:rFonts w:ascii="Times New Roman" w:hAnsi="Times New Roman" w:cs="Times New Roman"/>
          <w:sz w:val="24"/>
          <w:szCs w:val="24"/>
        </w:rPr>
        <w:t xml:space="preserve"> </w:t>
      </w:r>
      <w:r w:rsidR="00915306">
        <w:rPr>
          <w:rFonts w:ascii="Times New Roman" w:hAnsi="Times New Roman" w:cs="Times New Roman"/>
          <w:sz w:val="24"/>
          <w:szCs w:val="24"/>
        </w:rPr>
        <w:t xml:space="preserve">was </w:t>
      </w:r>
      <w:r w:rsidR="001D6AFB">
        <w:rPr>
          <w:rFonts w:ascii="Times New Roman" w:hAnsi="Times New Roman" w:cs="Times New Roman"/>
          <w:sz w:val="24"/>
          <w:szCs w:val="24"/>
        </w:rPr>
        <w:t>authorised by a board resolution dated 30 March 202</w:t>
      </w:r>
      <w:r w:rsidR="00D9019D">
        <w:rPr>
          <w:rFonts w:ascii="Times New Roman" w:hAnsi="Times New Roman" w:cs="Times New Roman"/>
          <w:sz w:val="24"/>
          <w:szCs w:val="24"/>
        </w:rPr>
        <w:t>2</w:t>
      </w:r>
      <w:r w:rsidR="001D6AFB">
        <w:rPr>
          <w:rFonts w:ascii="Times New Roman" w:hAnsi="Times New Roman" w:cs="Times New Roman"/>
          <w:sz w:val="24"/>
          <w:szCs w:val="24"/>
        </w:rPr>
        <w:t xml:space="preserve">. </w:t>
      </w:r>
      <w:r w:rsidR="00915306">
        <w:rPr>
          <w:rFonts w:ascii="Times New Roman" w:hAnsi="Times New Roman" w:cs="Times New Roman"/>
          <w:sz w:val="24"/>
          <w:szCs w:val="24"/>
        </w:rPr>
        <w:t xml:space="preserve"> </w:t>
      </w:r>
      <w:r w:rsidR="001D6AFB">
        <w:rPr>
          <w:rFonts w:ascii="Times New Roman" w:hAnsi="Times New Roman" w:cs="Times New Roman"/>
          <w:sz w:val="24"/>
          <w:szCs w:val="24"/>
        </w:rPr>
        <w:t xml:space="preserve">Nedbank averred that since the board resolution post-dated the founding affidavit, Chaimovsky </w:t>
      </w:r>
      <w:r w:rsidR="00952D41">
        <w:rPr>
          <w:rFonts w:ascii="Times New Roman" w:hAnsi="Times New Roman" w:cs="Times New Roman"/>
          <w:sz w:val="24"/>
          <w:szCs w:val="24"/>
        </w:rPr>
        <w:t xml:space="preserve">had </w:t>
      </w:r>
      <w:r w:rsidR="001D6AFB">
        <w:rPr>
          <w:rFonts w:ascii="Times New Roman" w:hAnsi="Times New Roman" w:cs="Times New Roman"/>
          <w:sz w:val="24"/>
          <w:szCs w:val="24"/>
        </w:rPr>
        <w:t>acted without authority</w:t>
      </w:r>
      <w:r w:rsidR="00915306">
        <w:rPr>
          <w:rFonts w:ascii="Times New Roman" w:hAnsi="Times New Roman" w:cs="Times New Roman"/>
          <w:sz w:val="24"/>
          <w:szCs w:val="24"/>
        </w:rPr>
        <w:t xml:space="preserve"> </w:t>
      </w:r>
      <w:r w:rsidR="00136649">
        <w:rPr>
          <w:rFonts w:ascii="Times New Roman" w:hAnsi="Times New Roman" w:cs="Times New Roman"/>
          <w:sz w:val="24"/>
          <w:szCs w:val="24"/>
        </w:rPr>
        <w:t>by</w:t>
      </w:r>
      <w:r w:rsidR="00915306">
        <w:rPr>
          <w:rFonts w:ascii="Times New Roman" w:hAnsi="Times New Roman" w:cs="Times New Roman"/>
          <w:sz w:val="24"/>
          <w:szCs w:val="24"/>
        </w:rPr>
        <w:t xml:space="preserve"> </w:t>
      </w:r>
      <w:r w:rsidR="00915306" w:rsidRPr="005E44C6">
        <w:rPr>
          <w:rFonts w:ascii="Times New Roman" w:hAnsi="Times New Roman" w:cs="Times New Roman"/>
          <w:sz w:val="24"/>
          <w:szCs w:val="24"/>
          <w:u w:val="single"/>
        </w:rPr>
        <w:t>swearing</w:t>
      </w:r>
      <w:r w:rsidR="00915306">
        <w:rPr>
          <w:rFonts w:ascii="Times New Roman" w:hAnsi="Times New Roman" w:cs="Times New Roman"/>
          <w:sz w:val="24"/>
          <w:szCs w:val="24"/>
        </w:rPr>
        <w:t xml:space="preserve"> to it</w:t>
      </w:r>
      <w:r w:rsidR="001D6AFB">
        <w:rPr>
          <w:rFonts w:ascii="Times New Roman" w:hAnsi="Times New Roman" w:cs="Times New Roman"/>
          <w:sz w:val="24"/>
          <w:szCs w:val="24"/>
        </w:rPr>
        <w:t xml:space="preserve">. </w:t>
      </w:r>
      <w:r w:rsidR="005E44C6">
        <w:rPr>
          <w:rFonts w:ascii="Times New Roman" w:hAnsi="Times New Roman" w:cs="Times New Roman"/>
          <w:sz w:val="24"/>
          <w:szCs w:val="24"/>
        </w:rPr>
        <w:t xml:space="preserve">I may </w:t>
      </w:r>
      <w:r w:rsidR="00136649">
        <w:rPr>
          <w:rFonts w:ascii="Times New Roman" w:hAnsi="Times New Roman" w:cs="Times New Roman"/>
          <w:sz w:val="24"/>
          <w:szCs w:val="24"/>
        </w:rPr>
        <w:t xml:space="preserve">comment </w:t>
      </w:r>
      <w:r w:rsidR="005E44C6">
        <w:rPr>
          <w:rFonts w:ascii="Times New Roman" w:hAnsi="Times New Roman" w:cs="Times New Roman"/>
          <w:sz w:val="24"/>
          <w:szCs w:val="24"/>
        </w:rPr>
        <w:t>that t</w:t>
      </w:r>
      <w:r w:rsidR="001D6AFB">
        <w:rPr>
          <w:rFonts w:ascii="Times New Roman" w:hAnsi="Times New Roman" w:cs="Times New Roman"/>
          <w:sz w:val="24"/>
          <w:szCs w:val="24"/>
        </w:rPr>
        <w:t xml:space="preserve">he point </w:t>
      </w:r>
      <w:r w:rsidR="001D6AFB" w:rsidRPr="00952D41">
        <w:rPr>
          <w:rFonts w:ascii="Times New Roman" w:hAnsi="Times New Roman" w:cs="Times New Roman"/>
          <w:i/>
          <w:iCs/>
          <w:sz w:val="24"/>
          <w:szCs w:val="24"/>
        </w:rPr>
        <w:t>in limine</w:t>
      </w:r>
      <w:r w:rsidR="001D6AFB">
        <w:rPr>
          <w:rFonts w:ascii="Times New Roman" w:hAnsi="Times New Roman" w:cs="Times New Roman"/>
          <w:sz w:val="24"/>
          <w:szCs w:val="24"/>
        </w:rPr>
        <w:t xml:space="preserve"> challenged </w:t>
      </w:r>
      <w:r w:rsidR="007D3F49">
        <w:rPr>
          <w:rFonts w:ascii="Times New Roman" w:hAnsi="Times New Roman" w:cs="Times New Roman"/>
          <w:sz w:val="24"/>
          <w:szCs w:val="24"/>
        </w:rPr>
        <w:t xml:space="preserve">Chaimovsky` s </w:t>
      </w:r>
      <w:r w:rsidR="001D6AFB">
        <w:rPr>
          <w:rFonts w:ascii="Times New Roman" w:hAnsi="Times New Roman" w:cs="Times New Roman"/>
          <w:sz w:val="24"/>
          <w:szCs w:val="24"/>
        </w:rPr>
        <w:t xml:space="preserve">authority to institute proceedings rather </w:t>
      </w:r>
      <w:r w:rsidR="008E2A42">
        <w:rPr>
          <w:rFonts w:ascii="Times New Roman" w:hAnsi="Times New Roman" w:cs="Times New Roman"/>
          <w:sz w:val="24"/>
          <w:szCs w:val="24"/>
        </w:rPr>
        <w:t xml:space="preserve">than </w:t>
      </w:r>
      <w:r w:rsidR="007D3F49">
        <w:rPr>
          <w:rFonts w:ascii="Times New Roman" w:hAnsi="Times New Roman" w:cs="Times New Roman"/>
          <w:sz w:val="24"/>
          <w:szCs w:val="24"/>
        </w:rPr>
        <w:t xml:space="preserve">propriety to </w:t>
      </w:r>
      <w:r w:rsidR="001D6AFB">
        <w:rPr>
          <w:rFonts w:ascii="Times New Roman" w:hAnsi="Times New Roman" w:cs="Times New Roman"/>
          <w:sz w:val="24"/>
          <w:szCs w:val="24"/>
        </w:rPr>
        <w:t xml:space="preserve">swear to the </w:t>
      </w:r>
      <w:r w:rsidR="007D3F49">
        <w:rPr>
          <w:rFonts w:ascii="Times New Roman" w:hAnsi="Times New Roman" w:cs="Times New Roman"/>
          <w:sz w:val="24"/>
          <w:szCs w:val="24"/>
        </w:rPr>
        <w:t xml:space="preserve">facts in the founding </w:t>
      </w:r>
      <w:r w:rsidR="001D6AFB">
        <w:rPr>
          <w:rFonts w:ascii="Times New Roman" w:hAnsi="Times New Roman" w:cs="Times New Roman"/>
          <w:sz w:val="24"/>
          <w:szCs w:val="24"/>
        </w:rPr>
        <w:t xml:space="preserve">affidavit. </w:t>
      </w:r>
    </w:p>
    <w:p w14:paraId="2CDD4612" w14:textId="2C433431" w:rsidR="005E61CA" w:rsidRDefault="007D3F49"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C07FA">
        <w:rPr>
          <w:rFonts w:ascii="Times New Roman" w:hAnsi="Times New Roman" w:cs="Times New Roman"/>
          <w:sz w:val="24"/>
          <w:szCs w:val="24"/>
        </w:rPr>
        <w:t>2</w:t>
      </w:r>
      <w:r w:rsidR="00D86754">
        <w:rPr>
          <w:rFonts w:ascii="Times New Roman" w:hAnsi="Times New Roman" w:cs="Times New Roman"/>
          <w:sz w:val="24"/>
          <w:szCs w:val="24"/>
        </w:rPr>
        <w:t>7</w:t>
      </w:r>
      <w:r>
        <w:rPr>
          <w:rFonts w:ascii="Times New Roman" w:hAnsi="Times New Roman" w:cs="Times New Roman"/>
          <w:sz w:val="24"/>
          <w:szCs w:val="24"/>
        </w:rPr>
        <w:t xml:space="preserve">] </w:t>
      </w:r>
      <w:r w:rsidR="008E2A42">
        <w:rPr>
          <w:rFonts w:ascii="Times New Roman" w:hAnsi="Times New Roman" w:cs="Times New Roman"/>
          <w:sz w:val="24"/>
          <w:szCs w:val="24"/>
        </w:rPr>
        <w:t xml:space="preserve">Mr. </w:t>
      </w:r>
      <w:r w:rsidR="008E2A42" w:rsidRPr="007D3F49">
        <w:rPr>
          <w:rFonts w:ascii="Times New Roman" w:hAnsi="Times New Roman" w:cs="Times New Roman"/>
          <w:i/>
          <w:iCs/>
          <w:sz w:val="24"/>
          <w:szCs w:val="24"/>
        </w:rPr>
        <w:t xml:space="preserve">Magwaliba </w:t>
      </w:r>
      <w:r w:rsidR="008E2A42">
        <w:rPr>
          <w:rFonts w:ascii="Times New Roman" w:hAnsi="Times New Roman" w:cs="Times New Roman"/>
          <w:sz w:val="24"/>
          <w:szCs w:val="24"/>
        </w:rPr>
        <w:t>for Magic Software</w:t>
      </w:r>
      <w:r w:rsidR="003E0ED1">
        <w:rPr>
          <w:rFonts w:ascii="Times New Roman" w:hAnsi="Times New Roman" w:cs="Times New Roman"/>
          <w:sz w:val="24"/>
          <w:szCs w:val="24"/>
        </w:rPr>
        <w:t>,</w:t>
      </w:r>
      <w:r w:rsidR="008E2A42">
        <w:rPr>
          <w:rFonts w:ascii="Times New Roman" w:hAnsi="Times New Roman" w:cs="Times New Roman"/>
          <w:sz w:val="24"/>
          <w:szCs w:val="24"/>
        </w:rPr>
        <w:t xml:space="preserve"> raised the following </w:t>
      </w:r>
      <w:r w:rsidR="003F495C">
        <w:rPr>
          <w:rFonts w:ascii="Times New Roman" w:hAnsi="Times New Roman" w:cs="Times New Roman"/>
          <w:sz w:val="24"/>
          <w:szCs w:val="24"/>
        </w:rPr>
        <w:t xml:space="preserve">arguments </w:t>
      </w:r>
      <w:r w:rsidR="008E2A42">
        <w:rPr>
          <w:rFonts w:ascii="Times New Roman" w:hAnsi="Times New Roman" w:cs="Times New Roman"/>
          <w:sz w:val="24"/>
          <w:szCs w:val="24"/>
        </w:rPr>
        <w:t>in re</w:t>
      </w:r>
      <w:r w:rsidR="00136649">
        <w:rPr>
          <w:rFonts w:ascii="Times New Roman" w:hAnsi="Times New Roman" w:cs="Times New Roman"/>
          <w:sz w:val="24"/>
          <w:szCs w:val="24"/>
        </w:rPr>
        <w:t>sponse</w:t>
      </w:r>
      <w:r w:rsidR="008E2A42">
        <w:rPr>
          <w:rFonts w:ascii="Times New Roman" w:hAnsi="Times New Roman" w:cs="Times New Roman"/>
          <w:sz w:val="24"/>
          <w:szCs w:val="24"/>
        </w:rPr>
        <w:t>; -</w:t>
      </w:r>
      <w:r w:rsidR="00915306">
        <w:rPr>
          <w:rFonts w:ascii="Times New Roman" w:hAnsi="Times New Roman" w:cs="Times New Roman"/>
          <w:sz w:val="24"/>
          <w:szCs w:val="24"/>
        </w:rPr>
        <w:t xml:space="preserve"> </w:t>
      </w:r>
      <w:r w:rsidR="00952D41">
        <w:rPr>
          <w:rFonts w:ascii="Times New Roman" w:hAnsi="Times New Roman" w:cs="Times New Roman"/>
          <w:sz w:val="24"/>
          <w:szCs w:val="24"/>
        </w:rPr>
        <w:t>t</w:t>
      </w:r>
      <w:r>
        <w:rPr>
          <w:rFonts w:ascii="Times New Roman" w:hAnsi="Times New Roman" w:cs="Times New Roman"/>
          <w:sz w:val="24"/>
          <w:szCs w:val="24"/>
        </w:rPr>
        <w:t xml:space="preserve">he disparity in dates between </w:t>
      </w:r>
      <w:r w:rsidR="0025012A">
        <w:rPr>
          <w:rFonts w:ascii="Times New Roman" w:hAnsi="Times New Roman" w:cs="Times New Roman"/>
          <w:sz w:val="24"/>
          <w:szCs w:val="24"/>
        </w:rPr>
        <w:t xml:space="preserve">Chaimovsky’ s </w:t>
      </w:r>
      <w:r>
        <w:rPr>
          <w:rFonts w:ascii="Times New Roman" w:hAnsi="Times New Roman" w:cs="Times New Roman"/>
          <w:sz w:val="24"/>
          <w:szCs w:val="24"/>
        </w:rPr>
        <w:t xml:space="preserve">affidavit and board resolution was of no consequence. What mattered was that the deponent to the founding affidavit was authorised by the board to institute proceedings on behalf of Magic Software. The resolution itself said so in the clearest of terms. </w:t>
      </w:r>
    </w:p>
    <w:p w14:paraId="5A4B9874" w14:textId="444EA80F" w:rsidR="007D3F49" w:rsidRDefault="005E61CA"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C07FA">
        <w:rPr>
          <w:rFonts w:ascii="Times New Roman" w:hAnsi="Times New Roman" w:cs="Times New Roman"/>
          <w:sz w:val="24"/>
          <w:szCs w:val="24"/>
        </w:rPr>
        <w:t>2</w:t>
      </w:r>
      <w:r w:rsidR="00D86754">
        <w:rPr>
          <w:rFonts w:ascii="Times New Roman" w:hAnsi="Times New Roman" w:cs="Times New Roman"/>
          <w:sz w:val="24"/>
          <w:szCs w:val="24"/>
        </w:rPr>
        <w:t>8</w:t>
      </w:r>
      <w:r>
        <w:rPr>
          <w:rFonts w:ascii="Times New Roman" w:hAnsi="Times New Roman" w:cs="Times New Roman"/>
          <w:sz w:val="24"/>
          <w:szCs w:val="24"/>
        </w:rPr>
        <w:t xml:space="preserve">] </w:t>
      </w:r>
      <w:r w:rsidR="007D3F49">
        <w:rPr>
          <w:rFonts w:ascii="Times New Roman" w:hAnsi="Times New Roman" w:cs="Times New Roman"/>
          <w:sz w:val="24"/>
          <w:szCs w:val="24"/>
        </w:rPr>
        <w:t xml:space="preserve">Secondly and in any event, </w:t>
      </w:r>
      <w:r w:rsidR="009B2721">
        <w:rPr>
          <w:rFonts w:ascii="Times New Roman" w:hAnsi="Times New Roman" w:cs="Times New Roman"/>
          <w:sz w:val="24"/>
          <w:szCs w:val="24"/>
        </w:rPr>
        <w:t xml:space="preserve">counsel submitted that the present </w:t>
      </w:r>
      <w:r w:rsidR="007D3F49">
        <w:rPr>
          <w:rFonts w:ascii="Times New Roman" w:hAnsi="Times New Roman" w:cs="Times New Roman"/>
          <w:sz w:val="24"/>
          <w:szCs w:val="24"/>
        </w:rPr>
        <w:t xml:space="preserve">proceedings were launched well-after the board issued the approval to Chaimovsky. It would have been an entirely different matter had the resolution succeeded the issuance of process </w:t>
      </w:r>
      <w:r w:rsidR="00136649">
        <w:rPr>
          <w:rFonts w:ascii="Times New Roman" w:hAnsi="Times New Roman" w:cs="Times New Roman"/>
          <w:sz w:val="24"/>
          <w:szCs w:val="24"/>
        </w:rPr>
        <w:t>on 22</w:t>
      </w:r>
      <w:r w:rsidR="00FB752A">
        <w:rPr>
          <w:rFonts w:ascii="Times New Roman" w:hAnsi="Times New Roman" w:cs="Times New Roman"/>
          <w:sz w:val="24"/>
          <w:szCs w:val="24"/>
        </w:rPr>
        <w:t xml:space="preserve"> April 2022</w:t>
      </w:r>
      <w:r w:rsidR="007D3F49">
        <w:rPr>
          <w:rFonts w:ascii="Times New Roman" w:hAnsi="Times New Roman" w:cs="Times New Roman"/>
          <w:sz w:val="24"/>
          <w:szCs w:val="24"/>
        </w:rPr>
        <w:t xml:space="preserve">. </w:t>
      </w:r>
    </w:p>
    <w:p w14:paraId="352CE189" w14:textId="21E6B51B" w:rsidR="004D2E71" w:rsidRPr="008C07FA" w:rsidRDefault="007D3F49"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F6C4D">
        <w:rPr>
          <w:rFonts w:ascii="Times New Roman" w:hAnsi="Times New Roman" w:cs="Times New Roman"/>
          <w:sz w:val="24"/>
          <w:szCs w:val="24"/>
        </w:rPr>
        <w:t>2</w:t>
      </w:r>
      <w:r w:rsidR="00D86754">
        <w:rPr>
          <w:rFonts w:ascii="Times New Roman" w:hAnsi="Times New Roman" w:cs="Times New Roman"/>
          <w:sz w:val="24"/>
          <w:szCs w:val="24"/>
        </w:rPr>
        <w:t>9</w:t>
      </w:r>
      <w:r>
        <w:rPr>
          <w:rFonts w:ascii="Times New Roman" w:hAnsi="Times New Roman" w:cs="Times New Roman"/>
          <w:sz w:val="24"/>
          <w:szCs w:val="24"/>
        </w:rPr>
        <w:t xml:space="preserve">] Counsel`s last point was that </w:t>
      </w:r>
      <w:r w:rsidR="00952D41">
        <w:rPr>
          <w:rFonts w:ascii="Times New Roman" w:hAnsi="Times New Roman" w:cs="Times New Roman"/>
          <w:sz w:val="24"/>
          <w:szCs w:val="24"/>
        </w:rPr>
        <w:t>nonetheless</w:t>
      </w:r>
      <w:r>
        <w:rPr>
          <w:rFonts w:ascii="Times New Roman" w:hAnsi="Times New Roman" w:cs="Times New Roman"/>
          <w:sz w:val="24"/>
          <w:szCs w:val="24"/>
        </w:rPr>
        <w:t xml:space="preserve">, Chaimovsky had put matters beyond argument </w:t>
      </w:r>
      <w:r w:rsidRPr="008C07FA">
        <w:rPr>
          <w:rFonts w:ascii="Times New Roman" w:hAnsi="Times New Roman" w:cs="Times New Roman"/>
          <w:sz w:val="24"/>
          <w:szCs w:val="24"/>
        </w:rPr>
        <w:t xml:space="preserve">by filing an updated board resolution </w:t>
      </w:r>
      <w:r w:rsidR="005E44C6">
        <w:rPr>
          <w:rFonts w:ascii="Times New Roman" w:hAnsi="Times New Roman" w:cs="Times New Roman"/>
          <w:sz w:val="24"/>
          <w:szCs w:val="24"/>
        </w:rPr>
        <w:t>with the answering affidavit. This a</w:t>
      </w:r>
      <w:r w:rsidR="003E0ED1">
        <w:rPr>
          <w:rFonts w:ascii="Times New Roman" w:hAnsi="Times New Roman" w:cs="Times New Roman"/>
          <w:sz w:val="24"/>
          <w:szCs w:val="24"/>
        </w:rPr>
        <w:t xml:space="preserve">pproval </w:t>
      </w:r>
      <w:r w:rsidRPr="008C07FA">
        <w:rPr>
          <w:rFonts w:ascii="Times New Roman" w:hAnsi="Times New Roman" w:cs="Times New Roman"/>
          <w:sz w:val="24"/>
          <w:szCs w:val="24"/>
        </w:rPr>
        <w:t xml:space="preserve">confirmed and ratified </w:t>
      </w:r>
      <w:r w:rsidR="0025012A" w:rsidRPr="008C07FA">
        <w:rPr>
          <w:rFonts w:ascii="Times New Roman" w:hAnsi="Times New Roman" w:cs="Times New Roman"/>
          <w:sz w:val="24"/>
          <w:szCs w:val="24"/>
        </w:rPr>
        <w:t>Chaimovsky` s</w:t>
      </w:r>
      <w:r w:rsidRPr="008C07FA">
        <w:rPr>
          <w:rFonts w:ascii="Times New Roman" w:hAnsi="Times New Roman" w:cs="Times New Roman"/>
          <w:sz w:val="24"/>
          <w:szCs w:val="24"/>
        </w:rPr>
        <w:t xml:space="preserve"> </w:t>
      </w:r>
      <w:r w:rsidR="005E44C6" w:rsidRPr="008C07FA">
        <w:rPr>
          <w:rFonts w:ascii="Times New Roman" w:hAnsi="Times New Roman" w:cs="Times New Roman"/>
          <w:sz w:val="24"/>
          <w:szCs w:val="24"/>
        </w:rPr>
        <w:t>authority</w:t>
      </w:r>
      <w:r w:rsidR="005E44C6">
        <w:rPr>
          <w:rFonts w:ascii="Times New Roman" w:hAnsi="Times New Roman" w:cs="Times New Roman"/>
          <w:sz w:val="24"/>
          <w:szCs w:val="24"/>
        </w:rPr>
        <w:t xml:space="preserve">. It further specifically refuted </w:t>
      </w:r>
      <w:r w:rsidRPr="008C07FA">
        <w:rPr>
          <w:rFonts w:ascii="Times New Roman" w:hAnsi="Times New Roman" w:cs="Times New Roman"/>
          <w:sz w:val="24"/>
          <w:szCs w:val="24"/>
        </w:rPr>
        <w:t xml:space="preserve">Nedbank`s </w:t>
      </w:r>
      <w:r w:rsidR="005E44C6">
        <w:rPr>
          <w:rFonts w:ascii="Times New Roman" w:hAnsi="Times New Roman" w:cs="Times New Roman"/>
          <w:sz w:val="24"/>
          <w:szCs w:val="24"/>
        </w:rPr>
        <w:t>allegation in the opposing affidavit that Chaimovsky lacked valid authority</w:t>
      </w:r>
      <w:r w:rsidRPr="008C07FA">
        <w:rPr>
          <w:rFonts w:ascii="Times New Roman" w:hAnsi="Times New Roman" w:cs="Times New Roman"/>
          <w:sz w:val="24"/>
          <w:szCs w:val="24"/>
        </w:rPr>
        <w:t xml:space="preserve">. </w:t>
      </w:r>
      <w:r w:rsidR="005E44C6">
        <w:rPr>
          <w:rFonts w:ascii="Times New Roman" w:hAnsi="Times New Roman" w:cs="Times New Roman"/>
          <w:sz w:val="24"/>
          <w:szCs w:val="24"/>
        </w:rPr>
        <w:t xml:space="preserve">Mr. </w:t>
      </w:r>
      <w:r w:rsidR="005E44C6" w:rsidRPr="005E44C6">
        <w:rPr>
          <w:rFonts w:ascii="Times New Roman" w:hAnsi="Times New Roman" w:cs="Times New Roman"/>
          <w:i/>
          <w:iCs/>
          <w:sz w:val="24"/>
          <w:szCs w:val="24"/>
        </w:rPr>
        <w:t>Magwaliba</w:t>
      </w:r>
      <w:r w:rsidR="005E44C6">
        <w:rPr>
          <w:rFonts w:ascii="Times New Roman" w:hAnsi="Times New Roman" w:cs="Times New Roman"/>
          <w:sz w:val="24"/>
          <w:szCs w:val="24"/>
        </w:rPr>
        <w:t xml:space="preserve"> </w:t>
      </w:r>
      <w:r w:rsidR="009B2721" w:rsidRPr="008C07FA">
        <w:rPr>
          <w:rFonts w:ascii="Times New Roman" w:hAnsi="Times New Roman" w:cs="Times New Roman"/>
          <w:sz w:val="24"/>
          <w:szCs w:val="24"/>
        </w:rPr>
        <w:t xml:space="preserve">referred to </w:t>
      </w:r>
      <w:r w:rsidR="004D2E71" w:rsidRPr="008C07FA">
        <w:rPr>
          <w:rFonts w:ascii="Times New Roman" w:hAnsi="Times New Roman" w:cs="Times New Roman"/>
          <w:sz w:val="24"/>
          <w:szCs w:val="24"/>
        </w:rPr>
        <w:t xml:space="preserve">the remarks of GARWE JA </w:t>
      </w:r>
      <w:r w:rsidR="001543C4" w:rsidRPr="008C07FA">
        <w:rPr>
          <w:rFonts w:ascii="Times New Roman" w:hAnsi="Times New Roman" w:cs="Times New Roman"/>
          <w:sz w:val="24"/>
          <w:szCs w:val="24"/>
        </w:rPr>
        <w:t>(as</w:t>
      </w:r>
      <w:r w:rsidR="004D2E71" w:rsidRPr="008C07FA">
        <w:rPr>
          <w:rFonts w:ascii="Times New Roman" w:hAnsi="Times New Roman" w:cs="Times New Roman"/>
          <w:sz w:val="24"/>
          <w:szCs w:val="24"/>
        </w:rPr>
        <w:t xml:space="preserve"> he then was</w:t>
      </w:r>
      <w:r w:rsidR="009B2721" w:rsidRPr="008C07FA">
        <w:rPr>
          <w:rFonts w:ascii="Times New Roman" w:hAnsi="Times New Roman" w:cs="Times New Roman"/>
          <w:sz w:val="24"/>
          <w:szCs w:val="24"/>
        </w:rPr>
        <w:t>)</w:t>
      </w:r>
      <w:r w:rsidR="004D2E71" w:rsidRPr="008C07FA">
        <w:rPr>
          <w:rFonts w:ascii="Times New Roman" w:hAnsi="Times New Roman" w:cs="Times New Roman"/>
          <w:sz w:val="24"/>
          <w:szCs w:val="24"/>
        </w:rPr>
        <w:t xml:space="preserve"> in </w:t>
      </w:r>
      <w:r w:rsidR="004D2E71" w:rsidRPr="008C07FA">
        <w:rPr>
          <w:rFonts w:ascii="Times New Roman" w:hAnsi="Times New Roman" w:cs="Times New Roman"/>
          <w:i/>
          <w:iCs/>
          <w:sz w:val="24"/>
          <w:szCs w:val="24"/>
        </w:rPr>
        <w:t>Cuthbert Dube v PSMAS &amp; Anor</w:t>
      </w:r>
      <w:r w:rsidR="004D2E71" w:rsidRPr="008C07FA">
        <w:rPr>
          <w:rFonts w:ascii="Times New Roman" w:hAnsi="Times New Roman" w:cs="Times New Roman"/>
          <w:sz w:val="24"/>
          <w:szCs w:val="24"/>
        </w:rPr>
        <w:t xml:space="preserve"> SC 79-19. </w:t>
      </w:r>
    </w:p>
    <w:p w14:paraId="462908BF" w14:textId="5D7FBB8C" w:rsidR="001543C4" w:rsidRDefault="004D2E71" w:rsidP="001543C4">
      <w:pPr>
        <w:spacing w:line="360" w:lineRule="auto"/>
        <w:jc w:val="both"/>
        <w:rPr>
          <w:rFonts w:ascii="Times New Roman" w:eastAsia="Calibri" w:hAnsi="Times New Roman" w:cs="Times New Roman"/>
          <w:kern w:val="0"/>
          <w:sz w:val="24"/>
          <w:szCs w:val="24"/>
          <w:lang w:val="en-GB"/>
          <w14:ligatures w14:val="none"/>
        </w:rPr>
      </w:pPr>
      <w:r w:rsidRPr="008C07FA">
        <w:rPr>
          <w:rFonts w:ascii="Times New Roman" w:hAnsi="Times New Roman" w:cs="Times New Roman"/>
          <w:sz w:val="24"/>
          <w:szCs w:val="24"/>
        </w:rPr>
        <w:t>[</w:t>
      </w:r>
      <w:r w:rsidR="00D86754">
        <w:rPr>
          <w:rFonts w:ascii="Times New Roman" w:hAnsi="Times New Roman" w:cs="Times New Roman"/>
          <w:sz w:val="24"/>
          <w:szCs w:val="24"/>
        </w:rPr>
        <w:t>30</w:t>
      </w:r>
      <w:r w:rsidRPr="008C07FA">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4D2E71">
        <w:rPr>
          <w:rFonts w:ascii="Times New Roman" w:hAnsi="Times New Roman" w:cs="Times New Roman"/>
          <w:i/>
          <w:iCs/>
          <w:sz w:val="24"/>
          <w:szCs w:val="24"/>
        </w:rPr>
        <w:t>Magwaliba</w:t>
      </w:r>
      <w:r w:rsidR="0025012A">
        <w:rPr>
          <w:rFonts w:ascii="Times New Roman" w:hAnsi="Times New Roman" w:cs="Times New Roman"/>
          <w:i/>
          <w:iCs/>
          <w:sz w:val="24"/>
          <w:szCs w:val="24"/>
        </w:rPr>
        <w:t xml:space="preserve">`s </w:t>
      </w:r>
      <w:r w:rsidR="0025012A" w:rsidRPr="0025012A">
        <w:rPr>
          <w:rFonts w:ascii="Times New Roman" w:hAnsi="Times New Roman" w:cs="Times New Roman"/>
          <w:sz w:val="24"/>
          <w:szCs w:val="24"/>
        </w:rPr>
        <w:t>submissions find favour with the Court</w:t>
      </w:r>
      <w:r w:rsidR="0025012A">
        <w:rPr>
          <w:rFonts w:ascii="Times New Roman" w:hAnsi="Times New Roman" w:cs="Times New Roman"/>
          <w:i/>
          <w:iCs/>
          <w:sz w:val="24"/>
          <w:szCs w:val="24"/>
        </w:rPr>
        <w:t>.</w:t>
      </w:r>
      <w:r>
        <w:rPr>
          <w:rFonts w:ascii="Times New Roman" w:hAnsi="Times New Roman" w:cs="Times New Roman"/>
          <w:sz w:val="24"/>
          <w:szCs w:val="24"/>
        </w:rPr>
        <w:t xml:space="preserve"> I </w:t>
      </w:r>
      <w:r w:rsidR="0025012A">
        <w:rPr>
          <w:rFonts w:ascii="Times New Roman" w:hAnsi="Times New Roman" w:cs="Times New Roman"/>
          <w:sz w:val="24"/>
          <w:szCs w:val="24"/>
        </w:rPr>
        <w:t xml:space="preserve">can do no more that </w:t>
      </w:r>
      <w:r>
        <w:rPr>
          <w:rFonts w:ascii="Times New Roman" w:hAnsi="Times New Roman" w:cs="Times New Roman"/>
          <w:sz w:val="24"/>
          <w:szCs w:val="24"/>
        </w:rPr>
        <w:t xml:space="preserve">refer to </w:t>
      </w:r>
      <w:r w:rsidR="00952D41">
        <w:rPr>
          <w:rFonts w:ascii="Times New Roman" w:hAnsi="Times New Roman" w:cs="Times New Roman"/>
          <w:sz w:val="24"/>
          <w:szCs w:val="24"/>
        </w:rPr>
        <w:t xml:space="preserve">the </w:t>
      </w:r>
      <w:r>
        <w:rPr>
          <w:rFonts w:ascii="Times New Roman" w:hAnsi="Times New Roman" w:cs="Times New Roman"/>
          <w:sz w:val="24"/>
          <w:szCs w:val="24"/>
        </w:rPr>
        <w:t xml:space="preserve">above decision where the court </w:t>
      </w:r>
      <w:r w:rsidR="001543C4">
        <w:rPr>
          <w:rFonts w:ascii="Times New Roman" w:hAnsi="Times New Roman" w:cs="Times New Roman"/>
          <w:sz w:val="24"/>
          <w:szCs w:val="24"/>
        </w:rPr>
        <w:t xml:space="preserve">held at </w:t>
      </w:r>
      <w:r w:rsidR="001543C4" w:rsidRPr="001543C4">
        <w:rPr>
          <w:rFonts w:ascii="Times New Roman" w:hAnsi="Times New Roman" w:cs="Times New Roman"/>
          <w:i/>
          <w:iCs/>
          <w:sz w:val="24"/>
          <w:szCs w:val="24"/>
        </w:rPr>
        <w:t>[38]</w:t>
      </w:r>
      <w:r w:rsidR="001543C4">
        <w:rPr>
          <w:rFonts w:ascii="Times New Roman" w:hAnsi="Times New Roman" w:cs="Times New Roman"/>
          <w:sz w:val="24"/>
          <w:szCs w:val="24"/>
        </w:rPr>
        <w:t xml:space="preserve"> that</w:t>
      </w:r>
      <w:r>
        <w:rPr>
          <w:rFonts w:ascii="Times New Roman" w:hAnsi="Times New Roman" w:cs="Times New Roman"/>
          <w:sz w:val="24"/>
          <w:szCs w:val="24"/>
        </w:rPr>
        <w:t>; -</w:t>
      </w:r>
    </w:p>
    <w:p w14:paraId="79F3E2F9" w14:textId="67BF66C2" w:rsidR="001543C4" w:rsidRDefault="001543C4" w:rsidP="004D2E71">
      <w:pPr>
        <w:spacing w:after="0" w:line="360" w:lineRule="auto"/>
        <w:ind w:left="1134"/>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i/>
          <w:iCs/>
          <w:kern w:val="0"/>
          <w:sz w:val="24"/>
          <w:szCs w:val="24"/>
          <w:lang w:val="en-GB"/>
          <w14:ligatures w14:val="none"/>
        </w:rPr>
        <w:t>“</w:t>
      </w:r>
      <w:r w:rsidRPr="001543C4">
        <w:rPr>
          <w:rFonts w:ascii="Times New Roman" w:eastAsia="Calibri" w:hAnsi="Times New Roman" w:cs="Times New Roman"/>
          <w:i/>
          <w:iCs/>
          <w:kern w:val="0"/>
          <w:sz w:val="24"/>
          <w:szCs w:val="24"/>
          <w:lang w:val="en-GB"/>
          <w14:ligatures w14:val="none"/>
        </w:rPr>
        <w:t>[ 38]</w:t>
      </w:r>
      <w:r w:rsidRPr="001543C4">
        <w:rPr>
          <w:rFonts w:ascii="Times New Roman" w:eastAsia="Calibri" w:hAnsi="Times New Roman" w:cs="Times New Roman"/>
          <w:kern w:val="0"/>
          <w:sz w:val="24"/>
          <w:szCs w:val="24"/>
          <w:lang w:val="en-GB"/>
          <w14:ligatures w14:val="none"/>
        </w:rPr>
        <w:t xml:space="preserve"> The above remarks are clear and unequivocal. A person who represents a legal entity, when challenged, must show that </w:t>
      </w:r>
      <w:r w:rsidRPr="001543C4">
        <w:rPr>
          <w:rFonts w:ascii="Times New Roman" w:eastAsia="Calibri" w:hAnsi="Times New Roman" w:cs="Times New Roman"/>
          <w:kern w:val="0"/>
          <w:sz w:val="24"/>
          <w:szCs w:val="24"/>
          <w:u w:val="single"/>
          <w:lang w:val="en-GB"/>
          <w14:ligatures w14:val="none"/>
        </w:rPr>
        <w:t>he is duly authorised to represent the entity.</w:t>
      </w:r>
      <w:r w:rsidRPr="001543C4">
        <w:rPr>
          <w:rFonts w:ascii="Times New Roman" w:eastAsia="Calibri" w:hAnsi="Times New Roman" w:cs="Times New Roman"/>
          <w:kern w:val="0"/>
          <w:sz w:val="24"/>
          <w:szCs w:val="24"/>
          <w:lang w:val="en-GB"/>
          <w14:ligatures w14:val="none"/>
        </w:rPr>
        <w:t xml:space="preserve">  His mere claim that by virtue of the position he holds in such an entity he is duly authorised to represent the entity is not sufficient.  </w:t>
      </w:r>
      <w:r w:rsidRPr="001543C4">
        <w:rPr>
          <w:rFonts w:ascii="Times New Roman" w:eastAsia="Calibri" w:hAnsi="Times New Roman" w:cs="Times New Roman"/>
          <w:kern w:val="0"/>
          <w:sz w:val="24"/>
          <w:szCs w:val="24"/>
          <w:u w:val="single"/>
          <w:lang w:val="en-GB"/>
          <w14:ligatures w14:val="none"/>
        </w:rPr>
        <w:t>He must produce a resolution of the board of that entity which confirms that the board is indeed aware of the proceedings and that it has given such a person the authority to act in the stead of the entity.</w:t>
      </w:r>
      <w:r w:rsidRPr="001543C4">
        <w:rPr>
          <w:rFonts w:ascii="Times New Roman" w:eastAsia="Calibri" w:hAnsi="Times New Roman" w:cs="Times New Roman"/>
          <w:kern w:val="0"/>
          <w:sz w:val="24"/>
          <w:szCs w:val="24"/>
          <w:lang w:val="en-GB"/>
          <w14:ligatures w14:val="none"/>
        </w:rPr>
        <w:t xml:space="preserve">  </w:t>
      </w:r>
      <w:r w:rsidRPr="001543C4">
        <w:rPr>
          <w:rFonts w:ascii="Times New Roman" w:eastAsia="Calibri" w:hAnsi="Times New Roman" w:cs="Times New Roman"/>
          <w:i/>
          <w:iCs/>
          <w:kern w:val="0"/>
          <w:sz w:val="24"/>
          <w:szCs w:val="24"/>
          <w:u w:val="single"/>
          <w:lang w:val="en-GB"/>
          <w14:ligatures w14:val="none"/>
        </w:rPr>
        <w:t>I stress that the need to produce such proof is necessary only in those cases where the authority of the deponent is put in issue</w:t>
      </w:r>
      <w:r w:rsidRPr="001543C4">
        <w:rPr>
          <w:rFonts w:ascii="Times New Roman" w:eastAsia="Calibri" w:hAnsi="Times New Roman" w:cs="Times New Roman"/>
          <w:kern w:val="0"/>
          <w:sz w:val="24"/>
          <w:szCs w:val="24"/>
          <w:lang w:val="en-GB"/>
          <w14:ligatures w14:val="none"/>
        </w:rPr>
        <w:t xml:space="preserve">.  This represents </w:t>
      </w:r>
      <w:r w:rsidRPr="001543C4">
        <w:rPr>
          <w:rFonts w:ascii="Times New Roman" w:eastAsia="Calibri" w:hAnsi="Times New Roman" w:cs="Times New Roman"/>
          <w:kern w:val="0"/>
          <w:sz w:val="24"/>
          <w:szCs w:val="24"/>
          <w:lang w:val="en-GB"/>
          <w14:ligatures w14:val="none"/>
        </w:rPr>
        <w:lastRenderedPageBreak/>
        <w:t>the current state of the law in this country.</w:t>
      </w:r>
      <w:r>
        <w:rPr>
          <w:rFonts w:ascii="Times New Roman" w:eastAsia="Calibri" w:hAnsi="Times New Roman" w:cs="Times New Roman"/>
          <w:kern w:val="0"/>
          <w:sz w:val="24"/>
          <w:szCs w:val="24"/>
          <w:lang w:val="en-GB"/>
          <w14:ligatures w14:val="none"/>
        </w:rPr>
        <w:t>” [ underlined and italicised for emphasis].</w:t>
      </w:r>
    </w:p>
    <w:p w14:paraId="10AE7E91" w14:textId="77777777" w:rsidR="001543C4" w:rsidRPr="004D2E71" w:rsidRDefault="001543C4" w:rsidP="004D2E71">
      <w:pPr>
        <w:spacing w:after="0" w:line="360" w:lineRule="auto"/>
        <w:ind w:left="1134"/>
        <w:jc w:val="both"/>
        <w:rPr>
          <w:rFonts w:ascii="Times New Roman" w:eastAsia="Calibri" w:hAnsi="Times New Roman" w:cs="Times New Roman"/>
          <w:i/>
          <w:iCs/>
          <w:kern w:val="0"/>
          <w:sz w:val="24"/>
          <w:szCs w:val="24"/>
          <w:lang w:val="en-GB"/>
          <w14:ligatures w14:val="none"/>
        </w:rPr>
      </w:pPr>
    </w:p>
    <w:p w14:paraId="17909CBE" w14:textId="37540C53" w:rsidR="00533625" w:rsidRDefault="001543C4"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guidance applies to </w:t>
      </w:r>
      <w:r w:rsidR="0025012A">
        <w:rPr>
          <w:rFonts w:ascii="Times New Roman" w:hAnsi="Times New Roman" w:cs="Times New Roman"/>
          <w:sz w:val="24"/>
          <w:szCs w:val="24"/>
        </w:rPr>
        <w:t>the very facts</w:t>
      </w:r>
      <w:r>
        <w:rPr>
          <w:rFonts w:ascii="Times New Roman" w:hAnsi="Times New Roman" w:cs="Times New Roman"/>
          <w:sz w:val="24"/>
          <w:szCs w:val="24"/>
        </w:rPr>
        <w:t xml:space="preserve"> </w:t>
      </w:r>
      <w:r w:rsidR="0025012A">
        <w:rPr>
          <w:rFonts w:ascii="Times New Roman" w:hAnsi="Times New Roman" w:cs="Times New Roman"/>
          <w:sz w:val="24"/>
          <w:szCs w:val="24"/>
        </w:rPr>
        <w:t xml:space="preserve">of the present </w:t>
      </w:r>
      <w:r w:rsidR="0025620D">
        <w:rPr>
          <w:rFonts w:ascii="Times New Roman" w:hAnsi="Times New Roman" w:cs="Times New Roman"/>
          <w:sz w:val="24"/>
          <w:szCs w:val="24"/>
        </w:rPr>
        <w:t xml:space="preserve">matter. Nothing further needs be said on this point apart from stating that the objection is </w:t>
      </w:r>
      <w:r w:rsidR="0025012A">
        <w:rPr>
          <w:rFonts w:ascii="Times New Roman" w:hAnsi="Times New Roman" w:cs="Times New Roman"/>
          <w:sz w:val="24"/>
          <w:szCs w:val="24"/>
        </w:rPr>
        <w:t xml:space="preserve">bereft of </w:t>
      </w:r>
      <w:r w:rsidR="0025620D">
        <w:rPr>
          <w:rFonts w:ascii="Times New Roman" w:hAnsi="Times New Roman" w:cs="Times New Roman"/>
          <w:sz w:val="24"/>
          <w:szCs w:val="24"/>
        </w:rPr>
        <w:t xml:space="preserve">merit </w:t>
      </w:r>
      <w:r w:rsidR="0025012A">
        <w:rPr>
          <w:rFonts w:ascii="Times New Roman" w:hAnsi="Times New Roman" w:cs="Times New Roman"/>
          <w:sz w:val="24"/>
          <w:szCs w:val="24"/>
        </w:rPr>
        <w:t xml:space="preserve">and must accordingly </w:t>
      </w:r>
      <w:r w:rsidR="0025620D">
        <w:rPr>
          <w:rFonts w:ascii="Times New Roman" w:hAnsi="Times New Roman" w:cs="Times New Roman"/>
          <w:sz w:val="24"/>
          <w:szCs w:val="24"/>
        </w:rPr>
        <w:t>fail.</w:t>
      </w:r>
    </w:p>
    <w:p w14:paraId="4080F393" w14:textId="0D278564" w:rsidR="00533625" w:rsidRDefault="00533625"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533625">
        <w:rPr>
          <w:rFonts w:ascii="Times New Roman" w:hAnsi="Times New Roman" w:cs="Times New Roman"/>
          <w:i/>
          <w:iCs/>
          <w:sz w:val="24"/>
          <w:szCs w:val="24"/>
        </w:rPr>
        <w:t>IN LIMINE</w:t>
      </w:r>
      <w:r>
        <w:rPr>
          <w:rFonts w:ascii="Times New Roman" w:hAnsi="Times New Roman" w:cs="Times New Roman"/>
          <w:sz w:val="24"/>
          <w:szCs w:val="24"/>
        </w:rPr>
        <w:t>: PRESCRIPTION</w:t>
      </w:r>
    </w:p>
    <w:p w14:paraId="02A0C5BE" w14:textId="42591797" w:rsidR="004D2E71" w:rsidRDefault="00533625"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86754">
        <w:rPr>
          <w:rFonts w:ascii="Times New Roman" w:hAnsi="Times New Roman" w:cs="Times New Roman"/>
          <w:sz w:val="24"/>
          <w:szCs w:val="24"/>
        </w:rPr>
        <w:t>31</w:t>
      </w:r>
      <w:r>
        <w:rPr>
          <w:rFonts w:ascii="Times New Roman" w:hAnsi="Times New Roman" w:cs="Times New Roman"/>
          <w:sz w:val="24"/>
          <w:szCs w:val="24"/>
        </w:rPr>
        <w:t xml:space="preserve">] </w:t>
      </w:r>
      <w:r w:rsidR="003A6BD0">
        <w:rPr>
          <w:rFonts w:ascii="Times New Roman" w:hAnsi="Times New Roman" w:cs="Times New Roman"/>
          <w:sz w:val="24"/>
          <w:szCs w:val="24"/>
        </w:rPr>
        <w:t>I find</w:t>
      </w:r>
      <w:r w:rsidR="001543C4">
        <w:rPr>
          <w:rFonts w:ascii="Times New Roman" w:hAnsi="Times New Roman" w:cs="Times New Roman"/>
          <w:sz w:val="24"/>
          <w:szCs w:val="24"/>
        </w:rPr>
        <w:t xml:space="preserve"> it </w:t>
      </w:r>
      <w:r w:rsidR="003A6BD0">
        <w:rPr>
          <w:rFonts w:ascii="Times New Roman" w:hAnsi="Times New Roman" w:cs="Times New Roman"/>
          <w:sz w:val="24"/>
          <w:szCs w:val="24"/>
        </w:rPr>
        <w:t>useful, in</w:t>
      </w:r>
      <w:r w:rsidR="0025012A">
        <w:rPr>
          <w:rFonts w:ascii="Times New Roman" w:hAnsi="Times New Roman" w:cs="Times New Roman"/>
          <w:sz w:val="24"/>
          <w:szCs w:val="24"/>
        </w:rPr>
        <w:t xml:space="preserve"> addressing this point,</w:t>
      </w:r>
      <w:r w:rsidR="001543C4">
        <w:rPr>
          <w:rFonts w:ascii="Times New Roman" w:hAnsi="Times New Roman" w:cs="Times New Roman"/>
          <w:sz w:val="24"/>
          <w:szCs w:val="24"/>
        </w:rPr>
        <w:t xml:space="preserve"> to reproduce Mr.</w:t>
      </w:r>
      <w:r w:rsidR="001543C4" w:rsidRPr="001543C4">
        <w:rPr>
          <w:rFonts w:ascii="Times New Roman" w:hAnsi="Times New Roman" w:cs="Times New Roman"/>
          <w:i/>
          <w:iCs/>
          <w:sz w:val="24"/>
          <w:szCs w:val="24"/>
        </w:rPr>
        <w:t xml:space="preserve"> Mpofu</w:t>
      </w:r>
      <w:r w:rsidR="001543C4">
        <w:rPr>
          <w:rFonts w:ascii="Times New Roman" w:hAnsi="Times New Roman" w:cs="Times New Roman"/>
          <w:sz w:val="24"/>
          <w:szCs w:val="24"/>
        </w:rPr>
        <w:t xml:space="preserve"> (for Nedbank) `s opening address in his written submissions</w:t>
      </w:r>
      <w:r w:rsidR="001543C4">
        <w:rPr>
          <w:rStyle w:val="FootnoteReference"/>
          <w:rFonts w:ascii="Times New Roman" w:hAnsi="Times New Roman" w:cs="Times New Roman"/>
          <w:sz w:val="24"/>
          <w:szCs w:val="24"/>
        </w:rPr>
        <w:footnoteReference w:id="1"/>
      </w:r>
      <w:r w:rsidR="001543C4">
        <w:rPr>
          <w:rFonts w:ascii="Times New Roman" w:hAnsi="Times New Roman" w:cs="Times New Roman"/>
          <w:sz w:val="24"/>
          <w:szCs w:val="24"/>
        </w:rPr>
        <w:t xml:space="preserve"> wherein counsel stated thus; -</w:t>
      </w:r>
    </w:p>
    <w:p w14:paraId="693A19BA" w14:textId="4A20557D" w:rsidR="001543C4" w:rsidRDefault="00952D41" w:rsidP="0021621A">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“A mandate-mandatary relationship exists between applicant and respondent. Applicant sues on that relationship in the founding affidavit and on the aquilian action in the answering affidavit. The case is confused. The confusion that afflicts applicant is not easy to account for. Even more pernicious is its failure to understand the effect of the change in currency had on the relationship between the parties. It is submitted that the application </w:t>
      </w:r>
      <w:r w:rsidR="0021621A">
        <w:rPr>
          <w:rFonts w:ascii="Times New Roman" w:hAnsi="Times New Roman" w:cs="Times New Roman"/>
          <w:sz w:val="24"/>
          <w:szCs w:val="24"/>
        </w:rPr>
        <w:t>is completely without merit and must be dismissed with costs. The fact that applicant has suffered losses is down to the law. Our courts have already held as much-</w:t>
      </w:r>
      <w:r w:rsidR="0021621A" w:rsidRPr="00D92F6A">
        <w:rPr>
          <w:rFonts w:ascii="Times New Roman" w:hAnsi="Times New Roman" w:cs="Times New Roman"/>
          <w:i/>
          <w:iCs/>
          <w:sz w:val="24"/>
          <w:szCs w:val="24"/>
        </w:rPr>
        <w:t>Akram v Mukwindidza &amp; Anor</w:t>
      </w:r>
      <w:r w:rsidR="0021621A">
        <w:rPr>
          <w:rFonts w:ascii="Times New Roman" w:hAnsi="Times New Roman" w:cs="Times New Roman"/>
          <w:sz w:val="24"/>
          <w:szCs w:val="24"/>
        </w:rPr>
        <w:t xml:space="preserve"> HH 522-21”</w:t>
      </w:r>
    </w:p>
    <w:p w14:paraId="639AAC5F" w14:textId="5963F3A3" w:rsidR="003E0D25" w:rsidRDefault="0021621A"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86754">
        <w:rPr>
          <w:rFonts w:ascii="Times New Roman" w:hAnsi="Times New Roman" w:cs="Times New Roman"/>
          <w:sz w:val="24"/>
          <w:szCs w:val="24"/>
        </w:rPr>
        <w:t>32</w:t>
      </w:r>
      <w:r>
        <w:rPr>
          <w:rFonts w:ascii="Times New Roman" w:hAnsi="Times New Roman" w:cs="Times New Roman"/>
          <w:sz w:val="24"/>
          <w:szCs w:val="24"/>
        </w:rPr>
        <w:t xml:space="preserve">] Aside from </w:t>
      </w:r>
      <w:r w:rsidR="00EB3628">
        <w:rPr>
          <w:rFonts w:ascii="Times New Roman" w:hAnsi="Times New Roman" w:cs="Times New Roman"/>
          <w:sz w:val="24"/>
          <w:szCs w:val="24"/>
        </w:rPr>
        <w:t xml:space="preserve">its </w:t>
      </w:r>
      <w:r w:rsidR="006B3BEE">
        <w:rPr>
          <w:rFonts w:ascii="Times New Roman" w:hAnsi="Times New Roman" w:cs="Times New Roman"/>
          <w:sz w:val="24"/>
          <w:szCs w:val="24"/>
        </w:rPr>
        <w:t xml:space="preserve">obviously partisan </w:t>
      </w:r>
      <w:r w:rsidR="00EB3628">
        <w:rPr>
          <w:rFonts w:ascii="Times New Roman" w:hAnsi="Times New Roman" w:cs="Times New Roman"/>
          <w:sz w:val="24"/>
          <w:szCs w:val="24"/>
        </w:rPr>
        <w:t>flechettes,</w:t>
      </w:r>
      <w:r>
        <w:rPr>
          <w:rFonts w:ascii="Times New Roman" w:hAnsi="Times New Roman" w:cs="Times New Roman"/>
          <w:sz w:val="24"/>
          <w:szCs w:val="24"/>
        </w:rPr>
        <w:t xml:space="preserve"> </w:t>
      </w:r>
      <w:r w:rsidR="006B3BEE">
        <w:rPr>
          <w:rFonts w:ascii="Times New Roman" w:hAnsi="Times New Roman" w:cs="Times New Roman"/>
          <w:sz w:val="24"/>
          <w:szCs w:val="24"/>
        </w:rPr>
        <w:t>the submission adverts to the complexities</w:t>
      </w:r>
      <w:r>
        <w:rPr>
          <w:rFonts w:ascii="Times New Roman" w:hAnsi="Times New Roman" w:cs="Times New Roman"/>
          <w:sz w:val="24"/>
          <w:szCs w:val="24"/>
        </w:rPr>
        <w:t xml:space="preserve"> </w:t>
      </w:r>
      <w:r w:rsidR="003E0ED1">
        <w:rPr>
          <w:rFonts w:ascii="Times New Roman" w:hAnsi="Times New Roman" w:cs="Times New Roman"/>
          <w:sz w:val="24"/>
          <w:szCs w:val="24"/>
        </w:rPr>
        <w:t>a</w:t>
      </w:r>
      <w:r w:rsidR="006B3BEE">
        <w:rPr>
          <w:rFonts w:ascii="Times New Roman" w:hAnsi="Times New Roman" w:cs="Times New Roman"/>
          <w:sz w:val="24"/>
          <w:szCs w:val="24"/>
        </w:rPr>
        <w:t>rising from to</w:t>
      </w:r>
      <w:r w:rsidR="003E0ED1">
        <w:rPr>
          <w:rFonts w:ascii="Times New Roman" w:hAnsi="Times New Roman" w:cs="Times New Roman"/>
          <w:sz w:val="24"/>
          <w:szCs w:val="24"/>
        </w:rPr>
        <w:t xml:space="preserve"> t</w:t>
      </w:r>
      <w:r w:rsidR="003A6BD0">
        <w:rPr>
          <w:rFonts w:ascii="Times New Roman" w:hAnsi="Times New Roman" w:cs="Times New Roman"/>
          <w:sz w:val="24"/>
          <w:szCs w:val="24"/>
        </w:rPr>
        <w:t xml:space="preserve">he </w:t>
      </w:r>
      <w:r w:rsidR="006B3BEE">
        <w:rPr>
          <w:rFonts w:ascii="Times New Roman" w:hAnsi="Times New Roman" w:cs="Times New Roman"/>
          <w:sz w:val="24"/>
          <w:szCs w:val="24"/>
        </w:rPr>
        <w:t>causa. In addition to the resultant</w:t>
      </w:r>
      <w:r w:rsidR="003A6BD0">
        <w:rPr>
          <w:rFonts w:ascii="Times New Roman" w:hAnsi="Times New Roman" w:cs="Times New Roman"/>
          <w:sz w:val="24"/>
          <w:szCs w:val="24"/>
        </w:rPr>
        <w:t xml:space="preserve"> discretionary considerations applicable in this matter.</w:t>
      </w:r>
    </w:p>
    <w:p w14:paraId="5CA9C65E" w14:textId="5E4F791B" w:rsidR="003E0D25" w:rsidRDefault="003E0D25"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B3628">
        <w:rPr>
          <w:rFonts w:ascii="Times New Roman" w:hAnsi="Times New Roman" w:cs="Times New Roman"/>
          <w:sz w:val="24"/>
          <w:szCs w:val="24"/>
        </w:rPr>
        <w:t>3</w:t>
      </w:r>
      <w:r w:rsidR="00D86754">
        <w:rPr>
          <w:rFonts w:ascii="Times New Roman" w:hAnsi="Times New Roman" w:cs="Times New Roman"/>
          <w:sz w:val="24"/>
          <w:szCs w:val="24"/>
        </w:rPr>
        <w:t>3</w:t>
      </w:r>
      <w:r>
        <w:rPr>
          <w:rFonts w:ascii="Times New Roman" w:hAnsi="Times New Roman" w:cs="Times New Roman"/>
          <w:sz w:val="24"/>
          <w:szCs w:val="24"/>
        </w:rPr>
        <w:t xml:space="preserve">] Mr. </w:t>
      </w:r>
      <w:r w:rsidRPr="00373BDE">
        <w:rPr>
          <w:rFonts w:ascii="Times New Roman" w:hAnsi="Times New Roman" w:cs="Times New Roman"/>
          <w:i/>
          <w:iCs/>
          <w:sz w:val="24"/>
          <w:szCs w:val="24"/>
        </w:rPr>
        <w:t xml:space="preserve">Mpofu </w:t>
      </w:r>
      <w:r w:rsidR="003A6BD0">
        <w:rPr>
          <w:rFonts w:ascii="Times New Roman" w:hAnsi="Times New Roman" w:cs="Times New Roman"/>
          <w:sz w:val="24"/>
          <w:szCs w:val="24"/>
        </w:rPr>
        <w:t xml:space="preserve">insisted that </w:t>
      </w:r>
      <w:r w:rsidR="005B1D0F">
        <w:rPr>
          <w:rFonts w:ascii="Times New Roman" w:hAnsi="Times New Roman" w:cs="Times New Roman"/>
          <w:sz w:val="24"/>
          <w:szCs w:val="24"/>
        </w:rPr>
        <w:t xml:space="preserve">the cause of action </w:t>
      </w:r>
      <w:r w:rsidR="003A6BD0">
        <w:rPr>
          <w:rFonts w:ascii="Times New Roman" w:hAnsi="Times New Roman" w:cs="Times New Roman"/>
          <w:sz w:val="24"/>
          <w:szCs w:val="24"/>
        </w:rPr>
        <w:t>sprang from the c</w:t>
      </w:r>
      <w:r w:rsidR="005B1D0F">
        <w:rPr>
          <w:rFonts w:ascii="Times New Roman" w:hAnsi="Times New Roman" w:cs="Times New Roman"/>
          <w:sz w:val="24"/>
          <w:szCs w:val="24"/>
        </w:rPr>
        <w:t xml:space="preserve">onversion of the funds in the Escrow account to local RTGS dollars by lawful operation of Directive </w:t>
      </w:r>
      <w:r>
        <w:rPr>
          <w:rFonts w:ascii="Times New Roman" w:hAnsi="Times New Roman" w:cs="Times New Roman"/>
          <w:sz w:val="24"/>
          <w:szCs w:val="24"/>
        </w:rPr>
        <w:t>RT120/</w:t>
      </w:r>
      <w:r w:rsidR="005B1D0F">
        <w:rPr>
          <w:rFonts w:ascii="Times New Roman" w:hAnsi="Times New Roman" w:cs="Times New Roman"/>
          <w:sz w:val="24"/>
          <w:szCs w:val="24"/>
        </w:rPr>
        <w:t xml:space="preserve">18 issued on 4 October 2018. On that </w:t>
      </w:r>
      <w:r w:rsidR="00B9411B">
        <w:rPr>
          <w:rFonts w:ascii="Times New Roman" w:hAnsi="Times New Roman" w:cs="Times New Roman"/>
          <w:sz w:val="24"/>
          <w:szCs w:val="24"/>
        </w:rPr>
        <w:t>basis, he</w:t>
      </w:r>
      <w:r w:rsidR="005B1D0F">
        <w:rPr>
          <w:rFonts w:ascii="Times New Roman" w:hAnsi="Times New Roman" w:cs="Times New Roman"/>
          <w:sz w:val="24"/>
          <w:szCs w:val="24"/>
        </w:rPr>
        <w:t xml:space="preserve"> </w:t>
      </w:r>
      <w:r w:rsidR="005F5C7C">
        <w:rPr>
          <w:rFonts w:ascii="Times New Roman" w:hAnsi="Times New Roman" w:cs="Times New Roman"/>
          <w:sz w:val="24"/>
          <w:szCs w:val="24"/>
        </w:rPr>
        <w:t xml:space="preserve">calculated </w:t>
      </w:r>
      <w:r w:rsidR="003A6BD0">
        <w:rPr>
          <w:rFonts w:ascii="Times New Roman" w:hAnsi="Times New Roman" w:cs="Times New Roman"/>
          <w:sz w:val="24"/>
          <w:szCs w:val="24"/>
        </w:rPr>
        <w:t xml:space="preserve">the three (3) year prescription period as </w:t>
      </w:r>
      <w:r w:rsidR="005F5C7C">
        <w:rPr>
          <w:rFonts w:ascii="Times New Roman" w:hAnsi="Times New Roman" w:cs="Times New Roman"/>
          <w:sz w:val="24"/>
          <w:szCs w:val="24"/>
        </w:rPr>
        <w:t xml:space="preserve">having </w:t>
      </w:r>
      <w:r w:rsidR="0090049C">
        <w:rPr>
          <w:rFonts w:ascii="Times New Roman" w:hAnsi="Times New Roman" w:cs="Times New Roman"/>
          <w:sz w:val="24"/>
          <w:szCs w:val="24"/>
        </w:rPr>
        <w:t>run from</w:t>
      </w:r>
      <w:r w:rsidR="003A6BD0">
        <w:rPr>
          <w:rFonts w:ascii="Times New Roman" w:hAnsi="Times New Roman" w:cs="Times New Roman"/>
          <w:sz w:val="24"/>
          <w:szCs w:val="24"/>
        </w:rPr>
        <w:t xml:space="preserve"> 4 October 2018 to </w:t>
      </w:r>
      <w:r w:rsidR="005F5C7C">
        <w:rPr>
          <w:rFonts w:ascii="Times New Roman" w:hAnsi="Times New Roman" w:cs="Times New Roman"/>
          <w:sz w:val="24"/>
          <w:szCs w:val="24"/>
        </w:rPr>
        <w:t xml:space="preserve">expire on </w:t>
      </w:r>
      <w:r>
        <w:rPr>
          <w:rFonts w:ascii="Times New Roman" w:hAnsi="Times New Roman" w:cs="Times New Roman"/>
          <w:sz w:val="24"/>
          <w:szCs w:val="24"/>
        </w:rPr>
        <w:t>4 October 2021</w:t>
      </w:r>
      <w:r w:rsidR="005B1D0F">
        <w:rPr>
          <w:rFonts w:ascii="Times New Roman" w:hAnsi="Times New Roman" w:cs="Times New Roman"/>
          <w:sz w:val="24"/>
          <w:szCs w:val="24"/>
        </w:rPr>
        <w:t>.</w:t>
      </w:r>
      <w:r w:rsidR="00061E0E">
        <w:rPr>
          <w:rFonts w:ascii="Times New Roman" w:hAnsi="Times New Roman" w:cs="Times New Roman"/>
          <w:sz w:val="24"/>
          <w:szCs w:val="24"/>
        </w:rPr>
        <w:t>I may mention at this stage th</w:t>
      </w:r>
      <w:r w:rsidR="00D86754">
        <w:rPr>
          <w:rFonts w:ascii="Times New Roman" w:hAnsi="Times New Roman" w:cs="Times New Roman"/>
          <w:sz w:val="24"/>
          <w:szCs w:val="24"/>
        </w:rPr>
        <w:t xml:space="preserve">e prescription plea did not extend to impeach Magic Software`s claim under section 44C (2) (b). </w:t>
      </w:r>
    </w:p>
    <w:p w14:paraId="42B37E1B" w14:textId="6E5023FF" w:rsidR="00692297" w:rsidRDefault="00D91E37"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6D4E">
        <w:rPr>
          <w:rFonts w:ascii="Times New Roman" w:hAnsi="Times New Roman" w:cs="Times New Roman"/>
          <w:sz w:val="24"/>
          <w:szCs w:val="24"/>
        </w:rPr>
        <w:t>3</w:t>
      </w:r>
      <w:r w:rsidR="003242F6">
        <w:rPr>
          <w:rFonts w:ascii="Times New Roman" w:hAnsi="Times New Roman" w:cs="Times New Roman"/>
          <w:sz w:val="24"/>
          <w:szCs w:val="24"/>
        </w:rPr>
        <w:t>4</w:t>
      </w:r>
      <w:r>
        <w:rPr>
          <w:rFonts w:ascii="Times New Roman" w:hAnsi="Times New Roman" w:cs="Times New Roman"/>
          <w:sz w:val="24"/>
          <w:szCs w:val="24"/>
        </w:rPr>
        <w:t xml:space="preserve">] </w:t>
      </w:r>
      <w:r w:rsidR="00384AEA">
        <w:rPr>
          <w:rFonts w:ascii="Times New Roman" w:hAnsi="Times New Roman" w:cs="Times New Roman"/>
          <w:sz w:val="24"/>
          <w:szCs w:val="24"/>
        </w:rPr>
        <w:t xml:space="preserve">Mr. </w:t>
      </w:r>
      <w:r w:rsidR="00384AEA" w:rsidRPr="0082494F">
        <w:rPr>
          <w:rFonts w:ascii="Times New Roman" w:hAnsi="Times New Roman" w:cs="Times New Roman"/>
          <w:i/>
          <w:iCs/>
          <w:sz w:val="24"/>
          <w:szCs w:val="24"/>
        </w:rPr>
        <w:t>Magwaliba</w:t>
      </w:r>
      <w:r w:rsidR="00384AEA">
        <w:rPr>
          <w:rFonts w:ascii="Times New Roman" w:hAnsi="Times New Roman" w:cs="Times New Roman"/>
          <w:sz w:val="24"/>
          <w:szCs w:val="24"/>
        </w:rPr>
        <w:t>` s</w:t>
      </w:r>
      <w:r>
        <w:rPr>
          <w:rFonts w:ascii="Times New Roman" w:hAnsi="Times New Roman" w:cs="Times New Roman"/>
          <w:sz w:val="24"/>
          <w:szCs w:val="24"/>
        </w:rPr>
        <w:t xml:space="preserve"> argument</w:t>
      </w:r>
      <w:r w:rsidR="00384AEA">
        <w:rPr>
          <w:rFonts w:ascii="Times New Roman" w:hAnsi="Times New Roman" w:cs="Times New Roman"/>
          <w:sz w:val="24"/>
          <w:szCs w:val="24"/>
        </w:rPr>
        <w:t xml:space="preserve"> as I understood it</w:t>
      </w:r>
      <w:r w:rsidR="00915306">
        <w:rPr>
          <w:rFonts w:ascii="Times New Roman" w:hAnsi="Times New Roman" w:cs="Times New Roman"/>
          <w:sz w:val="24"/>
          <w:szCs w:val="24"/>
        </w:rPr>
        <w:t>,</w:t>
      </w:r>
      <w:r w:rsidR="00384AEA">
        <w:rPr>
          <w:rFonts w:ascii="Times New Roman" w:hAnsi="Times New Roman" w:cs="Times New Roman"/>
          <w:sz w:val="24"/>
          <w:szCs w:val="24"/>
        </w:rPr>
        <w:t xml:space="preserve"> was based on three heads. Firstly, he submitted </w:t>
      </w:r>
      <w:r w:rsidR="00915306">
        <w:rPr>
          <w:rFonts w:ascii="Times New Roman" w:hAnsi="Times New Roman" w:cs="Times New Roman"/>
          <w:sz w:val="24"/>
          <w:szCs w:val="24"/>
        </w:rPr>
        <w:t xml:space="preserve">that </w:t>
      </w:r>
      <w:r w:rsidR="00EA4323">
        <w:rPr>
          <w:rFonts w:ascii="Times New Roman" w:hAnsi="Times New Roman" w:cs="Times New Roman"/>
          <w:sz w:val="24"/>
          <w:szCs w:val="24"/>
        </w:rPr>
        <w:t>Magic Software received n</w:t>
      </w:r>
      <w:r w:rsidR="00692297">
        <w:rPr>
          <w:rFonts w:ascii="Times New Roman" w:hAnsi="Times New Roman" w:cs="Times New Roman"/>
          <w:sz w:val="24"/>
          <w:szCs w:val="24"/>
        </w:rPr>
        <w:t xml:space="preserve">o </w:t>
      </w:r>
      <w:r w:rsidR="00EA4323">
        <w:rPr>
          <w:rFonts w:ascii="Times New Roman" w:hAnsi="Times New Roman" w:cs="Times New Roman"/>
          <w:sz w:val="24"/>
          <w:szCs w:val="24"/>
        </w:rPr>
        <w:t xml:space="preserve">notice of </w:t>
      </w:r>
      <w:r w:rsidR="00692297">
        <w:rPr>
          <w:rFonts w:ascii="Times New Roman" w:hAnsi="Times New Roman" w:cs="Times New Roman"/>
          <w:sz w:val="24"/>
          <w:szCs w:val="24"/>
        </w:rPr>
        <w:t xml:space="preserve">the publication of </w:t>
      </w:r>
      <w:r w:rsidR="00EA4323">
        <w:rPr>
          <w:rFonts w:ascii="Times New Roman" w:hAnsi="Times New Roman" w:cs="Times New Roman"/>
          <w:sz w:val="24"/>
          <w:szCs w:val="24"/>
        </w:rPr>
        <w:t xml:space="preserve">Directive RT 120/18. </w:t>
      </w:r>
      <w:r w:rsidR="00184CE1">
        <w:rPr>
          <w:rFonts w:ascii="Times New Roman" w:hAnsi="Times New Roman" w:cs="Times New Roman"/>
          <w:sz w:val="24"/>
          <w:szCs w:val="24"/>
        </w:rPr>
        <w:lastRenderedPageBreak/>
        <w:t xml:space="preserve">Magic Software </w:t>
      </w:r>
      <w:r w:rsidR="00692297">
        <w:rPr>
          <w:rFonts w:ascii="Times New Roman" w:hAnsi="Times New Roman" w:cs="Times New Roman"/>
          <w:sz w:val="24"/>
          <w:szCs w:val="24"/>
        </w:rPr>
        <w:t xml:space="preserve">was based in Israel and the Directive was </w:t>
      </w:r>
      <w:r w:rsidR="00B9411B">
        <w:rPr>
          <w:rFonts w:ascii="Times New Roman" w:hAnsi="Times New Roman" w:cs="Times New Roman"/>
          <w:sz w:val="24"/>
          <w:szCs w:val="24"/>
        </w:rPr>
        <w:t xml:space="preserve">not </w:t>
      </w:r>
      <w:r w:rsidR="00692297">
        <w:rPr>
          <w:rFonts w:ascii="Times New Roman" w:hAnsi="Times New Roman" w:cs="Times New Roman"/>
          <w:sz w:val="24"/>
          <w:szCs w:val="24"/>
        </w:rPr>
        <w:t>circulated in that jurisdiction. Nedbank had furnished no proof of delivery of the Directive RT120/18 on Magic Software.</w:t>
      </w:r>
    </w:p>
    <w:p w14:paraId="3EB3D066" w14:textId="69FD26A2" w:rsidR="0082494F" w:rsidRDefault="00692297"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[ 3</w:t>
      </w:r>
      <w:r w:rsidR="003242F6">
        <w:rPr>
          <w:rFonts w:ascii="Times New Roman" w:hAnsi="Times New Roman" w:cs="Times New Roman"/>
          <w:sz w:val="24"/>
          <w:szCs w:val="24"/>
        </w:rPr>
        <w:t>5</w:t>
      </w:r>
      <w:r>
        <w:rPr>
          <w:rFonts w:ascii="Times New Roman" w:hAnsi="Times New Roman" w:cs="Times New Roman"/>
          <w:sz w:val="24"/>
          <w:szCs w:val="24"/>
        </w:rPr>
        <w:t>] In</w:t>
      </w:r>
      <w:r w:rsidR="00EA4323">
        <w:rPr>
          <w:rFonts w:ascii="Times New Roman" w:hAnsi="Times New Roman" w:cs="Times New Roman"/>
          <w:sz w:val="24"/>
          <w:szCs w:val="24"/>
        </w:rPr>
        <w:t xml:space="preserve"> that regard, Magic</w:t>
      </w:r>
      <w:r w:rsidR="00915306">
        <w:rPr>
          <w:rFonts w:ascii="Times New Roman" w:hAnsi="Times New Roman" w:cs="Times New Roman"/>
          <w:sz w:val="24"/>
          <w:szCs w:val="24"/>
        </w:rPr>
        <w:t xml:space="preserve"> Software </w:t>
      </w:r>
      <w:r w:rsidR="00EA4323">
        <w:rPr>
          <w:rFonts w:ascii="Times New Roman" w:hAnsi="Times New Roman" w:cs="Times New Roman"/>
          <w:sz w:val="24"/>
          <w:szCs w:val="24"/>
        </w:rPr>
        <w:t xml:space="preserve">had </w:t>
      </w:r>
      <w:r>
        <w:rPr>
          <w:rFonts w:ascii="Times New Roman" w:hAnsi="Times New Roman" w:cs="Times New Roman"/>
          <w:sz w:val="24"/>
          <w:szCs w:val="24"/>
        </w:rPr>
        <w:t>no knowledge of the Directive</w:t>
      </w:r>
      <w:r w:rsidR="00184CE1">
        <w:rPr>
          <w:rFonts w:ascii="Times New Roman" w:hAnsi="Times New Roman" w:cs="Times New Roman"/>
          <w:sz w:val="24"/>
          <w:szCs w:val="24"/>
        </w:rPr>
        <w:t xml:space="preserve"> RT120/18 until</w:t>
      </w:r>
      <w:r>
        <w:rPr>
          <w:rFonts w:ascii="Times New Roman" w:hAnsi="Times New Roman" w:cs="Times New Roman"/>
          <w:sz w:val="24"/>
          <w:szCs w:val="24"/>
        </w:rPr>
        <w:t xml:space="preserve"> 26 November 2019</w:t>
      </w:r>
      <w:r w:rsidR="00184CE1">
        <w:rPr>
          <w:rFonts w:ascii="Times New Roman" w:hAnsi="Times New Roman" w:cs="Times New Roman"/>
          <w:sz w:val="24"/>
          <w:szCs w:val="24"/>
        </w:rPr>
        <w:t xml:space="preserve"> when it was </w:t>
      </w:r>
      <w:r w:rsidR="00B9411B">
        <w:rPr>
          <w:rFonts w:ascii="Times New Roman" w:hAnsi="Times New Roman" w:cs="Times New Roman"/>
          <w:sz w:val="24"/>
          <w:szCs w:val="24"/>
        </w:rPr>
        <w:t xml:space="preserve">so alerted by </w:t>
      </w:r>
      <w:r>
        <w:rPr>
          <w:rFonts w:ascii="Times New Roman" w:hAnsi="Times New Roman" w:cs="Times New Roman"/>
          <w:sz w:val="24"/>
          <w:szCs w:val="24"/>
        </w:rPr>
        <w:t xml:space="preserve">Nedbank. In any event, argued counsel, Nedbank </w:t>
      </w:r>
      <w:r w:rsidR="00184CE1">
        <w:rPr>
          <w:rFonts w:ascii="Times New Roman" w:hAnsi="Times New Roman" w:cs="Times New Roman"/>
          <w:sz w:val="24"/>
          <w:szCs w:val="24"/>
        </w:rPr>
        <w:t>had not succeeded in offsetting, on the papers,</w:t>
      </w:r>
      <w:r w:rsidR="00EA4323">
        <w:rPr>
          <w:rFonts w:ascii="Times New Roman" w:hAnsi="Times New Roman" w:cs="Times New Roman"/>
          <w:sz w:val="24"/>
          <w:szCs w:val="24"/>
        </w:rPr>
        <w:t xml:space="preserve"> </w:t>
      </w:r>
      <w:r w:rsidR="00184CE1">
        <w:rPr>
          <w:rFonts w:ascii="Times New Roman" w:hAnsi="Times New Roman" w:cs="Times New Roman"/>
          <w:sz w:val="24"/>
          <w:szCs w:val="24"/>
        </w:rPr>
        <w:t>th</w:t>
      </w:r>
      <w:r w:rsidR="006B3BEE">
        <w:rPr>
          <w:rFonts w:ascii="Times New Roman" w:hAnsi="Times New Roman" w:cs="Times New Roman"/>
          <w:sz w:val="24"/>
          <w:szCs w:val="24"/>
        </w:rPr>
        <w:t>e</w:t>
      </w:r>
      <w:r w:rsidR="00184CE1">
        <w:rPr>
          <w:rFonts w:ascii="Times New Roman" w:hAnsi="Times New Roman" w:cs="Times New Roman"/>
          <w:sz w:val="24"/>
          <w:szCs w:val="24"/>
        </w:rPr>
        <w:t xml:space="preserve"> </w:t>
      </w:r>
      <w:r>
        <w:rPr>
          <w:rFonts w:ascii="Times New Roman" w:hAnsi="Times New Roman" w:cs="Times New Roman"/>
          <w:sz w:val="24"/>
          <w:szCs w:val="24"/>
        </w:rPr>
        <w:t>factual averments</w:t>
      </w:r>
      <w:r w:rsidR="006B3BEE">
        <w:rPr>
          <w:rFonts w:ascii="Times New Roman" w:hAnsi="Times New Roman" w:cs="Times New Roman"/>
          <w:sz w:val="24"/>
          <w:szCs w:val="24"/>
        </w:rPr>
        <w:t xml:space="preserve"> by and </w:t>
      </w:r>
      <w:r>
        <w:rPr>
          <w:rFonts w:ascii="Times New Roman" w:hAnsi="Times New Roman" w:cs="Times New Roman"/>
          <w:sz w:val="24"/>
          <w:szCs w:val="24"/>
        </w:rPr>
        <w:t xml:space="preserve">regarding lack of </w:t>
      </w:r>
      <w:r w:rsidR="00184CE1">
        <w:rPr>
          <w:rFonts w:ascii="Times New Roman" w:hAnsi="Times New Roman" w:cs="Times New Roman"/>
          <w:sz w:val="24"/>
          <w:szCs w:val="24"/>
        </w:rPr>
        <w:t>knowledge</w:t>
      </w:r>
      <w:r w:rsidR="006B3BEE">
        <w:rPr>
          <w:rFonts w:ascii="Times New Roman" w:hAnsi="Times New Roman" w:cs="Times New Roman"/>
          <w:sz w:val="24"/>
          <w:szCs w:val="24"/>
        </w:rPr>
        <w:t xml:space="preserve"> on the part of Magic Software</w:t>
      </w:r>
      <w:r w:rsidR="00184CE1">
        <w:rPr>
          <w:rFonts w:ascii="Times New Roman" w:hAnsi="Times New Roman" w:cs="Times New Roman"/>
          <w:sz w:val="24"/>
          <w:szCs w:val="24"/>
        </w:rPr>
        <w:t>. In fact, Nedbank could not succeed in doing so</w:t>
      </w:r>
      <w:r>
        <w:rPr>
          <w:rFonts w:ascii="Times New Roman" w:hAnsi="Times New Roman" w:cs="Times New Roman"/>
          <w:sz w:val="24"/>
          <w:szCs w:val="24"/>
        </w:rPr>
        <w:t xml:space="preserve"> </w:t>
      </w:r>
      <w:r w:rsidR="00EA4323">
        <w:rPr>
          <w:rFonts w:ascii="Times New Roman" w:hAnsi="Times New Roman" w:cs="Times New Roman"/>
          <w:sz w:val="24"/>
          <w:szCs w:val="24"/>
        </w:rPr>
        <w:t xml:space="preserve">without leading evidence. </w:t>
      </w:r>
      <w:r w:rsidR="00B9411B">
        <w:rPr>
          <w:rFonts w:ascii="Times New Roman" w:hAnsi="Times New Roman" w:cs="Times New Roman"/>
          <w:sz w:val="24"/>
          <w:szCs w:val="24"/>
        </w:rPr>
        <w:t xml:space="preserve">This was a critical </w:t>
      </w:r>
      <w:r w:rsidR="006B3BEE">
        <w:rPr>
          <w:rFonts w:ascii="Times New Roman" w:hAnsi="Times New Roman" w:cs="Times New Roman"/>
          <w:sz w:val="24"/>
          <w:szCs w:val="24"/>
        </w:rPr>
        <w:t>requirement which Nedbank failed to meet. A</w:t>
      </w:r>
      <w:r w:rsidR="00B9411B">
        <w:rPr>
          <w:rFonts w:ascii="Times New Roman" w:hAnsi="Times New Roman" w:cs="Times New Roman"/>
          <w:sz w:val="24"/>
          <w:szCs w:val="24"/>
        </w:rPr>
        <w:t>nd, on that basis,</w:t>
      </w:r>
      <w:r w:rsidR="00EA4323">
        <w:rPr>
          <w:rFonts w:ascii="Times New Roman" w:hAnsi="Times New Roman" w:cs="Times New Roman"/>
          <w:sz w:val="24"/>
          <w:szCs w:val="24"/>
        </w:rPr>
        <w:t xml:space="preserve"> alone, the </w:t>
      </w:r>
      <w:r w:rsidR="00B9411B">
        <w:rPr>
          <w:rFonts w:ascii="Times New Roman" w:hAnsi="Times New Roman" w:cs="Times New Roman"/>
          <w:sz w:val="24"/>
          <w:szCs w:val="24"/>
        </w:rPr>
        <w:t xml:space="preserve">defence </w:t>
      </w:r>
      <w:r w:rsidR="00EA4323">
        <w:rPr>
          <w:rFonts w:ascii="Times New Roman" w:hAnsi="Times New Roman" w:cs="Times New Roman"/>
          <w:sz w:val="24"/>
          <w:szCs w:val="24"/>
        </w:rPr>
        <w:t xml:space="preserve">of prescription </w:t>
      </w:r>
      <w:r w:rsidR="00A8694E">
        <w:rPr>
          <w:rFonts w:ascii="Times New Roman" w:hAnsi="Times New Roman" w:cs="Times New Roman"/>
          <w:sz w:val="24"/>
          <w:szCs w:val="24"/>
        </w:rPr>
        <w:t>had to fall</w:t>
      </w:r>
      <w:r>
        <w:rPr>
          <w:rFonts w:ascii="Times New Roman" w:hAnsi="Times New Roman" w:cs="Times New Roman"/>
          <w:sz w:val="24"/>
          <w:szCs w:val="24"/>
        </w:rPr>
        <w:t>.</w:t>
      </w:r>
      <w:r w:rsidR="0082494F">
        <w:rPr>
          <w:rFonts w:ascii="Times New Roman" w:hAnsi="Times New Roman" w:cs="Times New Roman"/>
          <w:sz w:val="24"/>
          <w:szCs w:val="24"/>
        </w:rPr>
        <w:t xml:space="preserve"> </w:t>
      </w:r>
    </w:p>
    <w:p w14:paraId="3EF369B9" w14:textId="2DE8E454" w:rsidR="00D91E37" w:rsidRDefault="0082494F"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6D4E">
        <w:rPr>
          <w:rFonts w:ascii="Times New Roman" w:hAnsi="Times New Roman" w:cs="Times New Roman"/>
          <w:sz w:val="24"/>
          <w:szCs w:val="24"/>
        </w:rPr>
        <w:t>3</w:t>
      </w:r>
      <w:r w:rsidR="003242F6">
        <w:rPr>
          <w:rFonts w:ascii="Times New Roman" w:hAnsi="Times New Roman" w:cs="Times New Roman"/>
          <w:sz w:val="24"/>
          <w:szCs w:val="24"/>
        </w:rPr>
        <w:t>6</w:t>
      </w:r>
      <w:r>
        <w:rPr>
          <w:rFonts w:ascii="Times New Roman" w:hAnsi="Times New Roman" w:cs="Times New Roman"/>
          <w:sz w:val="24"/>
          <w:szCs w:val="24"/>
        </w:rPr>
        <w:t xml:space="preserve">] </w:t>
      </w:r>
      <w:r w:rsidR="00384AEA">
        <w:rPr>
          <w:rFonts w:ascii="Times New Roman" w:hAnsi="Times New Roman" w:cs="Times New Roman"/>
          <w:sz w:val="24"/>
          <w:szCs w:val="24"/>
        </w:rPr>
        <w:t xml:space="preserve">Secondly, counsel contended that </w:t>
      </w:r>
      <w:r w:rsidR="00692297">
        <w:rPr>
          <w:rFonts w:ascii="Times New Roman" w:hAnsi="Times New Roman" w:cs="Times New Roman"/>
          <w:sz w:val="24"/>
          <w:szCs w:val="24"/>
        </w:rPr>
        <w:t>in any event, the</w:t>
      </w:r>
      <w:r w:rsidR="00384AEA">
        <w:rPr>
          <w:rFonts w:ascii="Times New Roman" w:hAnsi="Times New Roman" w:cs="Times New Roman"/>
          <w:sz w:val="24"/>
          <w:szCs w:val="24"/>
        </w:rPr>
        <w:t xml:space="preserve"> cause of action derived </w:t>
      </w:r>
      <w:r w:rsidR="00692297">
        <w:rPr>
          <w:rFonts w:ascii="Times New Roman" w:hAnsi="Times New Roman" w:cs="Times New Roman"/>
          <w:sz w:val="24"/>
          <w:szCs w:val="24"/>
        </w:rPr>
        <w:t xml:space="preserve">not from Directive RT120/18, but </w:t>
      </w:r>
      <w:r w:rsidR="00384AEA">
        <w:rPr>
          <w:rFonts w:ascii="Times New Roman" w:hAnsi="Times New Roman" w:cs="Times New Roman"/>
          <w:sz w:val="24"/>
          <w:szCs w:val="24"/>
        </w:rPr>
        <w:t xml:space="preserve">from the parties` banker-customer </w:t>
      </w:r>
      <w:r w:rsidR="00692297">
        <w:rPr>
          <w:rFonts w:ascii="Times New Roman" w:hAnsi="Times New Roman" w:cs="Times New Roman"/>
          <w:sz w:val="24"/>
          <w:szCs w:val="24"/>
        </w:rPr>
        <w:t xml:space="preserve">relationship. </w:t>
      </w:r>
      <w:r w:rsidR="00EA4323">
        <w:rPr>
          <w:rFonts w:ascii="Times New Roman" w:hAnsi="Times New Roman" w:cs="Times New Roman"/>
          <w:sz w:val="24"/>
          <w:szCs w:val="24"/>
        </w:rPr>
        <w:t xml:space="preserve"> </w:t>
      </w:r>
      <w:r w:rsidR="00384AEA">
        <w:rPr>
          <w:rFonts w:ascii="Times New Roman" w:hAnsi="Times New Roman" w:cs="Times New Roman"/>
          <w:sz w:val="24"/>
          <w:szCs w:val="24"/>
        </w:rPr>
        <w:t>Nedbank</w:t>
      </w:r>
      <w:r w:rsidR="00EA4323">
        <w:rPr>
          <w:rFonts w:ascii="Times New Roman" w:hAnsi="Times New Roman" w:cs="Times New Roman"/>
          <w:sz w:val="24"/>
          <w:szCs w:val="24"/>
        </w:rPr>
        <w:t xml:space="preserve"> </w:t>
      </w:r>
      <w:r w:rsidR="006B3BEE">
        <w:rPr>
          <w:rFonts w:ascii="Times New Roman" w:hAnsi="Times New Roman" w:cs="Times New Roman"/>
          <w:sz w:val="24"/>
          <w:szCs w:val="24"/>
        </w:rPr>
        <w:t>was the</w:t>
      </w:r>
      <w:r w:rsidR="00EA4323">
        <w:rPr>
          <w:rFonts w:ascii="Times New Roman" w:hAnsi="Times New Roman" w:cs="Times New Roman"/>
          <w:sz w:val="24"/>
          <w:szCs w:val="24"/>
        </w:rPr>
        <w:t xml:space="preserve"> debtor</w:t>
      </w:r>
      <w:r w:rsidR="006B3BEE">
        <w:rPr>
          <w:rFonts w:ascii="Times New Roman" w:hAnsi="Times New Roman" w:cs="Times New Roman"/>
          <w:sz w:val="24"/>
          <w:szCs w:val="24"/>
        </w:rPr>
        <w:t>,</w:t>
      </w:r>
      <w:r w:rsidR="00EA4323">
        <w:rPr>
          <w:rFonts w:ascii="Times New Roman" w:hAnsi="Times New Roman" w:cs="Times New Roman"/>
          <w:sz w:val="24"/>
          <w:szCs w:val="24"/>
        </w:rPr>
        <w:t xml:space="preserve"> and </w:t>
      </w:r>
      <w:r w:rsidR="00384AEA">
        <w:rPr>
          <w:rFonts w:ascii="Times New Roman" w:hAnsi="Times New Roman" w:cs="Times New Roman"/>
          <w:sz w:val="24"/>
          <w:szCs w:val="24"/>
        </w:rPr>
        <w:t>Magic Software</w:t>
      </w:r>
      <w:r w:rsidR="00EA4323">
        <w:rPr>
          <w:rFonts w:ascii="Times New Roman" w:hAnsi="Times New Roman" w:cs="Times New Roman"/>
          <w:sz w:val="24"/>
          <w:szCs w:val="24"/>
        </w:rPr>
        <w:t xml:space="preserve"> the creditor.</w:t>
      </w:r>
      <w:r>
        <w:rPr>
          <w:rFonts w:ascii="Times New Roman" w:hAnsi="Times New Roman" w:cs="Times New Roman"/>
          <w:sz w:val="24"/>
          <w:szCs w:val="24"/>
        </w:rPr>
        <w:t xml:space="preserve"> </w:t>
      </w:r>
      <w:r w:rsidR="00EA4323">
        <w:rPr>
          <w:rFonts w:ascii="Times New Roman" w:hAnsi="Times New Roman" w:cs="Times New Roman"/>
          <w:sz w:val="24"/>
          <w:szCs w:val="24"/>
        </w:rPr>
        <w:t>This c</w:t>
      </w:r>
      <w:r w:rsidR="00692297">
        <w:rPr>
          <w:rFonts w:ascii="Times New Roman" w:hAnsi="Times New Roman" w:cs="Times New Roman"/>
          <w:sz w:val="24"/>
          <w:szCs w:val="24"/>
        </w:rPr>
        <w:t>ausa drew from the established legal position conf</w:t>
      </w:r>
      <w:r w:rsidR="00C31D89">
        <w:rPr>
          <w:rFonts w:ascii="Times New Roman" w:hAnsi="Times New Roman" w:cs="Times New Roman"/>
          <w:sz w:val="24"/>
          <w:szCs w:val="24"/>
        </w:rPr>
        <w:t>i</w:t>
      </w:r>
      <w:r w:rsidR="00692297">
        <w:rPr>
          <w:rFonts w:ascii="Times New Roman" w:hAnsi="Times New Roman" w:cs="Times New Roman"/>
          <w:sz w:val="24"/>
          <w:szCs w:val="24"/>
        </w:rPr>
        <w:t xml:space="preserve">rmed in </w:t>
      </w:r>
      <w:r w:rsidR="00704D32" w:rsidRPr="00704D32">
        <w:rPr>
          <w:rFonts w:ascii="Times New Roman" w:eastAsia="Calibri" w:hAnsi="Times New Roman" w:cs="Times New Roman"/>
          <w:i/>
          <w:kern w:val="0"/>
          <w:sz w:val="24"/>
          <w:szCs w:val="24"/>
          <w14:ligatures w14:val="none"/>
        </w:rPr>
        <w:t xml:space="preserve">Standard Chartered bank Ltd </w:t>
      </w:r>
      <w:r w:rsidR="00704D32" w:rsidRPr="00704D32">
        <w:rPr>
          <w:rFonts w:ascii="Times New Roman" w:eastAsia="Calibri" w:hAnsi="Times New Roman" w:cs="Times New Roman"/>
          <w:kern w:val="0"/>
          <w:sz w:val="24"/>
          <w:szCs w:val="24"/>
          <w14:ligatures w14:val="none"/>
        </w:rPr>
        <w:t xml:space="preserve">v </w:t>
      </w:r>
      <w:r w:rsidR="00704D32" w:rsidRPr="00704D32">
        <w:rPr>
          <w:rFonts w:ascii="Times New Roman" w:eastAsia="Calibri" w:hAnsi="Times New Roman" w:cs="Times New Roman"/>
          <w:i/>
          <w:kern w:val="0"/>
          <w:sz w:val="24"/>
          <w:szCs w:val="24"/>
          <w14:ligatures w14:val="none"/>
        </w:rPr>
        <w:t>China Shougang</w:t>
      </w:r>
      <w:r w:rsidR="00704D32" w:rsidRPr="00704D32">
        <w:rPr>
          <w:rFonts w:ascii="Times New Roman" w:eastAsia="Calibri" w:hAnsi="Times New Roman" w:cs="Times New Roman"/>
          <w:kern w:val="0"/>
          <w:sz w:val="24"/>
          <w:szCs w:val="24"/>
          <w14:ligatures w14:val="none"/>
        </w:rPr>
        <w:t>, 2013 (2) ZLR 385 (S</w:t>
      </w:r>
      <w:r w:rsidR="00692297">
        <w:rPr>
          <w:rFonts w:ascii="Times New Roman" w:eastAsia="Calibri" w:hAnsi="Times New Roman" w:cs="Times New Roman"/>
          <w:kern w:val="0"/>
          <w:sz w:val="24"/>
          <w:szCs w:val="24"/>
          <w14:ligatures w14:val="none"/>
        </w:rPr>
        <w:t>)</w:t>
      </w:r>
      <w:r w:rsidR="00881E9A">
        <w:rPr>
          <w:rStyle w:val="FootnoteReference"/>
          <w:rFonts w:ascii="Times New Roman" w:eastAsia="Calibri" w:hAnsi="Times New Roman" w:cs="Times New Roman"/>
          <w:kern w:val="0"/>
          <w:sz w:val="24"/>
          <w:szCs w:val="24"/>
          <w14:ligatures w14:val="none"/>
        </w:rPr>
        <w:footnoteReference w:id="2"/>
      </w:r>
      <w:r w:rsidR="00692297">
        <w:rPr>
          <w:rFonts w:ascii="Times New Roman" w:eastAsia="Calibri" w:hAnsi="Times New Roman" w:cs="Times New Roman"/>
          <w:kern w:val="0"/>
          <w:sz w:val="24"/>
          <w:szCs w:val="24"/>
          <w14:ligatures w14:val="none"/>
        </w:rPr>
        <w:t>.</w:t>
      </w:r>
      <w:r w:rsidR="003E0D25">
        <w:rPr>
          <w:rFonts w:ascii="Times New Roman" w:hAnsi="Times New Roman" w:cs="Times New Roman"/>
          <w:sz w:val="24"/>
          <w:szCs w:val="24"/>
        </w:rPr>
        <w:t xml:space="preserve"> </w:t>
      </w:r>
      <w:r w:rsidR="00DD6D4E" w:rsidRPr="00704D32">
        <w:rPr>
          <w:rFonts w:ascii="Times New Roman" w:eastAsia="Calibri" w:hAnsi="Times New Roman" w:cs="Times New Roman"/>
          <w:kern w:val="0"/>
          <w:sz w:val="24"/>
          <w:szCs w:val="24"/>
          <w14:ligatures w14:val="none"/>
        </w:rPr>
        <w:t>Thirdly</w:t>
      </w:r>
      <w:r>
        <w:rPr>
          <w:rFonts w:ascii="Times New Roman" w:hAnsi="Times New Roman" w:cs="Times New Roman"/>
          <w:sz w:val="24"/>
          <w:szCs w:val="24"/>
        </w:rPr>
        <w:t xml:space="preserve">, counsel submitted that </w:t>
      </w:r>
      <w:r w:rsidR="00C31D89">
        <w:rPr>
          <w:rFonts w:ascii="Times New Roman" w:hAnsi="Times New Roman" w:cs="Times New Roman"/>
          <w:sz w:val="24"/>
          <w:szCs w:val="24"/>
        </w:rPr>
        <w:t>Magic Software</w:t>
      </w:r>
      <w:r w:rsidR="00136649">
        <w:rPr>
          <w:rFonts w:ascii="Times New Roman" w:hAnsi="Times New Roman" w:cs="Times New Roman"/>
          <w:sz w:val="24"/>
          <w:szCs w:val="24"/>
        </w:rPr>
        <w:t xml:space="preserve"> had an additional </w:t>
      </w:r>
      <w:r w:rsidR="00C31D89">
        <w:rPr>
          <w:rFonts w:ascii="Times New Roman" w:hAnsi="Times New Roman" w:cs="Times New Roman"/>
          <w:sz w:val="24"/>
          <w:szCs w:val="24"/>
        </w:rPr>
        <w:t>caus</w:t>
      </w:r>
      <w:r w:rsidR="006B3BEE">
        <w:rPr>
          <w:rFonts w:ascii="Times New Roman" w:hAnsi="Times New Roman" w:cs="Times New Roman"/>
          <w:sz w:val="24"/>
          <w:szCs w:val="24"/>
        </w:rPr>
        <w:t xml:space="preserve">e of action </w:t>
      </w:r>
      <w:r w:rsidR="00136649">
        <w:rPr>
          <w:rFonts w:ascii="Times New Roman" w:hAnsi="Times New Roman" w:cs="Times New Roman"/>
          <w:sz w:val="24"/>
          <w:szCs w:val="24"/>
        </w:rPr>
        <w:t xml:space="preserve">dawn from </w:t>
      </w:r>
      <w:r>
        <w:rPr>
          <w:rFonts w:ascii="Times New Roman" w:hAnsi="Times New Roman" w:cs="Times New Roman"/>
          <w:sz w:val="24"/>
          <w:szCs w:val="24"/>
        </w:rPr>
        <w:t>section 44C (2) (b) of the R</w:t>
      </w:r>
      <w:r w:rsidR="00C31D89">
        <w:rPr>
          <w:rFonts w:ascii="Times New Roman" w:hAnsi="Times New Roman" w:cs="Times New Roman"/>
          <w:sz w:val="24"/>
          <w:szCs w:val="24"/>
        </w:rPr>
        <w:t xml:space="preserve">BZ </w:t>
      </w:r>
      <w:r w:rsidR="003E0D25">
        <w:rPr>
          <w:rFonts w:ascii="Times New Roman" w:hAnsi="Times New Roman" w:cs="Times New Roman"/>
          <w:sz w:val="24"/>
          <w:szCs w:val="24"/>
        </w:rPr>
        <w:t>Act</w:t>
      </w:r>
      <w:r w:rsidR="00136649">
        <w:rPr>
          <w:rFonts w:ascii="Times New Roman" w:hAnsi="Times New Roman" w:cs="Times New Roman"/>
          <w:sz w:val="24"/>
          <w:szCs w:val="24"/>
        </w:rPr>
        <w:t>.</w:t>
      </w:r>
    </w:p>
    <w:p w14:paraId="18373BC0" w14:textId="72D00605" w:rsidR="0082494F" w:rsidRPr="00397D26" w:rsidRDefault="00373BDE" w:rsidP="008E65A8">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DETERMINATION OF THE SECOND POINT </w:t>
      </w:r>
      <w:r w:rsidRPr="00397D26">
        <w:rPr>
          <w:rFonts w:ascii="Times New Roman" w:hAnsi="Times New Roman" w:cs="Times New Roman"/>
          <w:i/>
          <w:iCs/>
          <w:sz w:val="24"/>
          <w:szCs w:val="24"/>
        </w:rPr>
        <w:t>IN LIMINE</w:t>
      </w:r>
    </w:p>
    <w:p w14:paraId="022E82D9" w14:textId="34C98079" w:rsidR="00C31D89" w:rsidRDefault="00373BDE"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E4141">
        <w:rPr>
          <w:rFonts w:ascii="Times New Roman" w:hAnsi="Times New Roman" w:cs="Times New Roman"/>
          <w:sz w:val="24"/>
          <w:szCs w:val="24"/>
        </w:rPr>
        <w:t>3</w:t>
      </w:r>
      <w:r w:rsidR="003242F6">
        <w:rPr>
          <w:rFonts w:ascii="Times New Roman" w:hAnsi="Times New Roman" w:cs="Times New Roman"/>
          <w:sz w:val="24"/>
          <w:szCs w:val="24"/>
        </w:rPr>
        <w:t>7</w:t>
      </w:r>
      <w:r>
        <w:rPr>
          <w:rFonts w:ascii="Times New Roman" w:hAnsi="Times New Roman" w:cs="Times New Roman"/>
          <w:sz w:val="24"/>
          <w:szCs w:val="24"/>
        </w:rPr>
        <w:t xml:space="preserve">] </w:t>
      </w:r>
      <w:r w:rsidR="00752628">
        <w:rPr>
          <w:rFonts w:ascii="Times New Roman" w:hAnsi="Times New Roman" w:cs="Times New Roman"/>
          <w:sz w:val="24"/>
          <w:szCs w:val="24"/>
        </w:rPr>
        <w:t xml:space="preserve">The plea of prescription invites </w:t>
      </w:r>
      <w:r w:rsidR="003242F6">
        <w:rPr>
          <w:rFonts w:ascii="Times New Roman" w:hAnsi="Times New Roman" w:cs="Times New Roman"/>
          <w:sz w:val="24"/>
          <w:szCs w:val="24"/>
        </w:rPr>
        <w:t>a</w:t>
      </w:r>
      <w:r w:rsidR="00752628">
        <w:rPr>
          <w:rFonts w:ascii="Times New Roman" w:hAnsi="Times New Roman" w:cs="Times New Roman"/>
          <w:sz w:val="24"/>
          <w:szCs w:val="24"/>
        </w:rPr>
        <w:t xml:space="preserve"> </w:t>
      </w:r>
      <w:r w:rsidR="006466F1">
        <w:rPr>
          <w:rFonts w:ascii="Times New Roman" w:hAnsi="Times New Roman" w:cs="Times New Roman"/>
          <w:sz w:val="24"/>
          <w:szCs w:val="24"/>
        </w:rPr>
        <w:t xml:space="preserve">brief </w:t>
      </w:r>
      <w:r w:rsidR="00752628">
        <w:rPr>
          <w:rFonts w:ascii="Times New Roman" w:hAnsi="Times New Roman" w:cs="Times New Roman"/>
          <w:sz w:val="24"/>
          <w:szCs w:val="24"/>
        </w:rPr>
        <w:t xml:space="preserve">examination of the </w:t>
      </w:r>
      <w:r w:rsidR="00184CE1">
        <w:rPr>
          <w:rFonts w:ascii="Times New Roman" w:hAnsi="Times New Roman" w:cs="Times New Roman"/>
          <w:sz w:val="24"/>
          <w:szCs w:val="24"/>
        </w:rPr>
        <w:t xml:space="preserve">applicable </w:t>
      </w:r>
      <w:r w:rsidR="006B3BEE">
        <w:rPr>
          <w:rFonts w:ascii="Times New Roman" w:hAnsi="Times New Roman" w:cs="Times New Roman"/>
          <w:sz w:val="24"/>
          <w:szCs w:val="24"/>
        </w:rPr>
        <w:t>test. Section</w:t>
      </w:r>
      <w:r w:rsidR="00C31D89">
        <w:rPr>
          <w:rFonts w:ascii="Times New Roman" w:hAnsi="Times New Roman" w:cs="Times New Roman"/>
          <w:sz w:val="24"/>
          <w:szCs w:val="24"/>
        </w:rPr>
        <w:t xml:space="preserve"> 16 of the Prescription</w:t>
      </w:r>
      <w:r w:rsidR="00784338">
        <w:rPr>
          <w:rFonts w:ascii="Times New Roman" w:hAnsi="Times New Roman" w:cs="Times New Roman"/>
          <w:sz w:val="24"/>
          <w:szCs w:val="24"/>
        </w:rPr>
        <w:t xml:space="preserve"> Act [ Chapter 8:11</w:t>
      </w:r>
      <w:r w:rsidR="00C31D89">
        <w:rPr>
          <w:rFonts w:ascii="Times New Roman" w:hAnsi="Times New Roman" w:cs="Times New Roman"/>
          <w:sz w:val="24"/>
          <w:szCs w:val="24"/>
        </w:rPr>
        <w:t>] sets the formular for the running of prescription. This provision was</w:t>
      </w:r>
      <w:r w:rsidR="00784338">
        <w:rPr>
          <w:rFonts w:ascii="Times New Roman" w:hAnsi="Times New Roman" w:cs="Times New Roman"/>
          <w:sz w:val="24"/>
          <w:szCs w:val="24"/>
        </w:rPr>
        <w:t xml:space="preserve"> </w:t>
      </w:r>
      <w:r w:rsidR="00C31D89">
        <w:rPr>
          <w:rFonts w:ascii="Times New Roman" w:hAnsi="Times New Roman" w:cs="Times New Roman"/>
          <w:sz w:val="24"/>
          <w:szCs w:val="24"/>
        </w:rPr>
        <w:t>simplified into the</w:t>
      </w:r>
      <w:r w:rsidR="00784338">
        <w:rPr>
          <w:rFonts w:ascii="Times New Roman" w:hAnsi="Times New Roman" w:cs="Times New Roman"/>
          <w:sz w:val="24"/>
          <w:szCs w:val="24"/>
        </w:rPr>
        <w:t xml:space="preserve"> “</w:t>
      </w:r>
      <w:r w:rsidR="00784338" w:rsidRPr="006466F1">
        <w:rPr>
          <w:rFonts w:ascii="Times New Roman" w:hAnsi="Times New Roman" w:cs="Times New Roman"/>
          <w:sz w:val="24"/>
          <w:szCs w:val="24"/>
          <w:u w:val="single"/>
        </w:rPr>
        <w:t>knowledge and discovery rule”</w:t>
      </w:r>
      <w:r w:rsidR="00784338">
        <w:rPr>
          <w:rFonts w:ascii="Times New Roman" w:hAnsi="Times New Roman" w:cs="Times New Roman"/>
          <w:sz w:val="24"/>
          <w:szCs w:val="24"/>
        </w:rPr>
        <w:t xml:space="preserve"> in </w:t>
      </w:r>
      <w:r w:rsidR="00784338" w:rsidRPr="00B90DBB">
        <w:rPr>
          <w:rFonts w:ascii="Times New Roman" w:hAnsi="Times New Roman" w:cs="Times New Roman"/>
          <w:i/>
          <w:iCs/>
          <w:sz w:val="24"/>
          <w:szCs w:val="24"/>
        </w:rPr>
        <w:t xml:space="preserve">Peebles v Dairibord </w:t>
      </w:r>
      <w:r w:rsidR="00B90DBB" w:rsidRPr="00B90DBB">
        <w:rPr>
          <w:rFonts w:ascii="Times New Roman" w:hAnsi="Times New Roman" w:cs="Times New Roman"/>
          <w:i/>
          <w:iCs/>
          <w:sz w:val="24"/>
          <w:szCs w:val="24"/>
        </w:rPr>
        <w:t>Zimbabwe (Pvt) Ltd</w:t>
      </w:r>
      <w:r w:rsidR="00B90DBB">
        <w:rPr>
          <w:rFonts w:ascii="Times New Roman" w:hAnsi="Times New Roman" w:cs="Times New Roman"/>
          <w:sz w:val="24"/>
          <w:szCs w:val="24"/>
        </w:rPr>
        <w:t xml:space="preserve"> </w:t>
      </w:r>
      <w:r w:rsidR="00B90DBB" w:rsidRPr="00B90DBB">
        <w:rPr>
          <w:rFonts w:ascii="Times New Roman" w:hAnsi="Times New Roman" w:cs="Times New Roman"/>
          <w:sz w:val="24"/>
          <w:szCs w:val="24"/>
        </w:rPr>
        <w:t>1999 (1) ZLR 41 (H)</w:t>
      </w:r>
      <w:r w:rsidR="00B90DBB">
        <w:rPr>
          <w:rFonts w:ascii="Times New Roman" w:hAnsi="Times New Roman" w:cs="Times New Roman"/>
          <w:sz w:val="24"/>
          <w:szCs w:val="24"/>
        </w:rPr>
        <w:t xml:space="preserve">. </w:t>
      </w:r>
    </w:p>
    <w:p w14:paraId="3F479015" w14:textId="744F78EE" w:rsidR="009510D4" w:rsidRDefault="00C31D89"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3242F6">
        <w:rPr>
          <w:rFonts w:ascii="Times New Roman" w:hAnsi="Times New Roman" w:cs="Times New Roman"/>
          <w:sz w:val="24"/>
          <w:szCs w:val="24"/>
        </w:rPr>
        <w:t>8</w:t>
      </w:r>
      <w:r>
        <w:rPr>
          <w:rFonts w:ascii="Times New Roman" w:hAnsi="Times New Roman" w:cs="Times New Roman"/>
          <w:sz w:val="24"/>
          <w:szCs w:val="24"/>
        </w:rPr>
        <w:t>] Under this rule, a</w:t>
      </w:r>
      <w:r w:rsidR="009510D4">
        <w:rPr>
          <w:rFonts w:ascii="Times New Roman" w:hAnsi="Times New Roman" w:cs="Times New Roman"/>
          <w:sz w:val="24"/>
          <w:szCs w:val="24"/>
        </w:rPr>
        <w:t xml:space="preserve"> party raising prescription</w:t>
      </w:r>
      <w:r>
        <w:rPr>
          <w:rFonts w:ascii="Times New Roman" w:hAnsi="Times New Roman" w:cs="Times New Roman"/>
          <w:sz w:val="24"/>
          <w:szCs w:val="24"/>
        </w:rPr>
        <w:t xml:space="preserve"> must </w:t>
      </w:r>
      <w:r w:rsidR="00B9411B">
        <w:rPr>
          <w:rFonts w:ascii="Times New Roman" w:hAnsi="Times New Roman" w:cs="Times New Roman"/>
          <w:sz w:val="24"/>
          <w:szCs w:val="24"/>
        </w:rPr>
        <w:t>prove when</w:t>
      </w:r>
      <w:r w:rsidR="009510D4">
        <w:rPr>
          <w:rFonts w:ascii="Times New Roman" w:hAnsi="Times New Roman" w:cs="Times New Roman"/>
          <w:sz w:val="24"/>
          <w:szCs w:val="24"/>
        </w:rPr>
        <w:t xml:space="preserve"> the plaintiff became aware of</w:t>
      </w:r>
      <w:r w:rsidR="006466F1">
        <w:rPr>
          <w:rFonts w:ascii="Times New Roman" w:hAnsi="Times New Roman" w:cs="Times New Roman"/>
          <w:sz w:val="24"/>
          <w:szCs w:val="24"/>
        </w:rPr>
        <w:t>,</w:t>
      </w:r>
      <w:r w:rsidR="009510D4">
        <w:rPr>
          <w:rFonts w:ascii="Times New Roman" w:hAnsi="Times New Roman" w:cs="Times New Roman"/>
          <w:sz w:val="24"/>
          <w:szCs w:val="24"/>
        </w:rPr>
        <w:t xml:space="preserve"> or discovered the facts necessary to establish the debt or cause of </w:t>
      </w:r>
      <w:r w:rsidR="00CE71B7">
        <w:rPr>
          <w:rFonts w:ascii="Times New Roman" w:hAnsi="Times New Roman" w:cs="Times New Roman"/>
          <w:sz w:val="24"/>
          <w:szCs w:val="24"/>
        </w:rPr>
        <w:t xml:space="preserve">action. </w:t>
      </w:r>
      <w:r w:rsidR="006466F1">
        <w:rPr>
          <w:rFonts w:ascii="Times New Roman" w:hAnsi="Times New Roman" w:cs="Times New Roman"/>
          <w:sz w:val="24"/>
          <w:szCs w:val="24"/>
        </w:rPr>
        <w:t>What constitutes these fact</w:t>
      </w:r>
      <w:r w:rsidR="003242F6">
        <w:rPr>
          <w:rFonts w:ascii="Times New Roman" w:hAnsi="Times New Roman" w:cs="Times New Roman"/>
          <w:sz w:val="24"/>
          <w:szCs w:val="24"/>
        </w:rPr>
        <w:t>s</w:t>
      </w:r>
      <w:r w:rsidR="006466F1">
        <w:rPr>
          <w:rFonts w:ascii="Times New Roman" w:hAnsi="Times New Roman" w:cs="Times New Roman"/>
          <w:sz w:val="24"/>
          <w:szCs w:val="24"/>
        </w:rPr>
        <w:t xml:space="preserve"> or “cause of action” was </w:t>
      </w:r>
      <w:r w:rsidR="006B3BEE">
        <w:rPr>
          <w:rFonts w:ascii="Times New Roman" w:hAnsi="Times New Roman" w:cs="Times New Roman"/>
          <w:sz w:val="24"/>
          <w:szCs w:val="24"/>
        </w:rPr>
        <w:t xml:space="preserve">also </w:t>
      </w:r>
      <w:r w:rsidR="006466F1">
        <w:rPr>
          <w:rFonts w:ascii="Times New Roman" w:hAnsi="Times New Roman" w:cs="Times New Roman"/>
          <w:sz w:val="24"/>
          <w:szCs w:val="24"/>
        </w:rPr>
        <w:t xml:space="preserve">fully articulated by the </w:t>
      </w:r>
      <w:r w:rsidR="00CE71B7">
        <w:rPr>
          <w:rFonts w:ascii="Times New Roman" w:hAnsi="Times New Roman" w:cs="Times New Roman"/>
          <w:sz w:val="24"/>
          <w:szCs w:val="24"/>
        </w:rPr>
        <w:t>oft-cited dictum in this decision</w:t>
      </w:r>
      <w:r w:rsidR="006466F1">
        <w:rPr>
          <w:rStyle w:val="FootnoteReference"/>
          <w:rFonts w:ascii="Times New Roman" w:hAnsi="Times New Roman" w:cs="Times New Roman"/>
          <w:sz w:val="24"/>
          <w:szCs w:val="24"/>
        </w:rPr>
        <w:footnoteReference w:id="3"/>
      </w:r>
      <w:r w:rsidR="00CE71B7">
        <w:rPr>
          <w:rFonts w:ascii="Times New Roman" w:hAnsi="Times New Roman" w:cs="Times New Roman"/>
          <w:sz w:val="24"/>
          <w:szCs w:val="24"/>
        </w:rPr>
        <w:t>.</w:t>
      </w:r>
    </w:p>
    <w:p w14:paraId="29249778" w14:textId="787EAADB" w:rsidR="00373BDE" w:rsidRDefault="009510D4"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4141">
        <w:rPr>
          <w:rFonts w:ascii="Times New Roman" w:hAnsi="Times New Roman" w:cs="Times New Roman"/>
          <w:sz w:val="24"/>
          <w:szCs w:val="24"/>
        </w:rPr>
        <w:t>3</w:t>
      </w:r>
      <w:r w:rsidR="003242F6">
        <w:rPr>
          <w:rFonts w:ascii="Times New Roman" w:hAnsi="Times New Roman" w:cs="Times New Roman"/>
          <w:sz w:val="24"/>
          <w:szCs w:val="24"/>
        </w:rPr>
        <w:t>9</w:t>
      </w:r>
      <w:r w:rsidR="00CE71B7">
        <w:rPr>
          <w:rFonts w:ascii="Times New Roman" w:hAnsi="Times New Roman" w:cs="Times New Roman"/>
          <w:sz w:val="24"/>
          <w:szCs w:val="24"/>
        </w:rPr>
        <w:t>]</w:t>
      </w:r>
      <w:r>
        <w:rPr>
          <w:rFonts w:ascii="Times New Roman" w:hAnsi="Times New Roman" w:cs="Times New Roman"/>
          <w:sz w:val="24"/>
          <w:szCs w:val="24"/>
        </w:rPr>
        <w:t xml:space="preserve"> </w:t>
      </w:r>
      <w:r w:rsidR="00B90DBB">
        <w:rPr>
          <w:rFonts w:ascii="Times New Roman" w:hAnsi="Times New Roman" w:cs="Times New Roman"/>
          <w:sz w:val="24"/>
          <w:szCs w:val="24"/>
        </w:rPr>
        <w:t>In determining both the obligation</w:t>
      </w:r>
      <w:r w:rsidR="006466F1">
        <w:rPr>
          <w:rFonts w:ascii="Times New Roman" w:hAnsi="Times New Roman" w:cs="Times New Roman"/>
          <w:sz w:val="24"/>
          <w:szCs w:val="24"/>
        </w:rPr>
        <w:t>,</w:t>
      </w:r>
      <w:r w:rsidR="00B90DBB">
        <w:rPr>
          <w:rFonts w:ascii="Times New Roman" w:hAnsi="Times New Roman" w:cs="Times New Roman"/>
          <w:sz w:val="24"/>
          <w:szCs w:val="24"/>
        </w:rPr>
        <w:t xml:space="preserve"> as well as test to prove when claimant knew</w:t>
      </w:r>
      <w:r w:rsidR="006466F1">
        <w:rPr>
          <w:rFonts w:ascii="Times New Roman" w:hAnsi="Times New Roman" w:cs="Times New Roman"/>
          <w:sz w:val="24"/>
          <w:szCs w:val="24"/>
        </w:rPr>
        <w:t>,</w:t>
      </w:r>
      <w:r w:rsidR="00B90DBB">
        <w:rPr>
          <w:rFonts w:ascii="Times New Roman" w:hAnsi="Times New Roman" w:cs="Times New Roman"/>
          <w:sz w:val="24"/>
          <w:szCs w:val="24"/>
        </w:rPr>
        <w:t xml:space="preserve"> or is deemed to have known </w:t>
      </w:r>
      <w:r w:rsidR="00136649">
        <w:rPr>
          <w:rFonts w:ascii="Times New Roman" w:hAnsi="Times New Roman" w:cs="Times New Roman"/>
          <w:sz w:val="24"/>
          <w:szCs w:val="24"/>
        </w:rPr>
        <w:t xml:space="preserve">of </w:t>
      </w:r>
      <w:r w:rsidR="00B90DBB">
        <w:rPr>
          <w:rFonts w:ascii="Times New Roman" w:hAnsi="Times New Roman" w:cs="Times New Roman"/>
          <w:sz w:val="24"/>
          <w:szCs w:val="24"/>
        </w:rPr>
        <w:t xml:space="preserve">the commencement of a causa, the </w:t>
      </w:r>
      <w:r w:rsidR="00184CE1">
        <w:rPr>
          <w:rFonts w:ascii="Times New Roman" w:hAnsi="Times New Roman" w:cs="Times New Roman"/>
          <w:sz w:val="24"/>
          <w:szCs w:val="24"/>
        </w:rPr>
        <w:t xml:space="preserve">court in </w:t>
      </w:r>
      <w:r w:rsidR="00184CE1" w:rsidRPr="00184CE1">
        <w:rPr>
          <w:rFonts w:ascii="Times New Roman" w:hAnsi="Times New Roman" w:cs="Times New Roman"/>
          <w:i/>
          <w:iCs/>
          <w:sz w:val="24"/>
          <w:szCs w:val="24"/>
        </w:rPr>
        <w:t>Peebles v Dairibord</w:t>
      </w:r>
      <w:r w:rsidR="00184CE1">
        <w:rPr>
          <w:rFonts w:ascii="Times New Roman" w:hAnsi="Times New Roman" w:cs="Times New Roman"/>
          <w:sz w:val="24"/>
          <w:szCs w:val="24"/>
        </w:rPr>
        <w:t xml:space="preserve"> </w:t>
      </w:r>
      <w:r w:rsidR="00B90DBB">
        <w:rPr>
          <w:rFonts w:ascii="Times New Roman" w:hAnsi="Times New Roman" w:cs="Times New Roman"/>
          <w:sz w:val="24"/>
          <w:szCs w:val="24"/>
        </w:rPr>
        <w:t xml:space="preserve">held as follows at </w:t>
      </w:r>
      <w:r w:rsidR="00B90DBB" w:rsidRPr="00B90DBB">
        <w:rPr>
          <w:rFonts w:ascii="Times New Roman" w:hAnsi="Times New Roman" w:cs="Times New Roman"/>
          <w:sz w:val="24"/>
          <w:szCs w:val="24"/>
        </w:rPr>
        <w:t>page</w:t>
      </w:r>
      <w:r w:rsidR="00B90DBB">
        <w:rPr>
          <w:rFonts w:ascii="Times New Roman" w:hAnsi="Times New Roman" w:cs="Times New Roman"/>
          <w:sz w:val="24"/>
          <w:szCs w:val="24"/>
        </w:rPr>
        <w:t xml:space="preserve"> 46; -</w:t>
      </w:r>
    </w:p>
    <w:p w14:paraId="17C27111" w14:textId="3C1F759B" w:rsidR="00B90DBB" w:rsidRPr="00397D26" w:rsidRDefault="00B90DBB" w:rsidP="00B90DBB">
      <w:pPr>
        <w:spacing w:line="360" w:lineRule="auto"/>
        <w:ind w:left="1134"/>
        <w:jc w:val="both"/>
        <w:rPr>
          <w:rFonts w:ascii="Times New Roman" w:hAnsi="Times New Roman" w:cs="Times New Roman"/>
          <w:sz w:val="24"/>
          <w:szCs w:val="24"/>
        </w:rPr>
      </w:pPr>
      <w:r w:rsidRPr="00B90DBB">
        <w:rPr>
          <w:rFonts w:ascii="Times New Roman" w:hAnsi="Times New Roman" w:cs="Times New Roman"/>
          <w:sz w:val="24"/>
          <w:szCs w:val="24"/>
        </w:rPr>
        <w:lastRenderedPageBreak/>
        <w:t xml:space="preserve">“The question for determination here is, when did Mr Peebles first have knowledge or is he to be deemed to have first had knowledge of the above-mentioned facts from which the debt arose? </w:t>
      </w:r>
      <w:r w:rsidRPr="00AB22AB">
        <w:rPr>
          <w:rFonts w:ascii="Times New Roman" w:hAnsi="Times New Roman" w:cs="Times New Roman"/>
          <w:sz w:val="24"/>
          <w:szCs w:val="24"/>
          <w:u w:val="single"/>
        </w:rPr>
        <w:t>The onus is on Dairiboard, which raised the defence of prescription, to show that Mr Peebles first had knowledge or should be deemed to have first had knowledge of such facts on any date more than three years prior to the date on which the summons was served on it</w:t>
      </w:r>
      <w:r w:rsidRPr="00B90DBB">
        <w:rPr>
          <w:rFonts w:ascii="Times New Roman" w:hAnsi="Times New Roman" w:cs="Times New Roman"/>
          <w:sz w:val="24"/>
          <w:szCs w:val="24"/>
        </w:rPr>
        <w:t xml:space="preserve">, that is to say, a date between 9 May and 30 September 1994 [ Gericke v Sack 1978 (1) SA 821 (A); Brand v Williams 1988 (3) SA 908 (C) at 910B]. </w:t>
      </w:r>
      <w:r w:rsidRPr="00AB22AB">
        <w:rPr>
          <w:rFonts w:ascii="Times New Roman" w:hAnsi="Times New Roman" w:cs="Times New Roman"/>
          <w:sz w:val="24"/>
          <w:szCs w:val="24"/>
          <w:u w:val="single"/>
        </w:rPr>
        <w:t>The rule applied is the discovery or knowledge rule.</w:t>
      </w:r>
      <w:r w:rsidRPr="00B90DBB">
        <w:rPr>
          <w:rFonts w:ascii="Times New Roman" w:hAnsi="Times New Roman" w:cs="Times New Roman"/>
          <w:sz w:val="24"/>
          <w:szCs w:val="24"/>
        </w:rPr>
        <w:t xml:space="preserve"> In the application of the rule contained in s 16(3) of the Act to decide whether Dairiboard has shown, on a balance of probabilities, that Mr Peebles acquired during the relevant period the requisite knowledge of the facts from which the cause of the action arose it is not necessary to seek knowledge of meticulous particulars of the cause of action. </w:t>
      </w:r>
      <w:r w:rsidRPr="00AB22AB">
        <w:rPr>
          <w:rFonts w:ascii="Times New Roman" w:hAnsi="Times New Roman" w:cs="Times New Roman"/>
          <w:sz w:val="24"/>
          <w:szCs w:val="24"/>
          <w:u w:val="single"/>
        </w:rPr>
        <w:t>The court must look at all the circumstances of the case and decide whether Mr Peebles had or should be deemed to have had knowledge of the broad or material facts establishing the essential elements of the cause of action.”</w:t>
      </w:r>
      <w:r w:rsidR="00397D26">
        <w:rPr>
          <w:rFonts w:ascii="Times New Roman" w:hAnsi="Times New Roman" w:cs="Times New Roman"/>
          <w:sz w:val="24"/>
          <w:szCs w:val="24"/>
          <w:u w:val="single"/>
        </w:rPr>
        <w:t xml:space="preserve"> </w:t>
      </w:r>
      <w:r w:rsidR="00397D26" w:rsidRPr="00397D26">
        <w:rPr>
          <w:rFonts w:ascii="Times New Roman" w:hAnsi="Times New Roman" w:cs="Times New Roman"/>
          <w:sz w:val="24"/>
          <w:szCs w:val="24"/>
        </w:rPr>
        <w:t xml:space="preserve">[ Underlined for emphasis] </w:t>
      </w:r>
    </w:p>
    <w:p w14:paraId="22EEE291" w14:textId="4FCCBC94" w:rsidR="0082494F" w:rsidRDefault="00AB22AB"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242F6">
        <w:rPr>
          <w:rFonts w:ascii="Times New Roman" w:hAnsi="Times New Roman" w:cs="Times New Roman"/>
          <w:sz w:val="24"/>
          <w:szCs w:val="24"/>
        </w:rPr>
        <w:t>40</w:t>
      </w:r>
      <w:r>
        <w:rPr>
          <w:rFonts w:ascii="Times New Roman" w:hAnsi="Times New Roman" w:cs="Times New Roman"/>
          <w:sz w:val="24"/>
          <w:szCs w:val="24"/>
        </w:rPr>
        <w:t xml:space="preserve">] Nedbank argues that the debt fell due on 4 October 2018 with the publication of RT 120/18. In seeking to prove </w:t>
      </w:r>
      <w:r w:rsidR="008D0471">
        <w:rPr>
          <w:rFonts w:ascii="Times New Roman" w:hAnsi="Times New Roman" w:cs="Times New Roman"/>
          <w:sz w:val="24"/>
          <w:szCs w:val="24"/>
        </w:rPr>
        <w:t>this, Nedbank</w:t>
      </w:r>
      <w:r>
        <w:rPr>
          <w:rFonts w:ascii="Times New Roman" w:hAnsi="Times New Roman" w:cs="Times New Roman"/>
          <w:sz w:val="24"/>
          <w:szCs w:val="24"/>
        </w:rPr>
        <w:t xml:space="preserve"> stated as follows in the opposing affidavit</w:t>
      </w:r>
      <w:r w:rsidR="00397D26">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filed on its behalf; -</w:t>
      </w:r>
    </w:p>
    <w:p w14:paraId="3F45F6C7" w14:textId="75DB4D4C" w:rsidR="00AB22AB" w:rsidRDefault="00AB22AB" w:rsidP="00397D26">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directive was widely published in the media. This </w:t>
      </w:r>
      <w:r w:rsidR="00397D26">
        <w:rPr>
          <w:rFonts w:ascii="Times New Roman" w:hAnsi="Times New Roman" w:cs="Times New Roman"/>
          <w:sz w:val="24"/>
          <w:szCs w:val="24"/>
        </w:rPr>
        <w:t>h</w:t>
      </w:r>
      <w:r>
        <w:rPr>
          <w:rFonts w:ascii="Times New Roman" w:hAnsi="Times New Roman" w:cs="Times New Roman"/>
          <w:sz w:val="24"/>
          <w:szCs w:val="24"/>
        </w:rPr>
        <w:t xml:space="preserve">onourable </w:t>
      </w:r>
      <w:r w:rsidR="00397D26">
        <w:rPr>
          <w:rFonts w:ascii="Times New Roman" w:hAnsi="Times New Roman" w:cs="Times New Roman"/>
          <w:sz w:val="24"/>
          <w:szCs w:val="24"/>
        </w:rPr>
        <w:t>c</w:t>
      </w:r>
      <w:r>
        <w:rPr>
          <w:rFonts w:ascii="Times New Roman" w:hAnsi="Times New Roman" w:cs="Times New Roman"/>
          <w:sz w:val="24"/>
          <w:szCs w:val="24"/>
        </w:rPr>
        <w:t xml:space="preserve">ourt can take judicial knowledge of this </w:t>
      </w:r>
      <w:r w:rsidR="00397D26">
        <w:rPr>
          <w:rFonts w:ascii="Times New Roman" w:hAnsi="Times New Roman" w:cs="Times New Roman"/>
          <w:sz w:val="24"/>
          <w:szCs w:val="24"/>
        </w:rPr>
        <w:t xml:space="preserve">fact. Banks in Zimbabwe including the respondent, published and distributed summaries to their customers”. </w:t>
      </w:r>
    </w:p>
    <w:p w14:paraId="02ACA3E0" w14:textId="5D14A633" w:rsidR="00AB22AB" w:rsidRDefault="00397D26"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9411B">
        <w:rPr>
          <w:rFonts w:ascii="Times New Roman" w:hAnsi="Times New Roman" w:cs="Times New Roman"/>
          <w:sz w:val="24"/>
          <w:szCs w:val="24"/>
        </w:rPr>
        <w:t>4</w:t>
      </w:r>
      <w:r w:rsidR="003242F6">
        <w:rPr>
          <w:rFonts w:ascii="Times New Roman" w:hAnsi="Times New Roman" w:cs="Times New Roman"/>
          <w:sz w:val="24"/>
          <w:szCs w:val="24"/>
        </w:rPr>
        <w:t>1</w:t>
      </w:r>
      <w:r>
        <w:rPr>
          <w:rFonts w:ascii="Times New Roman" w:hAnsi="Times New Roman" w:cs="Times New Roman"/>
          <w:sz w:val="24"/>
          <w:szCs w:val="24"/>
        </w:rPr>
        <w:t xml:space="preserve">] </w:t>
      </w:r>
      <w:r w:rsidR="00FF1548">
        <w:rPr>
          <w:rFonts w:ascii="Times New Roman" w:hAnsi="Times New Roman" w:cs="Times New Roman"/>
          <w:sz w:val="24"/>
          <w:szCs w:val="24"/>
        </w:rPr>
        <w:t xml:space="preserve">Two issues flow from this averment. Firstly, </w:t>
      </w:r>
      <w:r w:rsidR="008D0471">
        <w:rPr>
          <w:rFonts w:ascii="Times New Roman" w:hAnsi="Times New Roman" w:cs="Times New Roman"/>
          <w:sz w:val="24"/>
          <w:szCs w:val="24"/>
        </w:rPr>
        <w:t xml:space="preserve">this </w:t>
      </w:r>
      <w:r w:rsidR="00000CE5">
        <w:rPr>
          <w:rFonts w:ascii="Times New Roman" w:hAnsi="Times New Roman" w:cs="Times New Roman"/>
          <w:sz w:val="24"/>
          <w:szCs w:val="24"/>
        </w:rPr>
        <w:t xml:space="preserve">explanation </w:t>
      </w:r>
      <w:r w:rsidR="00184CE1">
        <w:rPr>
          <w:rFonts w:ascii="Times New Roman" w:hAnsi="Times New Roman" w:cs="Times New Roman"/>
          <w:sz w:val="24"/>
          <w:szCs w:val="24"/>
        </w:rPr>
        <w:t xml:space="preserve">hardly suffices as </w:t>
      </w:r>
      <w:r w:rsidR="00136649">
        <w:rPr>
          <w:rFonts w:ascii="Times New Roman" w:hAnsi="Times New Roman" w:cs="Times New Roman"/>
          <w:sz w:val="24"/>
          <w:szCs w:val="24"/>
        </w:rPr>
        <w:t xml:space="preserve">proof of confirmation that Magic Software discovered </w:t>
      </w:r>
      <w:r w:rsidR="00814EB4">
        <w:rPr>
          <w:rFonts w:ascii="Times New Roman" w:hAnsi="Times New Roman" w:cs="Times New Roman"/>
          <w:sz w:val="24"/>
          <w:szCs w:val="24"/>
        </w:rPr>
        <w:t xml:space="preserve">or became aware </w:t>
      </w:r>
      <w:r w:rsidR="00D21E51">
        <w:rPr>
          <w:rFonts w:ascii="Times New Roman" w:hAnsi="Times New Roman" w:cs="Times New Roman"/>
          <w:sz w:val="24"/>
          <w:szCs w:val="24"/>
        </w:rPr>
        <w:t>of the</w:t>
      </w:r>
      <w:r w:rsidR="00136649">
        <w:rPr>
          <w:rFonts w:ascii="Times New Roman" w:hAnsi="Times New Roman" w:cs="Times New Roman"/>
          <w:sz w:val="24"/>
          <w:szCs w:val="24"/>
        </w:rPr>
        <w:t xml:space="preserve"> issuance of Directive RT120/18.</w:t>
      </w:r>
      <w:r w:rsidR="000D084F">
        <w:rPr>
          <w:rFonts w:ascii="Times New Roman" w:hAnsi="Times New Roman" w:cs="Times New Roman"/>
          <w:sz w:val="24"/>
          <w:szCs w:val="24"/>
        </w:rPr>
        <w:t xml:space="preserve"> </w:t>
      </w:r>
      <w:r w:rsidR="006466F1">
        <w:rPr>
          <w:rFonts w:ascii="Times New Roman" w:hAnsi="Times New Roman" w:cs="Times New Roman"/>
          <w:sz w:val="24"/>
          <w:szCs w:val="24"/>
        </w:rPr>
        <w:t>I</w:t>
      </w:r>
      <w:r w:rsidR="000D084F">
        <w:rPr>
          <w:rFonts w:ascii="Times New Roman" w:hAnsi="Times New Roman" w:cs="Times New Roman"/>
          <w:sz w:val="24"/>
          <w:szCs w:val="24"/>
        </w:rPr>
        <w:t xml:space="preserve">t would have been the simplest of matters for Nedbank to furnish proof of their communication to the </w:t>
      </w:r>
      <w:r w:rsidR="00A8694E">
        <w:rPr>
          <w:rFonts w:ascii="Times New Roman" w:hAnsi="Times New Roman" w:cs="Times New Roman"/>
          <w:sz w:val="24"/>
          <w:szCs w:val="24"/>
        </w:rPr>
        <w:t>customer. Or</w:t>
      </w:r>
      <w:r w:rsidR="003242F6">
        <w:rPr>
          <w:rFonts w:ascii="Times New Roman" w:hAnsi="Times New Roman" w:cs="Times New Roman"/>
          <w:sz w:val="24"/>
          <w:szCs w:val="24"/>
        </w:rPr>
        <w:t xml:space="preserve"> </w:t>
      </w:r>
      <w:r w:rsidR="00A8694E">
        <w:rPr>
          <w:rFonts w:ascii="Times New Roman" w:hAnsi="Times New Roman" w:cs="Times New Roman"/>
          <w:sz w:val="24"/>
          <w:szCs w:val="24"/>
        </w:rPr>
        <w:t xml:space="preserve">even </w:t>
      </w:r>
      <w:r w:rsidR="00000CE5">
        <w:rPr>
          <w:rFonts w:ascii="Times New Roman" w:hAnsi="Times New Roman" w:cs="Times New Roman"/>
          <w:sz w:val="24"/>
          <w:szCs w:val="24"/>
        </w:rPr>
        <w:t xml:space="preserve">tender the suggestion that such was done through the array of </w:t>
      </w:r>
      <w:r w:rsidR="00A8694E">
        <w:rPr>
          <w:rFonts w:ascii="Times New Roman" w:hAnsi="Times New Roman" w:cs="Times New Roman"/>
          <w:sz w:val="24"/>
          <w:szCs w:val="24"/>
        </w:rPr>
        <w:t xml:space="preserve">electronic broadcasts </w:t>
      </w:r>
      <w:r w:rsidR="00000CE5">
        <w:rPr>
          <w:rFonts w:ascii="Times New Roman" w:hAnsi="Times New Roman" w:cs="Times New Roman"/>
          <w:sz w:val="24"/>
          <w:szCs w:val="24"/>
        </w:rPr>
        <w:t xml:space="preserve">or </w:t>
      </w:r>
      <w:r w:rsidR="00184CE1">
        <w:rPr>
          <w:rFonts w:ascii="Times New Roman" w:hAnsi="Times New Roman" w:cs="Times New Roman"/>
          <w:sz w:val="24"/>
          <w:szCs w:val="24"/>
        </w:rPr>
        <w:t xml:space="preserve">other </w:t>
      </w:r>
      <w:r w:rsidR="00000CE5">
        <w:rPr>
          <w:rFonts w:ascii="Times New Roman" w:hAnsi="Times New Roman" w:cs="Times New Roman"/>
          <w:sz w:val="24"/>
          <w:szCs w:val="24"/>
        </w:rPr>
        <w:t>publication</w:t>
      </w:r>
      <w:r w:rsidR="00184CE1">
        <w:rPr>
          <w:rFonts w:ascii="Times New Roman" w:hAnsi="Times New Roman" w:cs="Times New Roman"/>
          <w:sz w:val="24"/>
          <w:szCs w:val="24"/>
        </w:rPr>
        <w:t>s</w:t>
      </w:r>
      <w:r w:rsidR="00000CE5">
        <w:rPr>
          <w:rFonts w:ascii="Times New Roman" w:hAnsi="Times New Roman" w:cs="Times New Roman"/>
          <w:sz w:val="24"/>
          <w:szCs w:val="24"/>
        </w:rPr>
        <w:t xml:space="preserve"> </w:t>
      </w:r>
      <w:r w:rsidR="00A8694E">
        <w:rPr>
          <w:rFonts w:ascii="Times New Roman" w:hAnsi="Times New Roman" w:cs="Times New Roman"/>
          <w:sz w:val="24"/>
          <w:szCs w:val="24"/>
        </w:rPr>
        <w:t>so c</w:t>
      </w:r>
      <w:r w:rsidR="003242F6">
        <w:rPr>
          <w:rFonts w:ascii="Times New Roman" w:hAnsi="Times New Roman" w:cs="Times New Roman"/>
          <w:sz w:val="24"/>
          <w:szCs w:val="24"/>
        </w:rPr>
        <w:t>ommonplace in business today</w:t>
      </w:r>
      <w:r w:rsidR="00000CE5">
        <w:rPr>
          <w:rFonts w:ascii="Times New Roman" w:hAnsi="Times New Roman" w:cs="Times New Roman"/>
          <w:sz w:val="24"/>
          <w:szCs w:val="24"/>
        </w:rPr>
        <w:t>.</w:t>
      </w:r>
      <w:r>
        <w:rPr>
          <w:rFonts w:ascii="Times New Roman" w:hAnsi="Times New Roman" w:cs="Times New Roman"/>
          <w:sz w:val="24"/>
          <w:szCs w:val="24"/>
        </w:rPr>
        <w:t xml:space="preserve"> </w:t>
      </w:r>
    </w:p>
    <w:p w14:paraId="301BF832" w14:textId="661114E5" w:rsidR="00833A1B" w:rsidRDefault="000D084F"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D6D4E">
        <w:rPr>
          <w:rFonts w:ascii="Times New Roman" w:hAnsi="Times New Roman" w:cs="Times New Roman"/>
          <w:sz w:val="24"/>
          <w:szCs w:val="24"/>
        </w:rPr>
        <w:t>4</w:t>
      </w:r>
      <w:r w:rsidR="003242F6">
        <w:rPr>
          <w:rFonts w:ascii="Times New Roman" w:hAnsi="Times New Roman" w:cs="Times New Roman"/>
          <w:sz w:val="24"/>
          <w:szCs w:val="24"/>
        </w:rPr>
        <w:t>2</w:t>
      </w:r>
      <w:r>
        <w:rPr>
          <w:rFonts w:ascii="Times New Roman" w:hAnsi="Times New Roman" w:cs="Times New Roman"/>
          <w:sz w:val="24"/>
          <w:szCs w:val="24"/>
        </w:rPr>
        <w:t xml:space="preserve">] </w:t>
      </w:r>
      <w:r w:rsidR="00833A1B">
        <w:rPr>
          <w:rFonts w:ascii="Times New Roman" w:hAnsi="Times New Roman" w:cs="Times New Roman"/>
          <w:sz w:val="24"/>
          <w:szCs w:val="24"/>
        </w:rPr>
        <w:t xml:space="preserve">Secondly, </w:t>
      </w:r>
      <w:r w:rsidR="00136649">
        <w:rPr>
          <w:rFonts w:ascii="Times New Roman" w:hAnsi="Times New Roman" w:cs="Times New Roman"/>
          <w:sz w:val="24"/>
          <w:szCs w:val="24"/>
        </w:rPr>
        <w:t xml:space="preserve">even if Magic Software had indeed become seized with knowledge of the Directive RT120/18, that position would not have triggered the running of prescription. </w:t>
      </w:r>
      <w:r w:rsidR="00136649">
        <w:rPr>
          <w:rFonts w:ascii="Times New Roman" w:hAnsi="Times New Roman" w:cs="Times New Roman"/>
          <w:sz w:val="24"/>
          <w:szCs w:val="24"/>
        </w:rPr>
        <w:lastRenderedPageBreak/>
        <w:t xml:space="preserve">Prescription in a banker-customer relationship is reckoned from the point that the customer issues a demand for its deposit with a bank. </w:t>
      </w:r>
      <w:r w:rsidR="00833A1B">
        <w:rPr>
          <w:rFonts w:ascii="Times New Roman" w:hAnsi="Times New Roman" w:cs="Times New Roman"/>
          <w:sz w:val="24"/>
          <w:szCs w:val="24"/>
        </w:rPr>
        <w:t xml:space="preserve">  This is the position set out in the classic case of </w:t>
      </w:r>
      <w:r w:rsidR="00833A1B" w:rsidRPr="00E0257E">
        <w:rPr>
          <w:rFonts w:ascii="Times New Roman" w:hAnsi="Times New Roman" w:cs="Times New Roman"/>
          <w:i/>
          <w:iCs/>
          <w:sz w:val="24"/>
          <w:szCs w:val="24"/>
        </w:rPr>
        <w:t>Foley v Hill</w:t>
      </w:r>
      <w:r w:rsidR="00833A1B">
        <w:rPr>
          <w:rFonts w:ascii="Times New Roman" w:hAnsi="Times New Roman" w:cs="Times New Roman"/>
          <w:sz w:val="24"/>
          <w:szCs w:val="24"/>
        </w:rPr>
        <w:t xml:space="preserve"> (1848) 2 H.L. Cas.28</w:t>
      </w:r>
      <w:r w:rsidR="005922B6">
        <w:rPr>
          <w:rStyle w:val="FootnoteReference"/>
          <w:rFonts w:ascii="Times New Roman" w:hAnsi="Times New Roman" w:cs="Times New Roman"/>
          <w:sz w:val="24"/>
          <w:szCs w:val="24"/>
        </w:rPr>
        <w:footnoteReference w:id="5"/>
      </w:r>
      <w:r w:rsidR="00833A1B">
        <w:rPr>
          <w:rFonts w:ascii="Times New Roman" w:hAnsi="Times New Roman" w:cs="Times New Roman"/>
          <w:sz w:val="24"/>
          <w:szCs w:val="24"/>
        </w:rPr>
        <w:t xml:space="preserve"> </w:t>
      </w:r>
      <w:r w:rsidR="005922B6">
        <w:rPr>
          <w:rFonts w:ascii="Times New Roman" w:hAnsi="Times New Roman" w:cs="Times New Roman"/>
          <w:sz w:val="24"/>
          <w:szCs w:val="24"/>
        </w:rPr>
        <w:t xml:space="preserve"> and </w:t>
      </w:r>
      <w:r w:rsidR="00833A1B">
        <w:rPr>
          <w:rFonts w:ascii="Times New Roman" w:hAnsi="Times New Roman" w:cs="Times New Roman"/>
          <w:sz w:val="24"/>
          <w:szCs w:val="24"/>
        </w:rPr>
        <w:t>enunciated as follows</w:t>
      </w:r>
      <w:r w:rsidR="005922B6">
        <w:rPr>
          <w:rFonts w:ascii="Times New Roman" w:hAnsi="Times New Roman" w:cs="Times New Roman"/>
          <w:sz w:val="24"/>
          <w:szCs w:val="24"/>
        </w:rPr>
        <w:t xml:space="preserve"> by the learned author Poh Chu Chai in his work</w:t>
      </w:r>
      <w:r w:rsidR="00814EB4">
        <w:rPr>
          <w:rFonts w:ascii="Times New Roman" w:hAnsi="Times New Roman" w:cs="Times New Roman"/>
          <w:sz w:val="24"/>
          <w:szCs w:val="24"/>
        </w:rPr>
        <w:t>,</w:t>
      </w:r>
      <w:r w:rsidR="005922B6">
        <w:rPr>
          <w:rFonts w:ascii="Times New Roman" w:hAnsi="Times New Roman" w:cs="Times New Roman"/>
          <w:sz w:val="24"/>
          <w:szCs w:val="24"/>
        </w:rPr>
        <w:t xml:space="preserve"> </w:t>
      </w:r>
      <w:r w:rsidR="005922B6" w:rsidRPr="005922B6">
        <w:rPr>
          <w:rFonts w:ascii="Times New Roman" w:hAnsi="Times New Roman" w:cs="Times New Roman"/>
          <w:sz w:val="24"/>
          <w:szCs w:val="24"/>
          <w:u w:val="single"/>
        </w:rPr>
        <w:t>Law of Banker and Customer 5</w:t>
      </w:r>
      <w:r w:rsidR="005922B6" w:rsidRPr="005922B6">
        <w:rPr>
          <w:rFonts w:ascii="Times New Roman" w:hAnsi="Times New Roman" w:cs="Times New Roman"/>
          <w:sz w:val="24"/>
          <w:szCs w:val="24"/>
          <w:u w:val="single"/>
          <w:vertAlign w:val="superscript"/>
        </w:rPr>
        <w:t>th</w:t>
      </w:r>
      <w:r w:rsidR="005922B6" w:rsidRPr="005922B6">
        <w:rPr>
          <w:rFonts w:ascii="Times New Roman" w:hAnsi="Times New Roman" w:cs="Times New Roman"/>
          <w:sz w:val="24"/>
          <w:szCs w:val="24"/>
          <w:u w:val="single"/>
        </w:rPr>
        <w:t xml:space="preserve"> Edition, Lexis Nexis</w:t>
      </w:r>
      <w:r w:rsidR="005922B6">
        <w:rPr>
          <w:rFonts w:ascii="Times New Roman" w:hAnsi="Times New Roman" w:cs="Times New Roman"/>
          <w:sz w:val="24"/>
          <w:szCs w:val="24"/>
          <w:u w:val="single"/>
        </w:rPr>
        <w:t>,</w:t>
      </w:r>
      <w:r w:rsidR="005922B6" w:rsidRPr="005922B6">
        <w:rPr>
          <w:rFonts w:ascii="Times New Roman" w:hAnsi="Times New Roman" w:cs="Times New Roman"/>
          <w:sz w:val="24"/>
          <w:szCs w:val="24"/>
          <w:u w:val="single"/>
        </w:rPr>
        <w:t xml:space="preserve"> 2004</w:t>
      </w:r>
      <w:r w:rsidR="005922B6">
        <w:rPr>
          <w:rFonts w:ascii="Times New Roman" w:hAnsi="Times New Roman" w:cs="Times New Roman"/>
          <w:sz w:val="24"/>
          <w:szCs w:val="24"/>
        </w:rPr>
        <w:t xml:space="preserve"> at page 48</w:t>
      </w:r>
      <w:r w:rsidR="00833A1B">
        <w:rPr>
          <w:rFonts w:ascii="Times New Roman" w:hAnsi="Times New Roman" w:cs="Times New Roman"/>
          <w:sz w:val="24"/>
          <w:szCs w:val="24"/>
        </w:rPr>
        <w:t>; -</w:t>
      </w:r>
    </w:p>
    <w:p w14:paraId="59973BB1" w14:textId="5FDF42B4" w:rsidR="00833A1B" w:rsidRDefault="00833A1B" w:rsidP="00B613BF">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right of a customer to sue a bank for the return of his money is conditional upon the customer making a demand on the </w:t>
      </w:r>
      <w:r w:rsidR="00E0257E">
        <w:rPr>
          <w:rFonts w:ascii="Times New Roman" w:hAnsi="Times New Roman" w:cs="Times New Roman"/>
          <w:sz w:val="24"/>
          <w:szCs w:val="24"/>
        </w:rPr>
        <w:t>bank. This</w:t>
      </w:r>
      <w:r>
        <w:rPr>
          <w:rFonts w:ascii="Times New Roman" w:hAnsi="Times New Roman" w:cs="Times New Roman"/>
          <w:sz w:val="24"/>
          <w:szCs w:val="24"/>
        </w:rPr>
        <w:t xml:space="preserve"> means that the making of a demand by a customer for the repayment of his money constitutes a condition precedent to </w:t>
      </w:r>
      <w:r w:rsidR="00E0257E">
        <w:rPr>
          <w:rFonts w:ascii="Times New Roman" w:hAnsi="Times New Roman" w:cs="Times New Roman"/>
          <w:sz w:val="24"/>
          <w:szCs w:val="24"/>
        </w:rPr>
        <w:t>the</w:t>
      </w:r>
      <w:r>
        <w:rPr>
          <w:rFonts w:ascii="Times New Roman" w:hAnsi="Times New Roman" w:cs="Times New Roman"/>
          <w:sz w:val="24"/>
          <w:szCs w:val="24"/>
        </w:rPr>
        <w:t xml:space="preserve"> liability of the bank to repay the customer</w:t>
      </w:r>
      <w:r w:rsidR="00E0257E">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r w:rsidR="00E0257E">
        <w:rPr>
          <w:rFonts w:ascii="Times New Roman" w:hAnsi="Times New Roman" w:cs="Times New Roman"/>
          <w:sz w:val="24"/>
          <w:szCs w:val="24"/>
        </w:rPr>
        <w:t>If no demand is made by the customer, the liability of a bank does not arise. It follows that a customer has no right to bring legal proceedings against a bank for the return of his money until it is shown that a demand for payment has been refused by the bank</w:t>
      </w:r>
      <w:r w:rsidR="00E0257E" w:rsidRPr="005922B6">
        <w:rPr>
          <w:rFonts w:ascii="Times New Roman" w:hAnsi="Times New Roman" w:cs="Times New Roman"/>
          <w:sz w:val="24"/>
          <w:szCs w:val="24"/>
          <w:u w:val="single"/>
        </w:rPr>
        <w:t>. One implication flowing from this requirement is that time does not run against the funds deposited by a customer until repayment is refused by the bank</w:t>
      </w:r>
      <w:r w:rsidR="00E0257E">
        <w:rPr>
          <w:rFonts w:ascii="Times New Roman" w:hAnsi="Times New Roman" w:cs="Times New Roman"/>
          <w:sz w:val="24"/>
          <w:szCs w:val="24"/>
        </w:rPr>
        <w:t>.”</w:t>
      </w:r>
      <w:r w:rsidR="005922B6">
        <w:rPr>
          <w:rFonts w:ascii="Times New Roman" w:hAnsi="Times New Roman" w:cs="Times New Roman"/>
          <w:sz w:val="24"/>
          <w:szCs w:val="24"/>
        </w:rPr>
        <w:t xml:space="preserve"> [ emphasis added] </w:t>
      </w:r>
    </w:p>
    <w:p w14:paraId="6219A123" w14:textId="23FD64D2" w:rsidR="000D084F" w:rsidRDefault="005922B6"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[ 43] In the present matter, </w:t>
      </w:r>
      <w:r w:rsidR="00B467DC">
        <w:rPr>
          <w:rFonts w:ascii="Times New Roman" w:hAnsi="Times New Roman" w:cs="Times New Roman"/>
          <w:sz w:val="24"/>
          <w:szCs w:val="24"/>
        </w:rPr>
        <w:t>Magic Software did make a demand, as recorded by Chaimovsky</w:t>
      </w:r>
      <w:r w:rsidR="000D084F">
        <w:rPr>
          <w:rFonts w:ascii="Times New Roman" w:hAnsi="Times New Roman" w:cs="Times New Roman"/>
          <w:sz w:val="24"/>
          <w:szCs w:val="24"/>
        </w:rPr>
        <w:t xml:space="preserve"> </w:t>
      </w:r>
      <w:r w:rsidR="00B467DC">
        <w:rPr>
          <w:rFonts w:ascii="Times New Roman" w:hAnsi="Times New Roman" w:cs="Times New Roman"/>
          <w:sz w:val="24"/>
          <w:szCs w:val="24"/>
        </w:rPr>
        <w:t xml:space="preserve">in the </w:t>
      </w:r>
      <w:r w:rsidR="000D084F">
        <w:rPr>
          <w:rFonts w:ascii="Times New Roman" w:hAnsi="Times New Roman" w:cs="Times New Roman"/>
          <w:sz w:val="24"/>
          <w:szCs w:val="24"/>
        </w:rPr>
        <w:t xml:space="preserve">founding </w:t>
      </w:r>
      <w:r w:rsidR="00F01C62">
        <w:rPr>
          <w:rFonts w:ascii="Times New Roman" w:hAnsi="Times New Roman" w:cs="Times New Roman"/>
          <w:sz w:val="24"/>
          <w:szCs w:val="24"/>
        </w:rPr>
        <w:t>affidavit;</w:t>
      </w:r>
      <w:r w:rsidR="000D084F">
        <w:rPr>
          <w:rFonts w:ascii="Times New Roman" w:hAnsi="Times New Roman" w:cs="Times New Roman"/>
          <w:sz w:val="24"/>
          <w:szCs w:val="24"/>
        </w:rPr>
        <w:t xml:space="preserve"> -</w:t>
      </w:r>
    </w:p>
    <w:p w14:paraId="510FFCE0" w14:textId="45610A50" w:rsidR="000D084F" w:rsidRDefault="000D084F" w:rsidP="00F46D23">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“On or about 27 June 2019</w:t>
      </w:r>
      <w:r w:rsidR="00F46D23">
        <w:rPr>
          <w:rFonts w:ascii="Times New Roman" w:hAnsi="Times New Roman" w:cs="Times New Roman"/>
          <w:sz w:val="24"/>
          <w:szCs w:val="24"/>
        </w:rPr>
        <w:t xml:space="preserve"> when the Applicant was </w:t>
      </w:r>
      <w:r w:rsidR="00F46D23" w:rsidRPr="00B467DC">
        <w:rPr>
          <w:rFonts w:ascii="Times New Roman" w:hAnsi="Times New Roman" w:cs="Times New Roman"/>
          <w:sz w:val="24"/>
          <w:szCs w:val="24"/>
          <w:u w:val="single"/>
        </w:rPr>
        <w:t>seeking to effect the remittance of funds</w:t>
      </w:r>
      <w:r w:rsidR="00F46D23">
        <w:rPr>
          <w:rFonts w:ascii="Times New Roman" w:hAnsi="Times New Roman" w:cs="Times New Roman"/>
          <w:sz w:val="24"/>
          <w:szCs w:val="24"/>
        </w:rPr>
        <w:t xml:space="preserve"> in a frontal meeting, Applicant was advised for the first time by Respondent that the funds being held in escrow had been redenominated to Zimbabwe Dollars and were no longer regarded as USD.”</w:t>
      </w:r>
      <w:r w:rsidR="00F46D23">
        <w:rPr>
          <w:rStyle w:val="FootnoteReference"/>
          <w:rFonts w:ascii="Times New Roman" w:hAnsi="Times New Roman" w:cs="Times New Roman"/>
          <w:sz w:val="24"/>
          <w:szCs w:val="24"/>
        </w:rPr>
        <w:footnoteReference w:id="7"/>
      </w:r>
    </w:p>
    <w:p w14:paraId="46F2291D" w14:textId="69918CE4" w:rsidR="008E7312" w:rsidRDefault="008E7312"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005922B6">
        <w:rPr>
          <w:rFonts w:ascii="Times New Roman" w:hAnsi="Times New Roman" w:cs="Times New Roman"/>
          <w:sz w:val="24"/>
          <w:szCs w:val="24"/>
        </w:rPr>
        <w:t xml:space="preserve">is date and its events </w:t>
      </w:r>
      <w:r w:rsidR="00184CE1">
        <w:rPr>
          <w:rFonts w:ascii="Times New Roman" w:hAnsi="Times New Roman" w:cs="Times New Roman"/>
          <w:sz w:val="24"/>
          <w:szCs w:val="24"/>
        </w:rPr>
        <w:t xml:space="preserve">mark the point when </w:t>
      </w:r>
      <w:r w:rsidR="005922B6">
        <w:rPr>
          <w:rFonts w:ascii="Times New Roman" w:hAnsi="Times New Roman" w:cs="Times New Roman"/>
          <w:sz w:val="24"/>
          <w:szCs w:val="24"/>
        </w:rPr>
        <w:t xml:space="preserve">prescription </w:t>
      </w:r>
      <w:r w:rsidR="00184CE1">
        <w:rPr>
          <w:rFonts w:ascii="Times New Roman" w:hAnsi="Times New Roman" w:cs="Times New Roman"/>
          <w:sz w:val="24"/>
          <w:szCs w:val="24"/>
        </w:rPr>
        <w:t>can arguably be said to have co</w:t>
      </w:r>
      <w:r w:rsidR="005922B6">
        <w:rPr>
          <w:rFonts w:ascii="Times New Roman" w:hAnsi="Times New Roman" w:cs="Times New Roman"/>
          <w:sz w:val="24"/>
          <w:szCs w:val="24"/>
        </w:rPr>
        <w:t>mmenced</w:t>
      </w:r>
      <w:r w:rsidR="00892DF7">
        <w:rPr>
          <w:rFonts w:ascii="Times New Roman" w:hAnsi="Times New Roman" w:cs="Times New Roman"/>
          <w:sz w:val="24"/>
          <w:szCs w:val="24"/>
        </w:rPr>
        <w:t xml:space="preserve"> to run</w:t>
      </w:r>
      <w:r w:rsidR="005922B6">
        <w:rPr>
          <w:rFonts w:ascii="Times New Roman" w:hAnsi="Times New Roman" w:cs="Times New Roman"/>
          <w:sz w:val="24"/>
          <w:szCs w:val="24"/>
        </w:rPr>
        <w:t xml:space="preserve">. The </w:t>
      </w:r>
      <w:r>
        <w:rPr>
          <w:rFonts w:ascii="Times New Roman" w:hAnsi="Times New Roman" w:cs="Times New Roman"/>
          <w:sz w:val="24"/>
          <w:szCs w:val="24"/>
        </w:rPr>
        <w:t xml:space="preserve">present proceedings were </w:t>
      </w:r>
      <w:r w:rsidR="00166D52">
        <w:rPr>
          <w:rFonts w:ascii="Times New Roman" w:hAnsi="Times New Roman" w:cs="Times New Roman"/>
          <w:sz w:val="24"/>
          <w:szCs w:val="24"/>
        </w:rPr>
        <w:t xml:space="preserve">instituted on </w:t>
      </w:r>
      <w:r>
        <w:rPr>
          <w:rFonts w:ascii="Times New Roman" w:hAnsi="Times New Roman" w:cs="Times New Roman"/>
          <w:sz w:val="24"/>
          <w:szCs w:val="24"/>
        </w:rPr>
        <w:t>2</w:t>
      </w:r>
      <w:r w:rsidR="00166D52">
        <w:rPr>
          <w:rFonts w:ascii="Times New Roman" w:hAnsi="Times New Roman" w:cs="Times New Roman"/>
          <w:sz w:val="24"/>
          <w:szCs w:val="24"/>
        </w:rPr>
        <w:t>2 April 2022</w:t>
      </w:r>
      <w:r w:rsidR="00F450DA">
        <w:rPr>
          <w:rFonts w:ascii="Times New Roman" w:hAnsi="Times New Roman" w:cs="Times New Roman"/>
          <w:sz w:val="24"/>
          <w:szCs w:val="24"/>
        </w:rPr>
        <w:t>-</w:t>
      </w:r>
      <w:r w:rsidR="00F450DA" w:rsidRPr="00F450DA">
        <w:rPr>
          <w:rFonts w:ascii="Times New Roman" w:hAnsi="Times New Roman" w:cs="Times New Roman"/>
          <w:sz w:val="24"/>
          <w:szCs w:val="24"/>
        </w:rPr>
        <w:t xml:space="preserve"> </w:t>
      </w:r>
      <w:r w:rsidR="00F450DA">
        <w:rPr>
          <w:rFonts w:ascii="Times New Roman" w:hAnsi="Times New Roman" w:cs="Times New Roman"/>
          <w:sz w:val="24"/>
          <w:szCs w:val="24"/>
        </w:rPr>
        <w:t>within three (3) years of that date</w:t>
      </w:r>
      <w:r>
        <w:rPr>
          <w:rFonts w:ascii="Times New Roman" w:hAnsi="Times New Roman" w:cs="Times New Roman"/>
          <w:sz w:val="24"/>
          <w:szCs w:val="24"/>
        </w:rPr>
        <w:t xml:space="preserve">. </w:t>
      </w:r>
      <w:r w:rsidR="00166D52">
        <w:rPr>
          <w:rFonts w:ascii="Times New Roman" w:hAnsi="Times New Roman" w:cs="Times New Roman"/>
          <w:sz w:val="24"/>
          <w:szCs w:val="24"/>
        </w:rPr>
        <w:t>With this observation, one m</w:t>
      </w:r>
      <w:r w:rsidR="00814EB4">
        <w:rPr>
          <w:rFonts w:ascii="Times New Roman" w:hAnsi="Times New Roman" w:cs="Times New Roman"/>
          <w:sz w:val="24"/>
          <w:szCs w:val="24"/>
        </w:rPr>
        <w:t>ight h</w:t>
      </w:r>
      <w:r w:rsidR="00166D52">
        <w:rPr>
          <w:rFonts w:ascii="Times New Roman" w:hAnsi="Times New Roman" w:cs="Times New Roman"/>
          <w:sz w:val="24"/>
          <w:szCs w:val="24"/>
        </w:rPr>
        <w:t>ave closed the chapter and dismiss</w:t>
      </w:r>
      <w:r w:rsidR="0090049C">
        <w:rPr>
          <w:rFonts w:ascii="Times New Roman" w:hAnsi="Times New Roman" w:cs="Times New Roman"/>
          <w:sz w:val="24"/>
          <w:szCs w:val="24"/>
        </w:rPr>
        <w:t>ed</w:t>
      </w:r>
      <w:r w:rsidR="00166D52">
        <w:rPr>
          <w:rFonts w:ascii="Times New Roman" w:hAnsi="Times New Roman" w:cs="Times New Roman"/>
          <w:sz w:val="24"/>
          <w:szCs w:val="24"/>
        </w:rPr>
        <w:t xml:space="preserve"> the plea of prescription. But there is an additional ground</w:t>
      </w:r>
      <w:r w:rsidR="0090049C">
        <w:rPr>
          <w:rFonts w:ascii="Times New Roman" w:hAnsi="Times New Roman" w:cs="Times New Roman"/>
          <w:sz w:val="24"/>
          <w:szCs w:val="24"/>
        </w:rPr>
        <w:t>.</w:t>
      </w:r>
      <w:r w:rsidR="00166D52">
        <w:rPr>
          <w:rFonts w:ascii="Times New Roman" w:hAnsi="Times New Roman" w:cs="Times New Roman"/>
          <w:sz w:val="24"/>
          <w:szCs w:val="24"/>
        </w:rPr>
        <w:t xml:space="preserve"> </w:t>
      </w:r>
    </w:p>
    <w:p w14:paraId="0F63DC75" w14:textId="31FD29F2" w:rsidR="009510D4" w:rsidRDefault="008E7312"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704D32">
        <w:rPr>
          <w:rFonts w:ascii="Times New Roman" w:hAnsi="Times New Roman" w:cs="Times New Roman"/>
          <w:sz w:val="24"/>
          <w:szCs w:val="24"/>
        </w:rPr>
        <w:t>4</w:t>
      </w:r>
      <w:r w:rsidR="00F10D93">
        <w:rPr>
          <w:rFonts w:ascii="Times New Roman" w:hAnsi="Times New Roman" w:cs="Times New Roman"/>
          <w:sz w:val="24"/>
          <w:szCs w:val="24"/>
        </w:rPr>
        <w:t>4</w:t>
      </w:r>
      <w:r>
        <w:rPr>
          <w:rFonts w:ascii="Times New Roman" w:hAnsi="Times New Roman" w:cs="Times New Roman"/>
          <w:sz w:val="24"/>
          <w:szCs w:val="24"/>
        </w:rPr>
        <w:t xml:space="preserve">] </w:t>
      </w:r>
      <w:r w:rsidR="00166D52">
        <w:rPr>
          <w:rFonts w:ascii="Times New Roman" w:hAnsi="Times New Roman" w:cs="Times New Roman"/>
          <w:sz w:val="24"/>
          <w:szCs w:val="24"/>
        </w:rPr>
        <w:t xml:space="preserve">And this brings me back to </w:t>
      </w:r>
      <w:r w:rsidR="00166D52" w:rsidRPr="00F01C62">
        <w:rPr>
          <w:rFonts w:ascii="Times New Roman" w:hAnsi="Times New Roman" w:cs="Times New Roman"/>
          <w:sz w:val="24"/>
          <w:szCs w:val="24"/>
        </w:rPr>
        <w:t xml:space="preserve">Mr. </w:t>
      </w:r>
      <w:r w:rsidR="00166D52" w:rsidRPr="00F01C62">
        <w:rPr>
          <w:rFonts w:ascii="Times New Roman" w:hAnsi="Times New Roman" w:cs="Times New Roman"/>
          <w:i/>
          <w:iCs/>
          <w:sz w:val="24"/>
          <w:szCs w:val="24"/>
        </w:rPr>
        <w:t>Mpofu</w:t>
      </w:r>
      <w:r w:rsidR="00166D52" w:rsidRPr="00F01C62">
        <w:rPr>
          <w:rFonts w:ascii="Times New Roman" w:hAnsi="Times New Roman" w:cs="Times New Roman"/>
          <w:sz w:val="24"/>
          <w:szCs w:val="24"/>
        </w:rPr>
        <w:t>’s submission</w:t>
      </w:r>
      <w:r w:rsidR="00166D52">
        <w:rPr>
          <w:rFonts w:ascii="Times New Roman" w:hAnsi="Times New Roman" w:cs="Times New Roman"/>
          <w:sz w:val="24"/>
          <w:szCs w:val="24"/>
        </w:rPr>
        <w:t xml:space="preserve"> quoted in paragraph [31] above. The</w:t>
      </w:r>
      <w:r>
        <w:rPr>
          <w:rFonts w:ascii="Times New Roman" w:hAnsi="Times New Roman" w:cs="Times New Roman"/>
          <w:sz w:val="24"/>
          <w:szCs w:val="24"/>
        </w:rPr>
        <w:t xml:space="preserve"> cause of action </w:t>
      </w:r>
      <w:r w:rsidR="00F10D93">
        <w:rPr>
          <w:rFonts w:ascii="Times New Roman" w:hAnsi="Times New Roman" w:cs="Times New Roman"/>
          <w:sz w:val="24"/>
          <w:szCs w:val="24"/>
        </w:rPr>
        <w:t>traverses breach of contract on two pillars</w:t>
      </w:r>
      <w:r w:rsidR="00000CE5">
        <w:rPr>
          <w:rFonts w:ascii="Times New Roman" w:hAnsi="Times New Roman" w:cs="Times New Roman"/>
          <w:sz w:val="24"/>
          <w:szCs w:val="24"/>
        </w:rPr>
        <w:t>,</w:t>
      </w:r>
      <w:r w:rsidR="00F10D93">
        <w:rPr>
          <w:rFonts w:ascii="Times New Roman" w:hAnsi="Times New Roman" w:cs="Times New Roman"/>
          <w:sz w:val="24"/>
          <w:szCs w:val="24"/>
        </w:rPr>
        <w:t xml:space="preserve"> as well as claim of statutory rights. Part of the breach of contract was framed as follows in the founding</w:t>
      </w:r>
      <w:r w:rsidR="009510D4">
        <w:rPr>
          <w:rFonts w:ascii="Times New Roman" w:hAnsi="Times New Roman" w:cs="Times New Roman"/>
          <w:sz w:val="24"/>
          <w:szCs w:val="24"/>
        </w:rPr>
        <w:t xml:space="preserve"> affidavit; -</w:t>
      </w:r>
    </w:p>
    <w:p w14:paraId="1FE475E0" w14:textId="59CCB146" w:rsidR="008E7312" w:rsidRDefault="009510D4" w:rsidP="00CE71B7">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“…As such Respondent, by its failure to register Applicant`s blocked funds in its name with the Reserve Bank of Zimbabwe as a foreign obligation, has resulted in loss to </w:t>
      </w:r>
      <w:r w:rsidR="00CE71B7">
        <w:rPr>
          <w:rFonts w:ascii="Times New Roman" w:hAnsi="Times New Roman" w:cs="Times New Roman"/>
          <w:sz w:val="24"/>
          <w:szCs w:val="24"/>
        </w:rPr>
        <w:t>Applicant, entitling applicant to damages in the equivalent amount of the outstanding balance.”</w:t>
      </w:r>
    </w:p>
    <w:p w14:paraId="7790DA17" w14:textId="577FE0A4" w:rsidR="00CE71B7" w:rsidRDefault="00CE71B7"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E4141">
        <w:rPr>
          <w:rFonts w:ascii="Times New Roman" w:hAnsi="Times New Roman" w:cs="Times New Roman"/>
          <w:sz w:val="24"/>
          <w:szCs w:val="24"/>
        </w:rPr>
        <w:t>4</w:t>
      </w:r>
      <w:r w:rsidR="00B9411B">
        <w:rPr>
          <w:rFonts w:ascii="Times New Roman" w:hAnsi="Times New Roman" w:cs="Times New Roman"/>
          <w:sz w:val="24"/>
          <w:szCs w:val="24"/>
        </w:rPr>
        <w:t>5</w:t>
      </w:r>
      <w:r>
        <w:rPr>
          <w:rFonts w:ascii="Times New Roman" w:hAnsi="Times New Roman" w:cs="Times New Roman"/>
          <w:sz w:val="24"/>
          <w:szCs w:val="24"/>
        </w:rPr>
        <w:t xml:space="preserve">] </w:t>
      </w:r>
      <w:r w:rsidR="00166D52">
        <w:rPr>
          <w:rFonts w:ascii="Times New Roman" w:hAnsi="Times New Roman" w:cs="Times New Roman"/>
          <w:sz w:val="24"/>
          <w:szCs w:val="24"/>
        </w:rPr>
        <w:t xml:space="preserve">This averment goes to the root of the parties` contract and therein, the causa. </w:t>
      </w:r>
      <w:r w:rsidR="006706BD">
        <w:rPr>
          <w:rFonts w:ascii="Times New Roman" w:hAnsi="Times New Roman" w:cs="Times New Roman"/>
          <w:sz w:val="24"/>
          <w:szCs w:val="24"/>
        </w:rPr>
        <w:t>It alleges breach by Nedbank, of the banker`s duty of care in executing a customer mandate</w:t>
      </w:r>
      <w:r w:rsidR="006706BD">
        <w:rPr>
          <w:rStyle w:val="FootnoteReference"/>
          <w:rFonts w:ascii="Times New Roman" w:hAnsi="Times New Roman" w:cs="Times New Roman"/>
          <w:sz w:val="24"/>
          <w:szCs w:val="24"/>
        </w:rPr>
        <w:footnoteReference w:id="8"/>
      </w:r>
      <w:r w:rsidR="006706BD">
        <w:rPr>
          <w:rFonts w:ascii="Times New Roman" w:hAnsi="Times New Roman" w:cs="Times New Roman"/>
          <w:sz w:val="24"/>
          <w:szCs w:val="24"/>
        </w:rPr>
        <w:t xml:space="preserve">. </w:t>
      </w:r>
      <w:r>
        <w:rPr>
          <w:rFonts w:ascii="Times New Roman" w:hAnsi="Times New Roman" w:cs="Times New Roman"/>
          <w:sz w:val="24"/>
          <w:szCs w:val="24"/>
        </w:rPr>
        <w:t xml:space="preserve"> </w:t>
      </w:r>
      <w:r w:rsidR="006706BD">
        <w:rPr>
          <w:rFonts w:ascii="Times New Roman" w:hAnsi="Times New Roman" w:cs="Times New Roman"/>
          <w:sz w:val="24"/>
          <w:szCs w:val="24"/>
        </w:rPr>
        <w:t>But this duty</w:t>
      </w:r>
      <w:r w:rsidR="00B613BF">
        <w:rPr>
          <w:rFonts w:ascii="Times New Roman" w:hAnsi="Times New Roman" w:cs="Times New Roman"/>
          <w:sz w:val="24"/>
          <w:szCs w:val="24"/>
        </w:rPr>
        <w:t xml:space="preserve"> also entails</w:t>
      </w:r>
      <w:r w:rsidR="006706BD">
        <w:rPr>
          <w:rFonts w:ascii="Times New Roman" w:hAnsi="Times New Roman" w:cs="Times New Roman"/>
          <w:sz w:val="24"/>
          <w:szCs w:val="24"/>
        </w:rPr>
        <w:t xml:space="preserve"> </w:t>
      </w:r>
      <w:r w:rsidR="00B613BF">
        <w:rPr>
          <w:rFonts w:ascii="Times New Roman" w:hAnsi="Times New Roman" w:cs="Times New Roman"/>
          <w:sz w:val="24"/>
          <w:szCs w:val="24"/>
        </w:rPr>
        <w:t xml:space="preserve">the issue of </w:t>
      </w:r>
      <w:r w:rsidR="006706BD">
        <w:rPr>
          <w:rFonts w:ascii="Times New Roman" w:hAnsi="Times New Roman" w:cs="Times New Roman"/>
          <w:sz w:val="24"/>
          <w:szCs w:val="24"/>
        </w:rPr>
        <w:t>certain</w:t>
      </w:r>
      <w:r w:rsidR="00B613BF">
        <w:rPr>
          <w:rFonts w:ascii="Times New Roman" w:hAnsi="Times New Roman" w:cs="Times New Roman"/>
          <w:sz w:val="24"/>
          <w:szCs w:val="24"/>
        </w:rPr>
        <w:t>t</w:t>
      </w:r>
      <w:r w:rsidR="006706BD">
        <w:rPr>
          <w:rFonts w:ascii="Times New Roman" w:hAnsi="Times New Roman" w:cs="Times New Roman"/>
          <w:sz w:val="24"/>
          <w:szCs w:val="24"/>
        </w:rPr>
        <w:t xml:space="preserve">y and clarity of </w:t>
      </w:r>
      <w:r w:rsidR="00B613BF">
        <w:rPr>
          <w:rFonts w:ascii="Times New Roman" w:hAnsi="Times New Roman" w:cs="Times New Roman"/>
          <w:sz w:val="24"/>
          <w:szCs w:val="24"/>
        </w:rPr>
        <w:t xml:space="preserve">customer </w:t>
      </w:r>
      <w:r w:rsidR="006706BD">
        <w:rPr>
          <w:rFonts w:ascii="Times New Roman" w:hAnsi="Times New Roman" w:cs="Times New Roman"/>
          <w:sz w:val="24"/>
          <w:szCs w:val="24"/>
        </w:rPr>
        <w:t>instructions. The</w:t>
      </w:r>
      <w:r w:rsidR="00F51449">
        <w:rPr>
          <w:rFonts w:ascii="Times New Roman" w:hAnsi="Times New Roman" w:cs="Times New Roman"/>
          <w:sz w:val="24"/>
          <w:szCs w:val="24"/>
        </w:rPr>
        <w:t>se</w:t>
      </w:r>
      <w:r w:rsidR="006706BD">
        <w:rPr>
          <w:rFonts w:ascii="Times New Roman" w:hAnsi="Times New Roman" w:cs="Times New Roman"/>
          <w:sz w:val="24"/>
          <w:szCs w:val="24"/>
        </w:rPr>
        <w:t xml:space="preserve"> are the </w:t>
      </w:r>
      <w:r>
        <w:rPr>
          <w:rFonts w:ascii="Times New Roman" w:hAnsi="Times New Roman" w:cs="Times New Roman"/>
          <w:sz w:val="24"/>
          <w:szCs w:val="24"/>
        </w:rPr>
        <w:t xml:space="preserve">matters </w:t>
      </w:r>
      <w:r w:rsidR="006706BD">
        <w:rPr>
          <w:rFonts w:ascii="Times New Roman" w:hAnsi="Times New Roman" w:cs="Times New Roman"/>
          <w:sz w:val="24"/>
          <w:szCs w:val="24"/>
        </w:rPr>
        <w:t xml:space="preserve">that </w:t>
      </w:r>
      <w:r>
        <w:rPr>
          <w:rFonts w:ascii="Times New Roman" w:hAnsi="Times New Roman" w:cs="Times New Roman"/>
          <w:sz w:val="24"/>
          <w:szCs w:val="24"/>
        </w:rPr>
        <w:t xml:space="preserve">would </w:t>
      </w:r>
      <w:r w:rsidR="00B613BF">
        <w:rPr>
          <w:rFonts w:ascii="Times New Roman" w:hAnsi="Times New Roman" w:cs="Times New Roman"/>
          <w:sz w:val="24"/>
          <w:szCs w:val="24"/>
        </w:rPr>
        <w:t>in fact, require</w:t>
      </w:r>
      <w:r w:rsidR="006706BD">
        <w:rPr>
          <w:rFonts w:ascii="Times New Roman" w:hAnsi="Times New Roman" w:cs="Times New Roman"/>
          <w:sz w:val="24"/>
          <w:szCs w:val="24"/>
        </w:rPr>
        <w:t xml:space="preserve"> </w:t>
      </w:r>
      <w:r>
        <w:rPr>
          <w:rFonts w:ascii="Times New Roman" w:hAnsi="Times New Roman" w:cs="Times New Roman"/>
          <w:sz w:val="24"/>
          <w:szCs w:val="24"/>
        </w:rPr>
        <w:t>interrogat</w:t>
      </w:r>
      <w:r w:rsidR="006706BD">
        <w:rPr>
          <w:rFonts w:ascii="Times New Roman" w:hAnsi="Times New Roman" w:cs="Times New Roman"/>
          <w:sz w:val="24"/>
          <w:szCs w:val="24"/>
        </w:rPr>
        <w:t xml:space="preserve">ion of </w:t>
      </w:r>
      <w:r w:rsidR="00B613BF">
        <w:rPr>
          <w:rFonts w:ascii="Times New Roman" w:hAnsi="Times New Roman" w:cs="Times New Roman"/>
          <w:sz w:val="24"/>
          <w:szCs w:val="24"/>
        </w:rPr>
        <w:t>the merits of the dispute. Mr</w:t>
      </w:r>
      <w:r w:rsidR="00F10D93">
        <w:rPr>
          <w:rFonts w:ascii="Times New Roman" w:hAnsi="Times New Roman" w:cs="Times New Roman"/>
          <w:sz w:val="24"/>
          <w:szCs w:val="24"/>
        </w:rPr>
        <w:t xml:space="preserve"> </w:t>
      </w:r>
      <w:r w:rsidR="00B613BF" w:rsidRPr="00B613BF">
        <w:rPr>
          <w:rFonts w:ascii="Times New Roman" w:hAnsi="Times New Roman" w:cs="Times New Roman"/>
          <w:i/>
          <w:iCs/>
          <w:sz w:val="24"/>
          <w:szCs w:val="24"/>
        </w:rPr>
        <w:t>Magwaliba</w:t>
      </w:r>
      <w:r w:rsidR="00B613BF">
        <w:rPr>
          <w:rFonts w:ascii="Times New Roman" w:hAnsi="Times New Roman" w:cs="Times New Roman"/>
          <w:sz w:val="24"/>
          <w:szCs w:val="24"/>
        </w:rPr>
        <w:t>’ s</w:t>
      </w:r>
      <w:r w:rsidR="00F10D93">
        <w:rPr>
          <w:rFonts w:ascii="Times New Roman" w:hAnsi="Times New Roman" w:cs="Times New Roman"/>
          <w:sz w:val="24"/>
          <w:szCs w:val="24"/>
        </w:rPr>
        <w:t xml:space="preserve"> submission </w:t>
      </w:r>
      <w:r w:rsidR="00B613BF">
        <w:rPr>
          <w:rFonts w:ascii="Times New Roman" w:hAnsi="Times New Roman" w:cs="Times New Roman"/>
          <w:sz w:val="24"/>
          <w:szCs w:val="24"/>
        </w:rPr>
        <w:t>that</w:t>
      </w:r>
      <w:r w:rsidR="00814EB4">
        <w:rPr>
          <w:rFonts w:ascii="Times New Roman" w:hAnsi="Times New Roman" w:cs="Times New Roman"/>
          <w:sz w:val="24"/>
          <w:szCs w:val="24"/>
        </w:rPr>
        <w:t>-</w:t>
      </w:r>
      <w:r w:rsidR="00B613BF">
        <w:rPr>
          <w:rFonts w:ascii="Times New Roman" w:hAnsi="Times New Roman" w:cs="Times New Roman"/>
          <w:sz w:val="24"/>
          <w:szCs w:val="24"/>
        </w:rPr>
        <w:t xml:space="preserve"> moving the preliminary objection on prescription without leading evidence was futile</w:t>
      </w:r>
      <w:r w:rsidR="00814EB4">
        <w:rPr>
          <w:rFonts w:ascii="Times New Roman" w:hAnsi="Times New Roman" w:cs="Times New Roman"/>
          <w:sz w:val="24"/>
          <w:szCs w:val="24"/>
        </w:rPr>
        <w:t>-</w:t>
      </w:r>
      <w:r w:rsidR="00F450DA">
        <w:rPr>
          <w:rFonts w:ascii="Times New Roman" w:hAnsi="Times New Roman" w:cs="Times New Roman"/>
          <w:sz w:val="24"/>
          <w:szCs w:val="24"/>
        </w:rPr>
        <w:t xml:space="preserve"> carries merit. It is also a position </w:t>
      </w:r>
      <w:r w:rsidR="00F10D93">
        <w:rPr>
          <w:rFonts w:ascii="Times New Roman" w:hAnsi="Times New Roman" w:cs="Times New Roman"/>
          <w:sz w:val="24"/>
          <w:szCs w:val="24"/>
        </w:rPr>
        <w:t>support</w:t>
      </w:r>
      <w:r w:rsidR="00F450DA">
        <w:rPr>
          <w:rFonts w:ascii="Times New Roman" w:hAnsi="Times New Roman" w:cs="Times New Roman"/>
          <w:sz w:val="24"/>
          <w:szCs w:val="24"/>
        </w:rPr>
        <w:t xml:space="preserve">ed </w:t>
      </w:r>
      <w:r w:rsidR="00814EB4">
        <w:rPr>
          <w:rFonts w:ascii="Times New Roman" w:hAnsi="Times New Roman" w:cs="Times New Roman"/>
          <w:sz w:val="24"/>
          <w:szCs w:val="24"/>
        </w:rPr>
        <w:t>b</w:t>
      </w:r>
      <w:r w:rsidR="00F450DA">
        <w:rPr>
          <w:rFonts w:ascii="Times New Roman" w:hAnsi="Times New Roman" w:cs="Times New Roman"/>
          <w:sz w:val="24"/>
          <w:szCs w:val="24"/>
        </w:rPr>
        <w:t xml:space="preserve">y </w:t>
      </w:r>
      <w:r w:rsidR="00F10D93">
        <w:rPr>
          <w:rFonts w:ascii="Times New Roman" w:hAnsi="Times New Roman" w:cs="Times New Roman"/>
          <w:sz w:val="24"/>
          <w:szCs w:val="24"/>
        </w:rPr>
        <w:t xml:space="preserve">the approach laid down in </w:t>
      </w:r>
      <w:r w:rsidR="00F10D93" w:rsidRPr="00D86754">
        <w:rPr>
          <w:rFonts w:ascii="Times New Roman" w:hAnsi="Times New Roman" w:cs="Times New Roman"/>
          <w:i/>
          <w:iCs/>
          <w:sz w:val="24"/>
          <w:szCs w:val="24"/>
        </w:rPr>
        <w:t>Nan Brooker v Mudhanda</w:t>
      </w:r>
      <w:r w:rsidR="00F10D93">
        <w:rPr>
          <w:rFonts w:ascii="Times New Roman" w:hAnsi="Times New Roman" w:cs="Times New Roman"/>
          <w:sz w:val="24"/>
          <w:szCs w:val="24"/>
        </w:rPr>
        <w:t xml:space="preserve"> 2018 (1) ZLR 33 (S).</w:t>
      </w:r>
    </w:p>
    <w:p w14:paraId="580B3B40" w14:textId="245E1979" w:rsidR="00CE71B7" w:rsidRDefault="00CE71B7"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4141">
        <w:rPr>
          <w:rFonts w:ascii="Times New Roman" w:hAnsi="Times New Roman" w:cs="Times New Roman"/>
          <w:sz w:val="24"/>
          <w:szCs w:val="24"/>
        </w:rPr>
        <w:t>4</w:t>
      </w:r>
      <w:r w:rsidR="00B9411B">
        <w:rPr>
          <w:rFonts w:ascii="Times New Roman" w:hAnsi="Times New Roman" w:cs="Times New Roman"/>
          <w:sz w:val="24"/>
          <w:szCs w:val="24"/>
        </w:rPr>
        <w:t>6</w:t>
      </w:r>
      <w:r>
        <w:rPr>
          <w:rFonts w:ascii="Times New Roman" w:hAnsi="Times New Roman" w:cs="Times New Roman"/>
          <w:sz w:val="24"/>
          <w:szCs w:val="24"/>
        </w:rPr>
        <w:t xml:space="preserve">] In any </w:t>
      </w:r>
      <w:r w:rsidR="00F10D93">
        <w:rPr>
          <w:rFonts w:ascii="Times New Roman" w:hAnsi="Times New Roman" w:cs="Times New Roman"/>
          <w:sz w:val="24"/>
          <w:szCs w:val="24"/>
        </w:rPr>
        <w:t xml:space="preserve">event, </w:t>
      </w:r>
      <w:r w:rsidR="00F51449">
        <w:rPr>
          <w:rFonts w:ascii="Times New Roman" w:hAnsi="Times New Roman" w:cs="Times New Roman"/>
          <w:sz w:val="24"/>
          <w:szCs w:val="24"/>
        </w:rPr>
        <w:t>Magic Software</w:t>
      </w:r>
      <w:r w:rsidR="0090049C">
        <w:rPr>
          <w:rFonts w:ascii="Times New Roman" w:hAnsi="Times New Roman" w:cs="Times New Roman"/>
          <w:sz w:val="24"/>
          <w:szCs w:val="24"/>
        </w:rPr>
        <w:t xml:space="preserve">`s claim carries a second head </w:t>
      </w:r>
      <w:r w:rsidR="00F51449">
        <w:rPr>
          <w:rFonts w:ascii="Times New Roman" w:hAnsi="Times New Roman" w:cs="Times New Roman"/>
          <w:sz w:val="24"/>
          <w:szCs w:val="24"/>
        </w:rPr>
        <w:t xml:space="preserve">under </w:t>
      </w:r>
      <w:r w:rsidR="00F450DA">
        <w:rPr>
          <w:rFonts w:ascii="Times New Roman" w:hAnsi="Times New Roman" w:cs="Times New Roman"/>
          <w:sz w:val="24"/>
          <w:szCs w:val="24"/>
        </w:rPr>
        <w:t xml:space="preserve">the rights issuing from </w:t>
      </w:r>
      <w:r w:rsidR="00F51449">
        <w:rPr>
          <w:rFonts w:ascii="Times New Roman" w:hAnsi="Times New Roman" w:cs="Times New Roman"/>
          <w:sz w:val="24"/>
          <w:szCs w:val="24"/>
        </w:rPr>
        <w:t>section 44C (2) (b). T</w:t>
      </w:r>
      <w:r w:rsidR="00F10D93">
        <w:rPr>
          <w:rFonts w:ascii="Times New Roman" w:hAnsi="Times New Roman" w:cs="Times New Roman"/>
          <w:sz w:val="24"/>
          <w:szCs w:val="24"/>
        </w:rPr>
        <w:t>he objection on prescription</w:t>
      </w:r>
      <w:r w:rsidR="0090049C">
        <w:rPr>
          <w:rFonts w:ascii="Times New Roman" w:hAnsi="Times New Roman" w:cs="Times New Roman"/>
          <w:sz w:val="24"/>
          <w:szCs w:val="24"/>
        </w:rPr>
        <w:t xml:space="preserve"> did not a</w:t>
      </w:r>
      <w:r w:rsidR="00F450DA">
        <w:rPr>
          <w:rFonts w:ascii="Times New Roman" w:hAnsi="Times New Roman" w:cs="Times New Roman"/>
          <w:sz w:val="24"/>
          <w:szCs w:val="24"/>
        </w:rPr>
        <w:t xml:space="preserve">ttach </w:t>
      </w:r>
      <w:r w:rsidR="0090049C">
        <w:rPr>
          <w:rFonts w:ascii="Times New Roman" w:hAnsi="Times New Roman" w:cs="Times New Roman"/>
          <w:sz w:val="24"/>
          <w:szCs w:val="24"/>
        </w:rPr>
        <w:t xml:space="preserve">itself to this </w:t>
      </w:r>
      <w:r w:rsidR="00F51449">
        <w:rPr>
          <w:rFonts w:ascii="Times New Roman" w:hAnsi="Times New Roman" w:cs="Times New Roman"/>
          <w:sz w:val="24"/>
          <w:szCs w:val="24"/>
        </w:rPr>
        <w:t xml:space="preserve">second </w:t>
      </w:r>
      <w:r w:rsidR="0090049C">
        <w:rPr>
          <w:rFonts w:ascii="Times New Roman" w:hAnsi="Times New Roman" w:cs="Times New Roman"/>
          <w:sz w:val="24"/>
          <w:szCs w:val="24"/>
        </w:rPr>
        <w:t>claim. For these reasons, the plea of prescription cannot stand and will</w:t>
      </w:r>
      <w:r w:rsidR="00F10D93">
        <w:rPr>
          <w:rFonts w:ascii="Times New Roman" w:hAnsi="Times New Roman" w:cs="Times New Roman"/>
          <w:sz w:val="24"/>
          <w:szCs w:val="24"/>
        </w:rPr>
        <w:t xml:space="preserve"> be dismissed.</w:t>
      </w:r>
      <w:r w:rsidR="00A8694E">
        <w:rPr>
          <w:rFonts w:ascii="Times New Roman" w:hAnsi="Times New Roman" w:cs="Times New Roman"/>
          <w:sz w:val="24"/>
          <w:szCs w:val="24"/>
        </w:rPr>
        <w:t xml:space="preserve"> </w:t>
      </w:r>
      <w:r w:rsidR="005E61CA">
        <w:rPr>
          <w:rFonts w:ascii="Times New Roman" w:hAnsi="Times New Roman" w:cs="Times New Roman"/>
          <w:sz w:val="24"/>
          <w:szCs w:val="24"/>
        </w:rPr>
        <w:t>I</w:t>
      </w:r>
      <w:r w:rsidR="00D9019D">
        <w:rPr>
          <w:rFonts w:ascii="Times New Roman" w:hAnsi="Times New Roman" w:cs="Times New Roman"/>
          <w:sz w:val="24"/>
          <w:szCs w:val="24"/>
        </w:rPr>
        <w:t xml:space="preserve"> now turn to the arguments on the merits.</w:t>
      </w:r>
    </w:p>
    <w:p w14:paraId="28743575" w14:textId="6303014F" w:rsidR="00AB22AB" w:rsidRDefault="000F7F0C"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DISPUTE ON THE </w:t>
      </w:r>
      <w:r w:rsidR="00FE6EAC">
        <w:rPr>
          <w:rFonts w:ascii="Times New Roman" w:hAnsi="Times New Roman" w:cs="Times New Roman"/>
          <w:sz w:val="24"/>
          <w:szCs w:val="24"/>
        </w:rPr>
        <w:t>MERITS: REQUIREMEMTS</w:t>
      </w:r>
      <w:r w:rsidR="00C11859">
        <w:rPr>
          <w:rFonts w:ascii="Times New Roman" w:hAnsi="Times New Roman" w:cs="Times New Roman"/>
          <w:sz w:val="24"/>
          <w:szCs w:val="24"/>
        </w:rPr>
        <w:t xml:space="preserve"> OF </w:t>
      </w:r>
      <w:r w:rsidR="00FE6EAC">
        <w:rPr>
          <w:rFonts w:ascii="Times New Roman" w:hAnsi="Times New Roman" w:cs="Times New Roman"/>
          <w:sz w:val="24"/>
          <w:szCs w:val="24"/>
        </w:rPr>
        <w:t>A DECLARATORY CLAIM</w:t>
      </w:r>
    </w:p>
    <w:p w14:paraId="54B2BBFF" w14:textId="1030B23C" w:rsidR="004F58A8" w:rsidRDefault="00081544" w:rsidP="006578B1">
      <w:pPr>
        <w:spacing w:after="0"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w:t>
      </w:r>
      <w:r w:rsidR="005E4141">
        <w:rPr>
          <w:rFonts w:ascii="Times New Roman" w:hAnsi="Times New Roman" w:cs="Times New Roman"/>
          <w:sz w:val="24"/>
          <w:szCs w:val="24"/>
        </w:rPr>
        <w:t>4</w:t>
      </w:r>
      <w:r w:rsidR="00B9411B">
        <w:rPr>
          <w:rFonts w:ascii="Times New Roman" w:hAnsi="Times New Roman" w:cs="Times New Roman"/>
          <w:sz w:val="24"/>
          <w:szCs w:val="24"/>
        </w:rPr>
        <w:t>7</w:t>
      </w:r>
      <w:r>
        <w:rPr>
          <w:rFonts w:ascii="Times New Roman" w:hAnsi="Times New Roman" w:cs="Times New Roman"/>
          <w:sz w:val="24"/>
          <w:szCs w:val="24"/>
        </w:rPr>
        <w:t xml:space="preserve">] </w:t>
      </w:r>
      <w:r w:rsidR="008D0471">
        <w:rPr>
          <w:rFonts w:ascii="Times New Roman" w:hAnsi="Times New Roman" w:cs="Times New Roman"/>
          <w:sz w:val="24"/>
          <w:szCs w:val="24"/>
        </w:rPr>
        <w:t xml:space="preserve">The </w:t>
      </w:r>
      <w:r w:rsidR="00554069">
        <w:rPr>
          <w:rFonts w:ascii="Times New Roman" w:hAnsi="Times New Roman" w:cs="Times New Roman"/>
          <w:sz w:val="24"/>
          <w:szCs w:val="24"/>
        </w:rPr>
        <w:t>essentials of declaratory relief</w:t>
      </w:r>
      <w:r w:rsidR="00554069">
        <w:rPr>
          <w:rStyle w:val="FootnoteReference"/>
          <w:rFonts w:ascii="Times New Roman" w:hAnsi="Times New Roman" w:cs="Times New Roman"/>
          <w:sz w:val="24"/>
          <w:szCs w:val="24"/>
        </w:rPr>
        <w:footnoteReference w:id="9"/>
      </w:r>
      <w:r w:rsidR="008D0471">
        <w:rPr>
          <w:rFonts w:ascii="Times New Roman" w:hAnsi="Times New Roman" w:cs="Times New Roman"/>
          <w:sz w:val="24"/>
          <w:szCs w:val="24"/>
        </w:rPr>
        <w:t xml:space="preserve"> </w:t>
      </w:r>
      <w:r w:rsidR="0090049C">
        <w:rPr>
          <w:rFonts w:ascii="Times New Roman" w:hAnsi="Times New Roman" w:cs="Times New Roman"/>
          <w:sz w:val="24"/>
          <w:szCs w:val="24"/>
        </w:rPr>
        <w:t xml:space="preserve">are set out shortly in </w:t>
      </w:r>
      <w:r w:rsidR="0011289F">
        <w:rPr>
          <w:rFonts w:ascii="Times New Roman" w:hAnsi="Times New Roman" w:cs="Times New Roman"/>
          <w:sz w:val="24"/>
          <w:szCs w:val="24"/>
        </w:rPr>
        <w:t xml:space="preserve">section 14 of the High Court </w:t>
      </w:r>
      <w:r w:rsidR="00892DF7">
        <w:rPr>
          <w:rFonts w:ascii="Times New Roman" w:hAnsi="Times New Roman" w:cs="Times New Roman"/>
          <w:sz w:val="24"/>
          <w:szCs w:val="24"/>
        </w:rPr>
        <w:t>Act. The</w:t>
      </w:r>
      <w:r w:rsidR="00F450DA">
        <w:rPr>
          <w:rFonts w:ascii="Times New Roman" w:hAnsi="Times New Roman" w:cs="Times New Roman"/>
          <w:sz w:val="24"/>
          <w:szCs w:val="24"/>
        </w:rPr>
        <w:t xml:space="preserve">se requirements </w:t>
      </w:r>
      <w:r w:rsidR="0090049C">
        <w:rPr>
          <w:rFonts w:ascii="Times New Roman" w:hAnsi="Times New Roman" w:cs="Times New Roman"/>
          <w:sz w:val="24"/>
          <w:szCs w:val="24"/>
        </w:rPr>
        <w:t xml:space="preserve">were further </w:t>
      </w:r>
      <w:r w:rsidR="0011289F">
        <w:rPr>
          <w:rFonts w:ascii="Times New Roman" w:hAnsi="Times New Roman" w:cs="Times New Roman"/>
          <w:sz w:val="24"/>
          <w:szCs w:val="24"/>
        </w:rPr>
        <w:t xml:space="preserve">elaborated in </w:t>
      </w:r>
      <w:r w:rsidR="0011289F" w:rsidRPr="008B04A7">
        <w:rPr>
          <w:rFonts w:ascii="Times New Roman" w:eastAsia="Calibri" w:hAnsi="Times New Roman" w:cs="Times New Roman"/>
          <w:i/>
          <w:iCs/>
          <w:kern w:val="0"/>
          <w:sz w:val="24"/>
          <w:szCs w:val="24"/>
          <w14:ligatures w14:val="none"/>
        </w:rPr>
        <w:t>Johns</w:t>
      </w:r>
      <w:r w:rsidR="00D47890">
        <w:rPr>
          <w:rFonts w:ascii="Times New Roman" w:eastAsia="Calibri" w:hAnsi="Times New Roman" w:cs="Times New Roman"/>
          <w:i/>
          <w:iCs/>
          <w:kern w:val="0"/>
          <w:sz w:val="24"/>
          <w:szCs w:val="24"/>
          <w14:ligatures w14:val="none"/>
        </w:rPr>
        <w:t>e</w:t>
      </w:r>
      <w:r w:rsidR="0011289F" w:rsidRPr="008B04A7">
        <w:rPr>
          <w:rFonts w:ascii="Times New Roman" w:eastAsia="Calibri" w:hAnsi="Times New Roman" w:cs="Times New Roman"/>
          <w:i/>
          <w:iCs/>
          <w:kern w:val="0"/>
          <w:sz w:val="24"/>
          <w:szCs w:val="24"/>
          <w14:ligatures w14:val="none"/>
        </w:rPr>
        <w:t>n v AFC</w:t>
      </w:r>
      <w:r w:rsidR="0011289F" w:rsidRPr="0011289F">
        <w:rPr>
          <w:rFonts w:ascii="Times New Roman" w:eastAsia="Calibri" w:hAnsi="Times New Roman" w:cs="Times New Roman"/>
          <w:kern w:val="0"/>
          <w:sz w:val="24"/>
          <w:szCs w:val="24"/>
          <w14:ligatures w14:val="none"/>
        </w:rPr>
        <w:t xml:space="preserve"> 1995 (1) ZLR 65 (S) </w:t>
      </w:r>
      <w:r w:rsidR="006578B1">
        <w:rPr>
          <w:rFonts w:ascii="Times New Roman" w:eastAsia="Calibri" w:hAnsi="Times New Roman" w:cs="Times New Roman"/>
          <w:kern w:val="0"/>
          <w:sz w:val="24"/>
          <w:szCs w:val="24"/>
          <w14:ligatures w14:val="none"/>
        </w:rPr>
        <w:t>at page 72 as follows; -</w:t>
      </w:r>
    </w:p>
    <w:p w14:paraId="247D0324" w14:textId="77777777" w:rsidR="006578B1" w:rsidRDefault="006578B1" w:rsidP="006578B1">
      <w:pPr>
        <w:spacing w:after="0" w:line="360" w:lineRule="auto"/>
        <w:jc w:val="both"/>
        <w:rPr>
          <w:rFonts w:ascii="Times New Roman" w:eastAsia="Calibri" w:hAnsi="Times New Roman" w:cs="Times New Roman"/>
          <w:kern w:val="0"/>
          <w:sz w:val="24"/>
          <w:szCs w:val="24"/>
          <w14:ligatures w14:val="none"/>
        </w:rPr>
      </w:pPr>
    </w:p>
    <w:p w14:paraId="6CE043B7" w14:textId="77777777" w:rsidR="006578B1" w:rsidRDefault="006578B1" w:rsidP="006578B1">
      <w:pPr>
        <w:spacing w:after="0" w:line="360" w:lineRule="auto"/>
        <w:ind w:left="1134"/>
        <w:jc w:val="both"/>
        <w:rPr>
          <w:rFonts w:ascii="Times New Roman" w:hAnsi="Times New Roman" w:cs="Times New Roman"/>
          <w:sz w:val="24"/>
          <w:szCs w:val="24"/>
        </w:rPr>
      </w:pPr>
      <w:r w:rsidRPr="006578B1">
        <w:rPr>
          <w:rFonts w:ascii="Times New Roman" w:hAnsi="Times New Roman" w:cs="Times New Roman"/>
          <w:sz w:val="24"/>
          <w:szCs w:val="24"/>
        </w:rPr>
        <w:t xml:space="preserve">“The </w:t>
      </w:r>
      <w:r w:rsidRPr="006578B1">
        <w:rPr>
          <w:rFonts w:ascii="Times New Roman" w:hAnsi="Times New Roman" w:cs="Times New Roman"/>
          <w:sz w:val="24"/>
          <w:szCs w:val="24"/>
          <w:u w:val="single"/>
        </w:rPr>
        <w:t>condition precedent to the grant of a declaratory order under s 14 of the High Court of Zimbabwe Act 1981 is that the applicant must be an ―interested person,</w:t>
      </w:r>
      <w:r w:rsidRPr="006578B1">
        <w:rPr>
          <w:rFonts w:ascii="Times New Roman" w:hAnsi="Times New Roman" w:cs="Times New Roman"/>
          <w:sz w:val="24"/>
          <w:szCs w:val="24"/>
        </w:rPr>
        <w:t xml:space="preserve"> in the sense of </w:t>
      </w:r>
      <w:r w:rsidRPr="006578B1">
        <w:rPr>
          <w:rFonts w:ascii="Times New Roman" w:hAnsi="Times New Roman" w:cs="Times New Roman"/>
          <w:sz w:val="24"/>
          <w:szCs w:val="24"/>
          <w:u w:val="single"/>
        </w:rPr>
        <w:t xml:space="preserve">having a direct and substantial interest in the subject matter of the </w:t>
      </w:r>
      <w:r w:rsidRPr="006578B1">
        <w:rPr>
          <w:rFonts w:ascii="Times New Roman" w:hAnsi="Times New Roman" w:cs="Times New Roman"/>
          <w:sz w:val="24"/>
          <w:szCs w:val="24"/>
          <w:u w:val="single"/>
        </w:rPr>
        <w:lastRenderedPageBreak/>
        <w:t>suit</w:t>
      </w:r>
      <w:r w:rsidRPr="006578B1">
        <w:rPr>
          <w:rFonts w:ascii="Times New Roman" w:hAnsi="Times New Roman" w:cs="Times New Roman"/>
          <w:sz w:val="24"/>
          <w:szCs w:val="24"/>
        </w:rPr>
        <w:t xml:space="preserve"> which could be prejudicially affected by the judgment of the court. </w:t>
      </w:r>
      <w:r w:rsidRPr="006578B1">
        <w:rPr>
          <w:rFonts w:ascii="Times New Roman" w:hAnsi="Times New Roman" w:cs="Times New Roman"/>
          <w:sz w:val="24"/>
          <w:szCs w:val="24"/>
          <w:u w:val="single"/>
        </w:rPr>
        <w:t>The interest must concern an existing, future or contingent right.</w:t>
      </w:r>
      <w:r w:rsidRPr="006578B1">
        <w:rPr>
          <w:rFonts w:ascii="Times New Roman" w:hAnsi="Times New Roman" w:cs="Times New Roman"/>
          <w:sz w:val="24"/>
          <w:szCs w:val="24"/>
        </w:rPr>
        <w:t xml:space="preserve"> The court will not decide abstract, academic or hypothetical questions unrelated thereto. But the presence of an actual dispute or controversy between the parties interested is not a prerequisite to the exercise of jurisdiction. See </w:t>
      </w:r>
      <w:r w:rsidRPr="006578B1">
        <w:rPr>
          <w:rFonts w:ascii="Times New Roman" w:hAnsi="Times New Roman" w:cs="Times New Roman"/>
          <w:i/>
          <w:iCs/>
          <w:sz w:val="24"/>
          <w:szCs w:val="24"/>
        </w:rPr>
        <w:t>Ex parte Chief Immigration Officer</w:t>
      </w:r>
      <w:r w:rsidRPr="006578B1">
        <w:rPr>
          <w:rFonts w:ascii="Times New Roman" w:hAnsi="Times New Roman" w:cs="Times New Roman"/>
          <w:sz w:val="24"/>
          <w:szCs w:val="24"/>
        </w:rPr>
        <w:t xml:space="preserve"> 1993 (1) ZLR 122 (S) at 129F-G; 1994 (1) SA 370 (ZS) at 376G-H; </w:t>
      </w:r>
      <w:r w:rsidRPr="006578B1">
        <w:rPr>
          <w:rFonts w:ascii="Times New Roman" w:hAnsi="Times New Roman" w:cs="Times New Roman"/>
          <w:i/>
          <w:iCs/>
          <w:sz w:val="24"/>
          <w:szCs w:val="24"/>
        </w:rPr>
        <w:t>Munn Publishing (Pvt) Ltd v ZBC</w:t>
      </w:r>
      <w:r w:rsidRPr="006578B1">
        <w:rPr>
          <w:rFonts w:ascii="Times New Roman" w:hAnsi="Times New Roman" w:cs="Times New Roman"/>
          <w:sz w:val="24"/>
          <w:szCs w:val="24"/>
        </w:rPr>
        <w:t xml:space="preserve"> 1994 (1) ZLR 337 (S) and the cases cited. It was rightly not in contention before the court a quo that the appellant was an interested person. Accordingly, the first stage in the determination of whether it was competent to grant a declarator was met. </w:t>
      </w:r>
    </w:p>
    <w:p w14:paraId="03670287" w14:textId="77777777" w:rsidR="006578B1" w:rsidRDefault="006578B1" w:rsidP="006578B1">
      <w:pPr>
        <w:spacing w:after="0" w:line="360" w:lineRule="auto"/>
        <w:ind w:left="1134"/>
        <w:jc w:val="both"/>
        <w:rPr>
          <w:rFonts w:ascii="Times New Roman" w:hAnsi="Times New Roman" w:cs="Times New Roman"/>
          <w:sz w:val="24"/>
          <w:szCs w:val="24"/>
        </w:rPr>
      </w:pPr>
    </w:p>
    <w:p w14:paraId="540CADEC" w14:textId="24ADEC20" w:rsidR="006578B1" w:rsidRDefault="006578B1" w:rsidP="006578B1">
      <w:pPr>
        <w:spacing w:after="0" w:line="360" w:lineRule="auto"/>
        <w:ind w:left="1134"/>
        <w:jc w:val="both"/>
        <w:rPr>
          <w:rFonts w:ascii="Times New Roman" w:hAnsi="Times New Roman" w:cs="Times New Roman"/>
          <w:sz w:val="24"/>
          <w:szCs w:val="24"/>
        </w:rPr>
      </w:pPr>
      <w:r w:rsidRPr="006578B1">
        <w:rPr>
          <w:rFonts w:ascii="Times New Roman" w:hAnsi="Times New Roman" w:cs="Times New Roman"/>
          <w:sz w:val="24"/>
          <w:szCs w:val="24"/>
          <w:u w:val="single"/>
        </w:rPr>
        <w:t>At the second stage of the enquiry, the court is obliged to decide whether the case before it is a proper one for the exercise of its discretion</w:t>
      </w:r>
      <w:r w:rsidRPr="006578B1">
        <w:rPr>
          <w:rFonts w:ascii="Times New Roman" w:hAnsi="Times New Roman" w:cs="Times New Roman"/>
          <w:sz w:val="24"/>
          <w:szCs w:val="24"/>
        </w:rPr>
        <w:t xml:space="preserve"> under s 14 of the Act. </w:t>
      </w:r>
      <w:r w:rsidRPr="006578B1">
        <w:rPr>
          <w:rFonts w:ascii="Times New Roman" w:hAnsi="Times New Roman" w:cs="Times New Roman"/>
          <w:i/>
          <w:iCs/>
          <w:sz w:val="24"/>
          <w:szCs w:val="24"/>
          <w:u w:val="single"/>
        </w:rPr>
        <w:t>It must take account of all the circumstances of the matte</w:t>
      </w:r>
      <w:r w:rsidRPr="006578B1">
        <w:rPr>
          <w:rFonts w:ascii="Times New Roman" w:hAnsi="Times New Roman" w:cs="Times New Roman"/>
          <w:sz w:val="24"/>
          <w:szCs w:val="24"/>
        </w:rPr>
        <w:t xml:space="preserve">r. See Reinecke v Inc Gen Insurances Ltd 1974 (2) SA 84 (A) at 95C; Dyson v A-G Page 73 of 1995 (1) ZLR 65 (H) [1911] 1 KB 410 (CA) at 417; Burghes v A-G [1911] 2 Ch 139 at 156. </w:t>
      </w:r>
      <w:r w:rsidRPr="006578B1">
        <w:rPr>
          <w:rFonts w:ascii="Times New Roman" w:hAnsi="Times New Roman" w:cs="Times New Roman"/>
          <w:sz w:val="24"/>
          <w:szCs w:val="24"/>
          <w:u w:val="single"/>
        </w:rPr>
        <w:t>What, in the end, constitutes a proper case is where some tangible and justifiable advantage to the applicant is shown to exist.</w:t>
      </w:r>
      <w:r w:rsidRPr="006578B1">
        <w:rPr>
          <w:rFonts w:ascii="Times New Roman" w:hAnsi="Times New Roman" w:cs="Times New Roman"/>
          <w:sz w:val="24"/>
          <w:szCs w:val="24"/>
        </w:rPr>
        <w:t xml:space="preserve"> See Adbro Invtm Co Ltd v Min of Interior &amp; Ors 1961 (3) SA 283 (T) at 285B-C; Reinecke v Inc Gen Insurances Ltd supra at 93D-E.”</w:t>
      </w:r>
      <w:r>
        <w:rPr>
          <w:rFonts w:ascii="Times New Roman" w:hAnsi="Times New Roman" w:cs="Times New Roman"/>
          <w:sz w:val="24"/>
          <w:szCs w:val="24"/>
        </w:rPr>
        <w:t xml:space="preserve"> [ Underlined and italicised for emphasis] </w:t>
      </w:r>
    </w:p>
    <w:p w14:paraId="6A2FD4BF" w14:textId="77777777" w:rsidR="00BC35F4" w:rsidRPr="006578B1" w:rsidRDefault="00BC35F4" w:rsidP="006578B1">
      <w:pPr>
        <w:spacing w:after="0" w:line="360" w:lineRule="auto"/>
        <w:ind w:left="1134"/>
        <w:jc w:val="both"/>
        <w:rPr>
          <w:rFonts w:ascii="Times New Roman" w:hAnsi="Times New Roman" w:cs="Times New Roman"/>
          <w:sz w:val="24"/>
          <w:szCs w:val="24"/>
        </w:rPr>
      </w:pPr>
    </w:p>
    <w:p w14:paraId="4D89DF35" w14:textId="5FD9E731" w:rsidR="00AA0A2B" w:rsidRDefault="00BC35F4"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B9411B">
        <w:rPr>
          <w:rFonts w:ascii="Times New Roman" w:hAnsi="Times New Roman" w:cs="Times New Roman"/>
          <w:sz w:val="24"/>
          <w:szCs w:val="24"/>
        </w:rPr>
        <w:t>8</w:t>
      </w:r>
      <w:r>
        <w:rPr>
          <w:rFonts w:ascii="Times New Roman" w:hAnsi="Times New Roman" w:cs="Times New Roman"/>
          <w:sz w:val="24"/>
          <w:szCs w:val="24"/>
        </w:rPr>
        <w:t xml:space="preserve">] These </w:t>
      </w:r>
      <w:r w:rsidR="00F450DA">
        <w:rPr>
          <w:rFonts w:ascii="Times New Roman" w:hAnsi="Times New Roman" w:cs="Times New Roman"/>
          <w:sz w:val="24"/>
          <w:szCs w:val="24"/>
        </w:rPr>
        <w:t xml:space="preserve">pre-requisites </w:t>
      </w:r>
      <w:r w:rsidR="008B04A7">
        <w:rPr>
          <w:rFonts w:ascii="Times New Roman" w:hAnsi="Times New Roman" w:cs="Times New Roman"/>
          <w:sz w:val="24"/>
          <w:szCs w:val="24"/>
        </w:rPr>
        <w:t xml:space="preserve">form </w:t>
      </w:r>
      <w:r w:rsidR="00AA0A2B">
        <w:rPr>
          <w:rFonts w:ascii="Times New Roman" w:hAnsi="Times New Roman" w:cs="Times New Roman"/>
          <w:sz w:val="24"/>
          <w:szCs w:val="24"/>
        </w:rPr>
        <w:t xml:space="preserve">a </w:t>
      </w:r>
      <w:r w:rsidR="008B04A7">
        <w:rPr>
          <w:rFonts w:ascii="Times New Roman" w:hAnsi="Times New Roman" w:cs="Times New Roman"/>
          <w:sz w:val="24"/>
          <w:szCs w:val="24"/>
        </w:rPr>
        <w:t>well</w:t>
      </w:r>
      <w:r>
        <w:rPr>
          <w:rFonts w:ascii="Times New Roman" w:hAnsi="Times New Roman" w:cs="Times New Roman"/>
          <w:sz w:val="24"/>
          <w:szCs w:val="24"/>
        </w:rPr>
        <w:t xml:space="preserve">-defined </w:t>
      </w:r>
      <w:r w:rsidR="008B04A7">
        <w:rPr>
          <w:rFonts w:ascii="Times New Roman" w:hAnsi="Times New Roman" w:cs="Times New Roman"/>
          <w:sz w:val="24"/>
          <w:szCs w:val="24"/>
        </w:rPr>
        <w:t xml:space="preserve">standard </w:t>
      </w:r>
      <w:r>
        <w:rPr>
          <w:rFonts w:ascii="Times New Roman" w:hAnsi="Times New Roman" w:cs="Times New Roman"/>
          <w:sz w:val="24"/>
          <w:szCs w:val="24"/>
        </w:rPr>
        <w:t xml:space="preserve">in our jurisdiction. A </w:t>
      </w:r>
      <w:r w:rsidR="008B04A7">
        <w:rPr>
          <w:rFonts w:ascii="Times New Roman" w:hAnsi="Times New Roman" w:cs="Times New Roman"/>
          <w:sz w:val="24"/>
          <w:szCs w:val="24"/>
        </w:rPr>
        <w:t xml:space="preserve">party seeking declaratory relief </w:t>
      </w:r>
      <w:r w:rsidRPr="007D6AD0">
        <w:rPr>
          <w:rFonts w:ascii="Times New Roman" w:hAnsi="Times New Roman" w:cs="Times New Roman"/>
          <w:sz w:val="24"/>
          <w:szCs w:val="24"/>
        </w:rPr>
        <w:t xml:space="preserve">must </w:t>
      </w:r>
      <w:r w:rsidR="008B04A7" w:rsidRPr="007D6AD0">
        <w:rPr>
          <w:rFonts w:ascii="Times New Roman" w:hAnsi="Times New Roman" w:cs="Times New Roman"/>
          <w:sz w:val="24"/>
          <w:szCs w:val="24"/>
        </w:rPr>
        <w:t xml:space="preserve">firstly </w:t>
      </w:r>
      <w:r w:rsidRPr="007D6AD0">
        <w:rPr>
          <w:rFonts w:ascii="Times New Roman" w:hAnsi="Times New Roman" w:cs="Times New Roman"/>
          <w:sz w:val="24"/>
          <w:szCs w:val="24"/>
        </w:rPr>
        <w:t xml:space="preserve">clarify and establish the foundation or source of the rights </w:t>
      </w:r>
      <w:r w:rsidR="0090049C">
        <w:rPr>
          <w:rFonts w:ascii="Times New Roman" w:hAnsi="Times New Roman" w:cs="Times New Roman"/>
          <w:sz w:val="24"/>
          <w:szCs w:val="24"/>
        </w:rPr>
        <w:t xml:space="preserve">or interest </w:t>
      </w:r>
      <w:r w:rsidRPr="007D6AD0">
        <w:rPr>
          <w:rFonts w:ascii="Times New Roman" w:hAnsi="Times New Roman" w:cs="Times New Roman"/>
          <w:sz w:val="24"/>
          <w:szCs w:val="24"/>
        </w:rPr>
        <w:t xml:space="preserve">that it seeks to </w:t>
      </w:r>
      <w:r w:rsidR="008B04A7" w:rsidRPr="007D6AD0">
        <w:rPr>
          <w:rFonts w:ascii="Times New Roman" w:hAnsi="Times New Roman" w:cs="Times New Roman"/>
          <w:sz w:val="24"/>
          <w:szCs w:val="24"/>
        </w:rPr>
        <w:t>assert. It must then secondly satisfy</w:t>
      </w:r>
      <w:r w:rsidR="008B04A7">
        <w:rPr>
          <w:rFonts w:ascii="Times New Roman" w:hAnsi="Times New Roman" w:cs="Times New Roman"/>
          <w:sz w:val="24"/>
          <w:szCs w:val="24"/>
        </w:rPr>
        <w:t xml:space="preserve"> and </w:t>
      </w:r>
      <w:r w:rsidR="00B62B3D">
        <w:rPr>
          <w:rFonts w:ascii="Times New Roman" w:hAnsi="Times New Roman" w:cs="Times New Roman"/>
          <w:sz w:val="24"/>
          <w:szCs w:val="24"/>
        </w:rPr>
        <w:t>persuade</w:t>
      </w:r>
      <w:r w:rsidR="008B04A7">
        <w:rPr>
          <w:rFonts w:ascii="Times New Roman" w:hAnsi="Times New Roman" w:cs="Times New Roman"/>
          <w:sz w:val="24"/>
          <w:szCs w:val="24"/>
        </w:rPr>
        <w:t xml:space="preserve"> the court to exercise its discretion favourably</w:t>
      </w:r>
      <w:r w:rsidR="00814EB4">
        <w:rPr>
          <w:rFonts w:ascii="Times New Roman" w:hAnsi="Times New Roman" w:cs="Times New Roman"/>
          <w:sz w:val="24"/>
          <w:szCs w:val="24"/>
        </w:rPr>
        <w:t>,</w:t>
      </w:r>
      <w:r w:rsidR="00F51449">
        <w:rPr>
          <w:rFonts w:ascii="Times New Roman" w:hAnsi="Times New Roman" w:cs="Times New Roman"/>
          <w:sz w:val="24"/>
          <w:szCs w:val="24"/>
        </w:rPr>
        <w:t xml:space="preserve"> based on the foundation </w:t>
      </w:r>
      <w:r w:rsidR="0090049C">
        <w:rPr>
          <w:rFonts w:ascii="Times New Roman" w:hAnsi="Times New Roman" w:cs="Times New Roman"/>
          <w:sz w:val="24"/>
          <w:szCs w:val="24"/>
        </w:rPr>
        <w:t xml:space="preserve">of the substantial interest </w:t>
      </w:r>
      <w:r w:rsidR="00F51449">
        <w:rPr>
          <w:rFonts w:ascii="Times New Roman" w:hAnsi="Times New Roman" w:cs="Times New Roman"/>
          <w:sz w:val="24"/>
          <w:szCs w:val="24"/>
        </w:rPr>
        <w:t>laid.</w:t>
      </w:r>
      <w:r w:rsidR="00B62B3D">
        <w:rPr>
          <w:rFonts w:ascii="Times New Roman" w:hAnsi="Times New Roman" w:cs="Times New Roman"/>
          <w:sz w:val="24"/>
          <w:szCs w:val="24"/>
        </w:rPr>
        <w:t xml:space="preserve"> </w:t>
      </w:r>
    </w:p>
    <w:p w14:paraId="284C834C" w14:textId="77DDF22C" w:rsidR="00B62B3D" w:rsidRDefault="00AA0A2B"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B9411B">
        <w:rPr>
          <w:rFonts w:ascii="Times New Roman" w:hAnsi="Times New Roman" w:cs="Times New Roman"/>
          <w:sz w:val="24"/>
          <w:szCs w:val="24"/>
        </w:rPr>
        <w:t>9</w:t>
      </w:r>
      <w:r>
        <w:rPr>
          <w:rFonts w:ascii="Times New Roman" w:hAnsi="Times New Roman" w:cs="Times New Roman"/>
          <w:sz w:val="24"/>
          <w:szCs w:val="24"/>
        </w:rPr>
        <w:t xml:space="preserve">] </w:t>
      </w:r>
      <w:r w:rsidR="00B62B3D">
        <w:rPr>
          <w:rFonts w:ascii="Times New Roman" w:hAnsi="Times New Roman" w:cs="Times New Roman"/>
          <w:sz w:val="24"/>
          <w:szCs w:val="24"/>
        </w:rPr>
        <w:t xml:space="preserve">In exercising </w:t>
      </w:r>
      <w:r>
        <w:rPr>
          <w:rFonts w:ascii="Times New Roman" w:hAnsi="Times New Roman" w:cs="Times New Roman"/>
          <w:sz w:val="24"/>
          <w:szCs w:val="24"/>
        </w:rPr>
        <w:t xml:space="preserve">its </w:t>
      </w:r>
      <w:r w:rsidR="00B62B3D">
        <w:rPr>
          <w:rFonts w:ascii="Times New Roman" w:hAnsi="Times New Roman" w:cs="Times New Roman"/>
          <w:sz w:val="24"/>
          <w:szCs w:val="24"/>
        </w:rPr>
        <w:t>discretion, the court is granted latitude to traverse the circumstances of the case</w:t>
      </w:r>
      <w:r w:rsidR="00785F21">
        <w:rPr>
          <w:rFonts w:ascii="Times New Roman" w:hAnsi="Times New Roman" w:cs="Times New Roman"/>
          <w:sz w:val="24"/>
          <w:szCs w:val="24"/>
        </w:rPr>
        <w:t>,</w:t>
      </w:r>
      <w:r w:rsidR="003A663A">
        <w:rPr>
          <w:rFonts w:ascii="Times New Roman" w:hAnsi="Times New Roman" w:cs="Times New Roman"/>
          <w:sz w:val="24"/>
          <w:szCs w:val="24"/>
        </w:rPr>
        <w:t xml:space="preserve"> including public policy (see </w:t>
      </w:r>
      <w:r w:rsidR="003A663A" w:rsidRPr="003A663A">
        <w:rPr>
          <w:rFonts w:ascii="Times New Roman" w:hAnsi="Times New Roman" w:cs="Times New Roman"/>
          <w:i/>
          <w:iCs/>
          <w:sz w:val="24"/>
          <w:szCs w:val="24"/>
        </w:rPr>
        <w:t>Family Benefit Friendly Society v Commissioner for Inland Revenue &amp; Anor</w:t>
      </w:r>
      <w:r w:rsidR="003A663A">
        <w:rPr>
          <w:rFonts w:ascii="Times New Roman" w:hAnsi="Times New Roman" w:cs="Times New Roman"/>
          <w:sz w:val="24"/>
          <w:szCs w:val="24"/>
        </w:rPr>
        <w:t xml:space="preserve"> 1995 (4) SA 120.</w:t>
      </w:r>
      <w:r>
        <w:rPr>
          <w:rFonts w:ascii="Times New Roman" w:hAnsi="Times New Roman" w:cs="Times New Roman"/>
          <w:sz w:val="24"/>
          <w:szCs w:val="24"/>
        </w:rPr>
        <w:t xml:space="preserve">But this </w:t>
      </w:r>
      <w:r w:rsidR="00785F21">
        <w:rPr>
          <w:rFonts w:ascii="Times New Roman" w:hAnsi="Times New Roman" w:cs="Times New Roman"/>
          <w:sz w:val="24"/>
          <w:szCs w:val="24"/>
        </w:rPr>
        <w:t xml:space="preserve">discretion, together with </w:t>
      </w:r>
      <w:r>
        <w:rPr>
          <w:rFonts w:ascii="Times New Roman" w:hAnsi="Times New Roman" w:cs="Times New Roman"/>
          <w:sz w:val="24"/>
          <w:szCs w:val="24"/>
        </w:rPr>
        <w:t>the wideness of the matters influencing its exercise</w:t>
      </w:r>
      <w:r w:rsidR="00785F21">
        <w:rPr>
          <w:rFonts w:ascii="Times New Roman" w:hAnsi="Times New Roman" w:cs="Times New Roman"/>
          <w:sz w:val="24"/>
          <w:szCs w:val="24"/>
        </w:rPr>
        <w:t>,</w:t>
      </w:r>
      <w:r>
        <w:rPr>
          <w:rFonts w:ascii="Times New Roman" w:hAnsi="Times New Roman" w:cs="Times New Roman"/>
          <w:sz w:val="24"/>
          <w:szCs w:val="24"/>
        </w:rPr>
        <w:t xml:space="preserve"> must b</w:t>
      </w:r>
      <w:r w:rsidR="00785F21">
        <w:rPr>
          <w:rFonts w:ascii="Times New Roman" w:hAnsi="Times New Roman" w:cs="Times New Roman"/>
          <w:sz w:val="24"/>
          <w:szCs w:val="24"/>
        </w:rPr>
        <w:t>oth b</w:t>
      </w:r>
      <w:r>
        <w:rPr>
          <w:rFonts w:ascii="Times New Roman" w:hAnsi="Times New Roman" w:cs="Times New Roman"/>
          <w:sz w:val="24"/>
          <w:szCs w:val="24"/>
        </w:rPr>
        <w:t xml:space="preserve">e </w:t>
      </w:r>
      <w:r w:rsidR="00785F21">
        <w:rPr>
          <w:rFonts w:ascii="Times New Roman" w:hAnsi="Times New Roman" w:cs="Times New Roman"/>
          <w:sz w:val="24"/>
          <w:szCs w:val="24"/>
        </w:rPr>
        <w:t xml:space="preserve">underwritten or </w:t>
      </w:r>
      <w:r>
        <w:rPr>
          <w:rFonts w:ascii="Times New Roman" w:hAnsi="Times New Roman" w:cs="Times New Roman"/>
          <w:sz w:val="24"/>
          <w:szCs w:val="24"/>
        </w:rPr>
        <w:t xml:space="preserve">guided by the cause of action. That is my reading of </w:t>
      </w:r>
      <w:r w:rsidR="00D47890">
        <w:rPr>
          <w:rFonts w:ascii="Times New Roman" w:hAnsi="Times New Roman" w:cs="Times New Roman"/>
          <w:i/>
          <w:iCs/>
          <w:sz w:val="24"/>
          <w:szCs w:val="24"/>
        </w:rPr>
        <w:t xml:space="preserve">Johnsen v AFC </w:t>
      </w:r>
      <w:r>
        <w:rPr>
          <w:rFonts w:ascii="Times New Roman" w:hAnsi="Times New Roman" w:cs="Times New Roman"/>
          <w:sz w:val="24"/>
          <w:szCs w:val="24"/>
        </w:rPr>
        <w:t>and related authorities</w:t>
      </w:r>
      <w:r w:rsidR="00D47890">
        <w:rPr>
          <w:rFonts w:ascii="Times New Roman" w:hAnsi="Times New Roman" w:cs="Times New Roman"/>
          <w:sz w:val="24"/>
          <w:szCs w:val="24"/>
        </w:rPr>
        <w:t xml:space="preserve"> as </w:t>
      </w:r>
      <w:r w:rsidR="00F10D93">
        <w:rPr>
          <w:rFonts w:ascii="Times New Roman" w:hAnsi="Times New Roman" w:cs="Times New Roman"/>
          <w:sz w:val="24"/>
          <w:szCs w:val="24"/>
        </w:rPr>
        <w:t xml:space="preserve">backed </w:t>
      </w:r>
      <w:r w:rsidR="005629AF">
        <w:rPr>
          <w:rFonts w:ascii="Times New Roman" w:hAnsi="Times New Roman" w:cs="Times New Roman"/>
          <w:sz w:val="24"/>
          <w:szCs w:val="24"/>
        </w:rPr>
        <w:t xml:space="preserve">by </w:t>
      </w:r>
      <w:r w:rsidR="005629AF" w:rsidRPr="005629AF">
        <w:rPr>
          <w:rFonts w:ascii="Times New Roman" w:hAnsi="Times New Roman" w:cs="Times New Roman"/>
          <w:i/>
          <w:iCs/>
          <w:sz w:val="24"/>
          <w:szCs w:val="24"/>
        </w:rPr>
        <w:t>Peebles</w:t>
      </w:r>
      <w:r w:rsidR="00D47890" w:rsidRPr="005629AF">
        <w:rPr>
          <w:rFonts w:ascii="Times New Roman" w:hAnsi="Times New Roman" w:cs="Times New Roman"/>
          <w:i/>
          <w:iCs/>
          <w:sz w:val="24"/>
          <w:szCs w:val="24"/>
        </w:rPr>
        <w:t xml:space="preserve"> v</w:t>
      </w:r>
      <w:r w:rsidR="00D47890" w:rsidRPr="00D47890">
        <w:rPr>
          <w:rFonts w:ascii="Times New Roman" w:hAnsi="Times New Roman" w:cs="Times New Roman"/>
          <w:i/>
          <w:iCs/>
          <w:sz w:val="24"/>
          <w:szCs w:val="24"/>
        </w:rPr>
        <w:t xml:space="preserve"> Dairibord</w:t>
      </w:r>
      <w:r w:rsidR="00785F21">
        <w:rPr>
          <w:rFonts w:ascii="Times New Roman" w:hAnsi="Times New Roman" w:cs="Times New Roman"/>
          <w:sz w:val="24"/>
          <w:szCs w:val="24"/>
        </w:rPr>
        <w:t xml:space="preserve"> (both supra).</w:t>
      </w:r>
    </w:p>
    <w:p w14:paraId="7AF4CC2A" w14:textId="06376716" w:rsidR="00FE6EAC" w:rsidRDefault="00B62B3D"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B9411B">
        <w:rPr>
          <w:rFonts w:ascii="Times New Roman" w:hAnsi="Times New Roman" w:cs="Times New Roman"/>
          <w:sz w:val="24"/>
          <w:szCs w:val="24"/>
        </w:rPr>
        <w:t>50</w:t>
      </w:r>
      <w:r>
        <w:rPr>
          <w:rFonts w:ascii="Times New Roman" w:hAnsi="Times New Roman" w:cs="Times New Roman"/>
          <w:sz w:val="24"/>
          <w:szCs w:val="24"/>
        </w:rPr>
        <w:t xml:space="preserve">] </w:t>
      </w:r>
      <w:r w:rsidR="00FE6EAC">
        <w:rPr>
          <w:rFonts w:ascii="Times New Roman" w:hAnsi="Times New Roman" w:cs="Times New Roman"/>
          <w:sz w:val="24"/>
          <w:szCs w:val="24"/>
        </w:rPr>
        <w:t xml:space="preserve">I am satisfied that </w:t>
      </w:r>
      <w:r w:rsidR="00F51449">
        <w:rPr>
          <w:rFonts w:ascii="Times New Roman" w:hAnsi="Times New Roman" w:cs="Times New Roman"/>
          <w:sz w:val="24"/>
          <w:szCs w:val="24"/>
        </w:rPr>
        <w:t xml:space="preserve">stage one of </w:t>
      </w:r>
      <w:r w:rsidR="00FE6EAC">
        <w:rPr>
          <w:rFonts w:ascii="Times New Roman" w:hAnsi="Times New Roman" w:cs="Times New Roman"/>
          <w:sz w:val="24"/>
          <w:szCs w:val="24"/>
        </w:rPr>
        <w:t>the requirements of declaratory relief ha</w:t>
      </w:r>
      <w:r w:rsidR="00F51449">
        <w:rPr>
          <w:rFonts w:ascii="Times New Roman" w:hAnsi="Times New Roman" w:cs="Times New Roman"/>
          <w:sz w:val="24"/>
          <w:szCs w:val="24"/>
        </w:rPr>
        <w:t>s</w:t>
      </w:r>
      <w:r w:rsidR="00FE6EAC">
        <w:rPr>
          <w:rFonts w:ascii="Times New Roman" w:hAnsi="Times New Roman" w:cs="Times New Roman"/>
          <w:sz w:val="24"/>
          <w:szCs w:val="24"/>
        </w:rPr>
        <w:t xml:space="preserve"> been met in the present application and the following are my reasons. Magic</w:t>
      </w:r>
      <w:r w:rsidR="00BC35F4">
        <w:rPr>
          <w:rFonts w:ascii="Times New Roman" w:hAnsi="Times New Roman" w:cs="Times New Roman"/>
          <w:sz w:val="24"/>
          <w:szCs w:val="24"/>
        </w:rPr>
        <w:t xml:space="preserve"> S</w:t>
      </w:r>
      <w:r w:rsidR="008B04A7">
        <w:rPr>
          <w:rFonts w:ascii="Times New Roman" w:hAnsi="Times New Roman" w:cs="Times New Roman"/>
          <w:sz w:val="24"/>
          <w:szCs w:val="24"/>
        </w:rPr>
        <w:t xml:space="preserve">oftware </w:t>
      </w:r>
      <w:r w:rsidR="00BC35F4">
        <w:rPr>
          <w:rFonts w:ascii="Times New Roman" w:hAnsi="Times New Roman" w:cs="Times New Roman"/>
          <w:sz w:val="24"/>
          <w:szCs w:val="24"/>
        </w:rPr>
        <w:t xml:space="preserve">premised its </w:t>
      </w:r>
      <w:r w:rsidR="005629AF">
        <w:rPr>
          <w:rFonts w:ascii="Times New Roman" w:hAnsi="Times New Roman" w:cs="Times New Roman"/>
          <w:sz w:val="24"/>
          <w:szCs w:val="24"/>
        </w:rPr>
        <w:t xml:space="preserve">primary </w:t>
      </w:r>
      <w:r w:rsidR="00BC35F4">
        <w:rPr>
          <w:rFonts w:ascii="Times New Roman" w:hAnsi="Times New Roman" w:cs="Times New Roman"/>
          <w:sz w:val="24"/>
          <w:szCs w:val="24"/>
        </w:rPr>
        <w:t xml:space="preserve">claim on </w:t>
      </w:r>
      <w:r w:rsidR="00FE6EAC">
        <w:rPr>
          <w:rFonts w:ascii="Times New Roman" w:hAnsi="Times New Roman" w:cs="Times New Roman"/>
          <w:sz w:val="24"/>
          <w:szCs w:val="24"/>
        </w:rPr>
        <w:t xml:space="preserve">its banker-customer relationship with Nedbank. </w:t>
      </w:r>
      <w:r w:rsidR="00547828">
        <w:rPr>
          <w:rFonts w:ascii="Times New Roman" w:hAnsi="Times New Roman" w:cs="Times New Roman"/>
          <w:sz w:val="24"/>
          <w:szCs w:val="24"/>
        </w:rPr>
        <w:t xml:space="preserve">The amount constituting the demand is not inconsequential at </w:t>
      </w:r>
      <w:r w:rsidR="00547828" w:rsidRPr="00CF6C4D">
        <w:rPr>
          <w:rFonts w:ascii="Times New Roman" w:hAnsi="Times New Roman" w:cs="Times New Roman"/>
          <w:sz w:val="24"/>
          <w:szCs w:val="24"/>
        </w:rPr>
        <w:t>US$1,996 723,02.</w:t>
      </w:r>
    </w:p>
    <w:p w14:paraId="53E07554" w14:textId="4587270E" w:rsidR="00547828" w:rsidRDefault="00FE6EAC"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[ 51] This relationship </w:t>
      </w:r>
      <w:r w:rsidR="005629AF">
        <w:rPr>
          <w:rFonts w:ascii="Times New Roman" w:hAnsi="Times New Roman" w:cs="Times New Roman"/>
          <w:sz w:val="24"/>
          <w:szCs w:val="24"/>
        </w:rPr>
        <w:t>is not in issue</w:t>
      </w:r>
      <w:r w:rsidR="00814EB4">
        <w:rPr>
          <w:rFonts w:ascii="Times New Roman" w:hAnsi="Times New Roman" w:cs="Times New Roman"/>
          <w:sz w:val="24"/>
          <w:szCs w:val="24"/>
        </w:rPr>
        <w:t>,</w:t>
      </w:r>
      <w:r w:rsidR="00547828">
        <w:rPr>
          <w:rFonts w:ascii="Times New Roman" w:hAnsi="Times New Roman" w:cs="Times New Roman"/>
          <w:sz w:val="24"/>
          <w:szCs w:val="24"/>
        </w:rPr>
        <w:t xml:space="preserve"> </w:t>
      </w:r>
      <w:r w:rsidR="00F450DA">
        <w:rPr>
          <w:rFonts w:ascii="Times New Roman" w:hAnsi="Times New Roman" w:cs="Times New Roman"/>
          <w:sz w:val="24"/>
          <w:szCs w:val="24"/>
        </w:rPr>
        <w:t>although its details</w:t>
      </w:r>
      <w:r w:rsidR="00547828">
        <w:rPr>
          <w:rFonts w:ascii="Times New Roman" w:hAnsi="Times New Roman" w:cs="Times New Roman"/>
          <w:sz w:val="24"/>
          <w:szCs w:val="24"/>
        </w:rPr>
        <w:t xml:space="preserve"> are contested.</w:t>
      </w:r>
      <w:r w:rsidR="005629AF">
        <w:rPr>
          <w:rFonts w:ascii="Times New Roman" w:hAnsi="Times New Roman" w:cs="Times New Roman"/>
          <w:sz w:val="24"/>
          <w:szCs w:val="24"/>
        </w:rPr>
        <w:t xml:space="preserve"> </w:t>
      </w:r>
      <w:r>
        <w:rPr>
          <w:rFonts w:ascii="Times New Roman" w:hAnsi="Times New Roman" w:cs="Times New Roman"/>
          <w:sz w:val="24"/>
          <w:szCs w:val="24"/>
        </w:rPr>
        <w:t xml:space="preserve">The second claim is based in statute; -namely section 44C (2) (b) of the RBZ.I will delve deeper into this aspect in succeeding paragraphs. Suffice to say, I am satisfied that Magic Software has mounted </w:t>
      </w:r>
      <w:r w:rsidR="00F450DA">
        <w:rPr>
          <w:rFonts w:ascii="Times New Roman" w:hAnsi="Times New Roman" w:cs="Times New Roman"/>
          <w:sz w:val="24"/>
          <w:szCs w:val="24"/>
        </w:rPr>
        <w:t>a good basis</w:t>
      </w:r>
      <w:r>
        <w:rPr>
          <w:rFonts w:ascii="Times New Roman" w:hAnsi="Times New Roman" w:cs="Times New Roman"/>
          <w:sz w:val="24"/>
          <w:szCs w:val="24"/>
        </w:rPr>
        <w:t xml:space="preserve"> to </w:t>
      </w:r>
      <w:r w:rsidR="00F450DA">
        <w:rPr>
          <w:rFonts w:ascii="Times New Roman" w:hAnsi="Times New Roman" w:cs="Times New Roman"/>
          <w:sz w:val="24"/>
          <w:szCs w:val="24"/>
        </w:rPr>
        <w:t>confirm existence of substantial</w:t>
      </w:r>
      <w:r w:rsidR="00F51449">
        <w:rPr>
          <w:rFonts w:ascii="Times New Roman" w:hAnsi="Times New Roman" w:cs="Times New Roman"/>
          <w:sz w:val="24"/>
          <w:szCs w:val="24"/>
        </w:rPr>
        <w:t xml:space="preserve"> interest</w:t>
      </w:r>
      <w:r w:rsidR="00F450DA">
        <w:rPr>
          <w:rFonts w:ascii="Times New Roman" w:hAnsi="Times New Roman" w:cs="Times New Roman"/>
          <w:sz w:val="24"/>
          <w:szCs w:val="24"/>
        </w:rPr>
        <w:t>s</w:t>
      </w:r>
      <w:r w:rsidR="00F51449">
        <w:rPr>
          <w:rFonts w:ascii="Times New Roman" w:hAnsi="Times New Roman" w:cs="Times New Roman"/>
          <w:sz w:val="24"/>
          <w:szCs w:val="24"/>
        </w:rPr>
        <w:t xml:space="preserve"> in the matter. </w:t>
      </w:r>
      <w:r w:rsidR="00547828">
        <w:rPr>
          <w:rFonts w:ascii="Times New Roman" w:hAnsi="Times New Roman" w:cs="Times New Roman"/>
          <w:sz w:val="24"/>
          <w:szCs w:val="24"/>
        </w:rPr>
        <w:t xml:space="preserve">I now proceed to examine whether </w:t>
      </w:r>
      <w:r w:rsidR="00F450DA">
        <w:rPr>
          <w:rFonts w:ascii="Times New Roman" w:hAnsi="Times New Roman" w:cs="Times New Roman"/>
          <w:sz w:val="24"/>
          <w:szCs w:val="24"/>
        </w:rPr>
        <w:t xml:space="preserve">such interest can translate into the declaratory relief pursued by </w:t>
      </w:r>
      <w:r w:rsidR="00547828">
        <w:rPr>
          <w:rFonts w:ascii="Times New Roman" w:hAnsi="Times New Roman" w:cs="Times New Roman"/>
          <w:sz w:val="24"/>
          <w:szCs w:val="24"/>
        </w:rPr>
        <w:t>Magic Software</w:t>
      </w:r>
      <w:r w:rsidR="00F450DA">
        <w:rPr>
          <w:rFonts w:ascii="Times New Roman" w:hAnsi="Times New Roman" w:cs="Times New Roman"/>
          <w:sz w:val="24"/>
          <w:szCs w:val="24"/>
        </w:rPr>
        <w:t>.</w:t>
      </w:r>
    </w:p>
    <w:p w14:paraId="06F92684" w14:textId="77777777" w:rsidR="00547828" w:rsidRDefault="00547828"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THE BANKER-CUSTOMER RELATIONSHIP</w:t>
      </w:r>
    </w:p>
    <w:p w14:paraId="62272734" w14:textId="1FA69C72" w:rsidR="004E70E6" w:rsidRDefault="00F01C62" w:rsidP="0010306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4E70E6">
        <w:rPr>
          <w:rFonts w:ascii="Times New Roman" w:hAnsi="Times New Roman" w:cs="Times New Roman"/>
          <w:sz w:val="24"/>
          <w:szCs w:val="24"/>
        </w:rPr>
        <w:t>2</w:t>
      </w:r>
      <w:r>
        <w:rPr>
          <w:rFonts w:ascii="Times New Roman" w:hAnsi="Times New Roman" w:cs="Times New Roman"/>
          <w:sz w:val="24"/>
          <w:szCs w:val="24"/>
        </w:rPr>
        <w:t xml:space="preserve">] </w:t>
      </w:r>
      <w:r w:rsidR="00547828">
        <w:rPr>
          <w:rFonts w:ascii="Times New Roman" w:hAnsi="Times New Roman" w:cs="Times New Roman"/>
          <w:sz w:val="24"/>
          <w:szCs w:val="24"/>
        </w:rPr>
        <w:t>In addressing that issue, I start by reverting, for the last time</w:t>
      </w:r>
      <w:r w:rsidR="00547828" w:rsidRPr="00F01C62">
        <w:rPr>
          <w:rFonts w:ascii="Times New Roman" w:hAnsi="Times New Roman" w:cs="Times New Roman"/>
          <w:sz w:val="24"/>
          <w:szCs w:val="24"/>
        </w:rPr>
        <w:t xml:space="preserve">, to Mr. </w:t>
      </w:r>
      <w:r w:rsidR="00547828" w:rsidRPr="00F01C62">
        <w:rPr>
          <w:rFonts w:ascii="Times New Roman" w:hAnsi="Times New Roman" w:cs="Times New Roman"/>
          <w:i/>
          <w:iCs/>
          <w:sz w:val="24"/>
          <w:szCs w:val="24"/>
        </w:rPr>
        <w:t>Mpofu</w:t>
      </w:r>
      <w:r w:rsidR="00547828" w:rsidRPr="00F01C62">
        <w:rPr>
          <w:rFonts w:ascii="Times New Roman" w:hAnsi="Times New Roman" w:cs="Times New Roman"/>
          <w:sz w:val="24"/>
          <w:szCs w:val="24"/>
        </w:rPr>
        <w:t>’s submission</w:t>
      </w:r>
      <w:r w:rsidR="00547828">
        <w:rPr>
          <w:rFonts w:ascii="Times New Roman" w:hAnsi="Times New Roman" w:cs="Times New Roman"/>
          <w:sz w:val="24"/>
          <w:szCs w:val="24"/>
        </w:rPr>
        <w:t xml:space="preserve"> quoted in </w:t>
      </w:r>
      <w:r w:rsidR="00547828" w:rsidRPr="00D47890">
        <w:rPr>
          <w:rFonts w:ascii="Times New Roman" w:hAnsi="Times New Roman" w:cs="Times New Roman"/>
          <w:sz w:val="24"/>
          <w:szCs w:val="24"/>
        </w:rPr>
        <w:t>paragraph [</w:t>
      </w:r>
      <w:r w:rsidR="00547828">
        <w:rPr>
          <w:rFonts w:ascii="Times New Roman" w:hAnsi="Times New Roman" w:cs="Times New Roman"/>
          <w:sz w:val="24"/>
          <w:szCs w:val="24"/>
        </w:rPr>
        <w:t>31</w:t>
      </w:r>
      <w:r w:rsidR="00547828" w:rsidRPr="00D47890">
        <w:rPr>
          <w:rFonts w:ascii="Times New Roman" w:hAnsi="Times New Roman" w:cs="Times New Roman"/>
          <w:sz w:val="24"/>
          <w:szCs w:val="24"/>
        </w:rPr>
        <w:t>] above.</w:t>
      </w:r>
      <w:r w:rsidR="00547828">
        <w:rPr>
          <w:rFonts w:ascii="Times New Roman" w:hAnsi="Times New Roman" w:cs="Times New Roman"/>
          <w:sz w:val="24"/>
          <w:szCs w:val="24"/>
        </w:rPr>
        <w:t xml:space="preserve"> Counsel attacked </w:t>
      </w:r>
      <w:r w:rsidR="00F450DA">
        <w:rPr>
          <w:rFonts w:ascii="Times New Roman" w:hAnsi="Times New Roman" w:cs="Times New Roman"/>
          <w:sz w:val="24"/>
          <w:szCs w:val="24"/>
        </w:rPr>
        <w:t xml:space="preserve">Magic Software’s </w:t>
      </w:r>
      <w:r w:rsidR="00547828">
        <w:rPr>
          <w:rFonts w:ascii="Times New Roman" w:hAnsi="Times New Roman" w:cs="Times New Roman"/>
          <w:sz w:val="24"/>
          <w:szCs w:val="24"/>
        </w:rPr>
        <w:t>the cause of action</w:t>
      </w:r>
      <w:r w:rsidR="00814EB4">
        <w:rPr>
          <w:rFonts w:ascii="Times New Roman" w:hAnsi="Times New Roman" w:cs="Times New Roman"/>
          <w:sz w:val="24"/>
          <w:szCs w:val="24"/>
        </w:rPr>
        <w:t>-</w:t>
      </w:r>
      <w:r w:rsidR="00547828">
        <w:rPr>
          <w:rFonts w:ascii="Times New Roman" w:hAnsi="Times New Roman" w:cs="Times New Roman"/>
          <w:sz w:val="24"/>
          <w:szCs w:val="24"/>
        </w:rPr>
        <w:t xml:space="preserve"> as well as manner in which such was pleaded</w:t>
      </w:r>
      <w:r w:rsidR="00814EB4">
        <w:rPr>
          <w:rFonts w:ascii="Times New Roman" w:hAnsi="Times New Roman" w:cs="Times New Roman"/>
          <w:sz w:val="24"/>
          <w:szCs w:val="24"/>
        </w:rPr>
        <w:t>-</w:t>
      </w:r>
      <w:r w:rsidR="00547828">
        <w:rPr>
          <w:rFonts w:ascii="Times New Roman" w:hAnsi="Times New Roman" w:cs="Times New Roman"/>
          <w:sz w:val="24"/>
          <w:szCs w:val="24"/>
        </w:rPr>
        <w:t xml:space="preserve"> in a number of ways. </w:t>
      </w:r>
      <w:r w:rsidR="00F450DA">
        <w:rPr>
          <w:rFonts w:ascii="Times New Roman" w:hAnsi="Times New Roman" w:cs="Times New Roman"/>
          <w:sz w:val="24"/>
          <w:szCs w:val="24"/>
        </w:rPr>
        <w:t>To begin with, counsel argued that although t</w:t>
      </w:r>
      <w:r w:rsidR="00547828">
        <w:rPr>
          <w:rFonts w:ascii="Times New Roman" w:hAnsi="Times New Roman" w:cs="Times New Roman"/>
          <w:sz w:val="24"/>
          <w:szCs w:val="24"/>
        </w:rPr>
        <w:t xml:space="preserve">he claim </w:t>
      </w:r>
      <w:r w:rsidR="009A7188">
        <w:rPr>
          <w:rFonts w:ascii="Times New Roman" w:hAnsi="Times New Roman" w:cs="Times New Roman"/>
          <w:sz w:val="24"/>
          <w:szCs w:val="24"/>
        </w:rPr>
        <w:t>was based</w:t>
      </w:r>
      <w:r w:rsidR="00547828">
        <w:rPr>
          <w:rFonts w:ascii="Times New Roman" w:hAnsi="Times New Roman" w:cs="Times New Roman"/>
          <w:sz w:val="24"/>
          <w:szCs w:val="24"/>
        </w:rPr>
        <w:t xml:space="preserve"> in </w:t>
      </w:r>
      <w:r w:rsidR="00F450DA">
        <w:rPr>
          <w:rFonts w:ascii="Times New Roman" w:hAnsi="Times New Roman" w:cs="Times New Roman"/>
          <w:sz w:val="24"/>
          <w:szCs w:val="24"/>
        </w:rPr>
        <w:t xml:space="preserve">contract, </w:t>
      </w:r>
      <w:r w:rsidR="009A7188">
        <w:rPr>
          <w:rFonts w:ascii="Times New Roman" w:hAnsi="Times New Roman" w:cs="Times New Roman"/>
          <w:sz w:val="24"/>
          <w:szCs w:val="24"/>
        </w:rPr>
        <w:t>the terms</w:t>
      </w:r>
      <w:r w:rsidR="006A1958">
        <w:rPr>
          <w:rFonts w:ascii="Times New Roman" w:hAnsi="Times New Roman" w:cs="Times New Roman"/>
          <w:sz w:val="24"/>
          <w:szCs w:val="24"/>
        </w:rPr>
        <w:t xml:space="preserve"> thereof were not placed before the court. </w:t>
      </w:r>
    </w:p>
    <w:p w14:paraId="21222DC1" w14:textId="0AC284B8" w:rsidR="004E70E6" w:rsidRDefault="004E70E6" w:rsidP="001030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009A7188">
        <w:rPr>
          <w:rFonts w:ascii="Times New Roman" w:hAnsi="Times New Roman" w:cs="Times New Roman"/>
          <w:sz w:val="24"/>
          <w:szCs w:val="24"/>
        </w:rPr>
        <w:t xml:space="preserve">I agree with counsel that the contractual details were not furnished. In that respect, it was impossible to ascertain the parties` rights and </w:t>
      </w:r>
      <w:r w:rsidR="00814EB4">
        <w:rPr>
          <w:rFonts w:ascii="Times New Roman" w:hAnsi="Times New Roman" w:cs="Times New Roman"/>
          <w:sz w:val="24"/>
          <w:szCs w:val="24"/>
        </w:rPr>
        <w:t xml:space="preserve">obligations, especially given the claim and its contestation. </w:t>
      </w:r>
      <w:r w:rsidR="007D6AD0">
        <w:rPr>
          <w:rFonts w:ascii="Times New Roman" w:hAnsi="Times New Roman" w:cs="Times New Roman"/>
          <w:sz w:val="24"/>
          <w:szCs w:val="24"/>
        </w:rPr>
        <w:t>The banker-client mandate and duty buttressing the claim was not</w:t>
      </w:r>
      <w:r w:rsidR="009A7188">
        <w:rPr>
          <w:rFonts w:ascii="Times New Roman" w:hAnsi="Times New Roman" w:cs="Times New Roman"/>
          <w:sz w:val="24"/>
          <w:szCs w:val="24"/>
        </w:rPr>
        <w:t xml:space="preserve"> be established</w:t>
      </w:r>
      <w:r w:rsidR="00814EB4">
        <w:rPr>
          <w:rFonts w:ascii="Times New Roman" w:hAnsi="Times New Roman" w:cs="Times New Roman"/>
          <w:sz w:val="24"/>
          <w:szCs w:val="24"/>
        </w:rPr>
        <w:t xml:space="preserve"> beyond the common cause</w:t>
      </w:r>
      <w:r w:rsidR="007D6AD0">
        <w:rPr>
          <w:rFonts w:ascii="Times New Roman" w:hAnsi="Times New Roman" w:cs="Times New Roman"/>
          <w:sz w:val="24"/>
          <w:szCs w:val="24"/>
        </w:rPr>
        <w:t xml:space="preserve">. </w:t>
      </w:r>
      <w:r w:rsidR="00B9411B">
        <w:rPr>
          <w:rFonts w:ascii="Times New Roman" w:hAnsi="Times New Roman" w:cs="Times New Roman"/>
          <w:sz w:val="24"/>
          <w:szCs w:val="24"/>
        </w:rPr>
        <w:t xml:space="preserve"> </w:t>
      </w:r>
      <w:r w:rsidR="00B9411B" w:rsidRPr="0010306C">
        <w:rPr>
          <w:rFonts w:ascii="Times New Roman" w:hAnsi="Times New Roman" w:cs="Times New Roman"/>
          <w:sz w:val="24"/>
          <w:szCs w:val="24"/>
        </w:rPr>
        <w:t>What</w:t>
      </w:r>
      <w:r w:rsidR="0010306C">
        <w:rPr>
          <w:rFonts w:ascii="Times New Roman" w:hAnsi="Times New Roman" w:cs="Times New Roman"/>
          <w:sz w:val="24"/>
          <w:szCs w:val="24"/>
        </w:rPr>
        <w:t xml:space="preserve"> exactly were the banking arrangements agreed upon in setting up the escrow account? Was it a retention of funds arrangement </w:t>
      </w:r>
      <w:r w:rsidR="005629AF">
        <w:rPr>
          <w:rFonts w:ascii="Times New Roman" w:hAnsi="Times New Roman" w:cs="Times New Roman"/>
          <w:sz w:val="24"/>
          <w:szCs w:val="24"/>
        </w:rPr>
        <w:t>only, or</w:t>
      </w:r>
      <w:r w:rsidR="0010306C">
        <w:rPr>
          <w:rFonts w:ascii="Times New Roman" w:hAnsi="Times New Roman" w:cs="Times New Roman"/>
          <w:sz w:val="24"/>
          <w:szCs w:val="24"/>
        </w:rPr>
        <w:t xml:space="preserve"> </w:t>
      </w:r>
      <w:r w:rsidR="005629AF">
        <w:rPr>
          <w:rFonts w:ascii="Times New Roman" w:hAnsi="Times New Roman" w:cs="Times New Roman"/>
          <w:sz w:val="24"/>
          <w:szCs w:val="24"/>
        </w:rPr>
        <w:t xml:space="preserve">a </w:t>
      </w:r>
      <w:r w:rsidR="0010306C">
        <w:rPr>
          <w:rFonts w:ascii="Times New Roman" w:hAnsi="Times New Roman" w:cs="Times New Roman"/>
          <w:sz w:val="24"/>
          <w:szCs w:val="24"/>
        </w:rPr>
        <w:t xml:space="preserve">retention and remit offshore? </w:t>
      </w:r>
      <w:r w:rsidR="007D6AD0">
        <w:rPr>
          <w:rFonts w:ascii="Times New Roman" w:hAnsi="Times New Roman" w:cs="Times New Roman"/>
          <w:sz w:val="24"/>
          <w:szCs w:val="24"/>
        </w:rPr>
        <w:t xml:space="preserve"> As matters stand, there are seriously contested issues.</w:t>
      </w:r>
    </w:p>
    <w:p w14:paraId="2B87849F" w14:textId="4E9FA491" w:rsidR="00B9411B" w:rsidRDefault="004E70E6" w:rsidP="0010306C">
      <w:pPr>
        <w:spacing w:line="360" w:lineRule="auto"/>
        <w:jc w:val="both"/>
        <w:rPr>
          <w:rFonts w:ascii="Times New Roman" w:hAnsi="Times New Roman" w:cs="Times New Roman"/>
          <w:sz w:val="24"/>
          <w:szCs w:val="24"/>
        </w:rPr>
      </w:pPr>
      <w:r>
        <w:rPr>
          <w:rFonts w:ascii="Times New Roman" w:hAnsi="Times New Roman" w:cs="Times New Roman"/>
          <w:sz w:val="24"/>
          <w:szCs w:val="24"/>
        </w:rPr>
        <w:t>[54] Nedbank</w:t>
      </w:r>
      <w:r w:rsidR="007D6AD0">
        <w:rPr>
          <w:rFonts w:ascii="Times New Roman" w:hAnsi="Times New Roman" w:cs="Times New Roman"/>
          <w:sz w:val="24"/>
          <w:szCs w:val="24"/>
        </w:rPr>
        <w:t xml:space="preserve"> avers that Magic Software ought to have obtained exchange control approval before opening the escrow account. Magic Software retorts that Nedbank rendered incompetent advice on that aspect, in addition to failing to submit the appeal to Exchange Control timeously. </w:t>
      </w:r>
      <w:r w:rsidR="0010306C">
        <w:rPr>
          <w:rFonts w:ascii="Times New Roman" w:hAnsi="Times New Roman" w:cs="Times New Roman"/>
          <w:sz w:val="24"/>
          <w:szCs w:val="24"/>
        </w:rPr>
        <w:t xml:space="preserve">How </w:t>
      </w:r>
      <w:r w:rsidR="005629AF">
        <w:rPr>
          <w:rFonts w:ascii="Times New Roman" w:hAnsi="Times New Roman" w:cs="Times New Roman"/>
          <w:sz w:val="24"/>
          <w:szCs w:val="24"/>
        </w:rPr>
        <w:t xml:space="preserve">then are </w:t>
      </w:r>
      <w:r w:rsidR="0010306C">
        <w:rPr>
          <w:rFonts w:ascii="Times New Roman" w:hAnsi="Times New Roman" w:cs="Times New Roman"/>
          <w:sz w:val="24"/>
          <w:szCs w:val="24"/>
        </w:rPr>
        <w:t xml:space="preserve">these counter-accusations to be resolved in the absence of a reference point to ascertain each party`s obligations? Importantly, were the parties </w:t>
      </w:r>
      <w:r w:rsidR="0010306C" w:rsidRPr="005629AF">
        <w:rPr>
          <w:rFonts w:ascii="Times New Roman" w:hAnsi="Times New Roman" w:cs="Times New Roman"/>
          <w:i/>
          <w:iCs/>
          <w:sz w:val="24"/>
          <w:szCs w:val="24"/>
        </w:rPr>
        <w:t>ad idem</w:t>
      </w:r>
      <w:r w:rsidR="0010306C">
        <w:rPr>
          <w:rFonts w:ascii="Times New Roman" w:hAnsi="Times New Roman" w:cs="Times New Roman"/>
          <w:sz w:val="24"/>
          <w:szCs w:val="24"/>
        </w:rPr>
        <w:t xml:space="preserve"> in the first instance?</w:t>
      </w:r>
    </w:p>
    <w:p w14:paraId="4A23203F" w14:textId="6871344A" w:rsidR="004A250B" w:rsidRPr="009552C3" w:rsidRDefault="00DB0EA4" w:rsidP="0010306C">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r w:rsidR="00547828">
        <w:rPr>
          <w:rFonts w:ascii="Times New Roman" w:hAnsi="Times New Roman" w:cs="Times New Roman"/>
          <w:sz w:val="24"/>
          <w:szCs w:val="24"/>
        </w:rPr>
        <w:t>] Th</w:t>
      </w:r>
      <w:r w:rsidR="0090049C">
        <w:rPr>
          <w:rFonts w:ascii="Times New Roman" w:hAnsi="Times New Roman" w:cs="Times New Roman"/>
          <w:sz w:val="24"/>
          <w:szCs w:val="24"/>
        </w:rPr>
        <w:t xml:space="preserve">ese </w:t>
      </w:r>
      <w:r w:rsidR="007F12D8">
        <w:rPr>
          <w:rFonts w:ascii="Times New Roman" w:hAnsi="Times New Roman" w:cs="Times New Roman"/>
          <w:sz w:val="24"/>
          <w:szCs w:val="24"/>
        </w:rPr>
        <w:t>question</w:t>
      </w:r>
      <w:r w:rsidR="0090049C">
        <w:rPr>
          <w:rFonts w:ascii="Times New Roman" w:hAnsi="Times New Roman" w:cs="Times New Roman"/>
          <w:sz w:val="24"/>
          <w:szCs w:val="24"/>
        </w:rPr>
        <w:t>s</w:t>
      </w:r>
      <w:r w:rsidR="007F12D8">
        <w:rPr>
          <w:rFonts w:ascii="Times New Roman" w:hAnsi="Times New Roman" w:cs="Times New Roman"/>
          <w:sz w:val="24"/>
          <w:szCs w:val="24"/>
        </w:rPr>
        <w:t xml:space="preserve"> bring</w:t>
      </w:r>
      <w:r w:rsidR="0090049C">
        <w:rPr>
          <w:rFonts w:ascii="Times New Roman" w:hAnsi="Times New Roman" w:cs="Times New Roman"/>
          <w:sz w:val="24"/>
          <w:szCs w:val="24"/>
        </w:rPr>
        <w:t xml:space="preserve"> to the fore, considerations on the parties` respective duty of care. </w:t>
      </w:r>
      <w:r w:rsidR="0090049C" w:rsidRPr="009552C3">
        <w:rPr>
          <w:rFonts w:ascii="Times New Roman" w:hAnsi="Times New Roman" w:cs="Times New Roman"/>
          <w:sz w:val="24"/>
          <w:szCs w:val="24"/>
        </w:rPr>
        <w:t>And</w:t>
      </w:r>
      <w:r w:rsidR="007F12D8" w:rsidRPr="009552C3">
        <w:rPr>
          <w:rFonts w:ascii="Times New Roman" w:hAnsi="Times New Roman" w:cs="Times New Roman"/>
          <w:sz w:val="24"/>
          <w:szCs w:val="24"/>
        </w:rPr>
        <w:t xml:space="preserve"> that duty </w:t>
      </w:r>
      <w:r w:rsidR="0090049C" w:rsidRPr="009552C3">
        <w:rPr>
          <w:rFonts w:ascii="Times New Roman" w:hAnsi="Times New Roman" w:cs="Times New Roman"/>
          <w:sz w:val="24"/>
          <w:szCs w:val="24"/>
        </w:rPr>
        <w:t>could only have emanated from their contract. Contract forms the</w:t>
      </w:r>
      <w:r w:rsidR="007F12D8" w:rsidRPr="009552C3">
        <w:rPr>
          <w:rFonts w:ascii="Times New Roman" w:hAnsi="Times New Roman" w:cs="Times New Roman"/>
          <w:sz w:val="24"/>
          <w:szCs w:val="24"/>
        </w:rPr>
        <w:t xml:space="preserve"> </w:t>
      </w:r>
      <w:r w:rsidR="004A250B" w:rsidRPr="009552C3">
        <w:rPr>
          <w:rFonts w:ascii="Times New Roman" w:hAnsi="Times New Roman" w:cs="Times New Roman"/>
          <w:sz w:val="24"/>
          <w:szCs w:val="24"/>
        </w:rPr>
        <w:t xml:space="preserve">mainstay of the </w:t>
      </w:r>
      <w:r w:rsidRPr="009552C3">
        <w:rPr>
          <w:rFonts w:ascii="Times New Roman" w:hAnsi="Times New Roman" w:cs="Times New Roman"/>
          <w:sz w:val="24"/>
          <w:szCs w:val="24"/>
        </w:rPr>
        <w:t>banker</w:t>
      </w:r>
      <w:r w:rsidR="00547828" w:rsidRPr="009552C3">
        <w:rPr>
          <w:rFonts w:ascii="Times New Roman" w:hAnsi="Times New Roman" w:cs="Times New Roman"/>
          <w:sz w:val="24"/>
          <w:szCs w:val="24"/>
        </w:rPr>
        <w:t xml:space="preserve">-customer </w:t>
      </w:r>
      <w:r w:rsidR="004A250B" w:rsidRPr="009552C3">
        <w:rPr>
          <w:rFonts w:ascii="Times New Roman" w:hAnsi="Times New Roman" w:cs="Times New Roman"/>
          <w:sz w:val="24"/>
          <w:szCs w:val="24"/>
        </w:rPr>
        <w:t xml:space="preserve">relationship is contract. This was the view taken by Professor Lovemore </w:t>
      </w:r>
      <w:r w:rsidR="004A250B" w:rsidRPr="009552C3">
        <w:rPr>
          <w:rFonts w:ascii="Times New Roman" w:hAnsi="Times New Roman" w:cs="Times New Roman"/>
          <w:sz w:val="24"/>
          <w:szCs w:val="24"/>
        </w:rPr>
        <w:lastRenderedPageBreak/>
        <w:t>Madhuku writing many years ago</w:t>
      </w:r>
      <w:r w:rsidR="0090049C" w:rsidRPr="009552C3">
        <w:rPr>
          <w:rFonts w:ascii="Times New Roman" w:hAnsi="Times New Roman" w:cs="Times New Roman"/>
          <w:sz w:val="24"/>
          <w:szCs w:val="24"/>
        </w:rPr>
        <w:t>,</w:t>
      </w:r>
      <w:r w:rsidR="004A250B" w:rsidRPr="009552C3">
        <w:rPr>
          <w:rFonts w:ascii="Times New Roman" w:hAnsi="Times New Roman" w:cs="Times New Roman"/>
          <w:sz w:val="24"/>
          <w:szCs w:val="24"/>
        </w:rPr>
        <w:t xml:space="preserve"> in the </w:t>
      </w:r>
      <w:r w:rsidR="004A250B" w:rsidRPr="009552C3">
        <w:rPr>
          <w:rFonts w:ascii="Times New Roman" w:hAnsi="Times New Roman" w:cs="Times New Roman"/>
          <w:i/>
          <w:iCs/>
          <w:sz w:val="24"/>
          <w:szCs w:val="24"/>
        </w:rPr>
        <w:t>Zimbabwe Law Review</w:t>
      </w:r>
      <w:r w:rsidR="004A250B" w:rsidRPr="009552C3">
        <w:rPr>
          <w:rFonts w:ascii="Times New Roman" w:hAnsi="Times New Roman" w:cs="Times New Roman"/>
          <w:sz w:val="24"/>
          <w:szCs w:val="24"/>
        </w:rPr>
        <w:t xml:space="preserve"> where the learned author stated that; -</w:t>
      </w:r>
    </w:p>
    <w:p w14:paraId="44CDDA9D" w14:textId="1767B5AC" w:rsidR="004A250B" w:rsidRDefault="004A250B" w:rsidP="007F12D8">
      <w:pPr>
        <w:spacing w:line="360" w:lineRule="auto"/>
        <w:ind w:left="1134"/>
        <w:jc w:val="both"/>
        <w:rPr>
          <w:rFonts w:ascii="Times New Roman" w:hAnsi="Times New Roman" w:cs="Times New Roman"/>
          <w:sz w:val="24"/>
          <w:szCs w:val="24"/>
        </w:rPr>
      </w:pPr>
      <w:r w:rsidRPr="009552C3">
        <w:rPr>
          <w:rFonts w:ascii="Times New Roman" w:hAnsi="Times New Roman" w:cs="Times New Roman"/>
          <w:sz w:val="24"/>
          <w:szCs w:val="24"/>
        </w:rPr>
        <w:t xml:space="preserve">“The banker-customer relationship is largely a matter of contract. </w:t>
      </w:r>
      <w:r w:rsidRPr="009552C3">
        <w:rPr>
          <w:rFonts w:ascii="Times New Roman" w:hAnsi="Times New Roman" w:cs="Times New Roman"/>
          <w:sz w:val="24"/>
          <w:szCs w:val="24"/>
          <w:u w:val="single"/>
        </w:rPr>
        <w:t>Although there are other special contracts which arise in specific transactions</w:t>
      </w:r>
      <w:r>
        <w:rPr>
          <w:rFonts w:ascii="Times New Roman" w:hAnsi="Times New Roman" w:cs="Times New Roman"/>
          <w:sz w:val="24"/>
          <w:szCs w:val="24"/>
        </w:rPr>
        <w:t>, the main contract is that of debtor and creditor.”</w:t>
      </w:r>
      <w:r>
        <w:rPr>
          <w:rStyle w:val="FootnoteReference"/>
          <w:rFonts w:ascii="Times New Roman" w:hAnsi="Times New Roman" w:cs="Times New Roman"/>
          <w:sz w:val="24"/>
          <w:szCs w:val="24"/>
        </w:rPr>
        <w:footnoteReference w:id="10"/>
      </w:r>
      <w:r w:rsidR="0090049C">
        <w:rPr>
          <w:rFonts w:ascii="Times New Roman" w:hAnsi="Times New Roman" w:cs="Times New Roman"/>
          <w:sz w:val="24"/>
          <w:szCs w:val="24"/>
        </w:rPr>
        <w:t xml:space="preserve"> [ underlined for emphasis and see also paragraph [</w:t>
      </w:r>
      <w:r w:rsidR="009552C3">
        <w:rPr>
          <w:rFonts w:ascii="Times New Roman" w:hAnsi="Times New Roman" w:cs="Times New Roman"/>
          <w:sz w:val="24"/>
          <w:szCs w:val="24"/>
        </w:rPr>
        <w:t>81] below]</w:t>
      </w:r>
    </w:p>
    <w:p w14:paraId="6CF53E58" w14:textId="39C02765" w:rsidR="00B467DC" w:rsidRPr="00B467DC" w:rsidRDefault="007F12D8" w:rsidP="001030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[ 56] </w:t>
      </w:r>
      <w:r w:rsidR="004F4609">
        <w:rPr>
          <w:rFonts w:ascii="Times New Roman" w:hAnsi="Times New Roman" w:cs="Times New Roman"/>
          <w:sz w:val="24"/>
          <w:szCs w:val="24"/>
        </w:rPr>
        <w:t>Additionally, the</w:t>
      </w:r>
      <w:r>
        <w:rPr>
          <w:rFonts w:ascii="Times New Roman" w:hAnsi="Times New Roman" w:cs="Times New Roman"/>
          <w:sz w:val="24"/>
          <w:szCs w:val="24"/>
        </w:rPr>
        <w:t xml:space="preserve"> bank`s duty arising from such contracts</w:t>
      </w:r>
      <w:r w:rsidR="009552C3">
        <w:rPr>
          <w:rFonts w:ascii="Times New Roman" w:hAnsi="Times New Roman" w:cs="Times New Roman"/>
          <w:sz w:val="24"/>
          <w:szCs w:val="24"/>
        </w:rPr>
        <w:t>-</w:t>
      </w:r>
      <w:r>
        <w:rPr>
          <w:rFonts w:ascii="Times New Roman" w:hAnsi="Times New Roman" w:cs="Times New Roman"/>
          <w:sz w:val="24"/>
          <w:szCs w:val="24"/>
        </w:rPr>
        <w:t xml:space="preserve"> general or specialised-was described as </w:t>
      </w:r>
      <w:r w:rsidRPr="007F12D8">
        <w:rPr>
          <w:rFonts w:ascii="Times New Roman" w:hAnsi="Times New Roman" w:cs="Times New Roman"/>
          <w:sz w:val="24"/>
          <w:szCs w:val="24"/>
        </w:rPr>
        <w:t xml:space="preserve">follows in </w:t>
      </w:r>
      <w:r w:rsidR="004E70E6">
        <w:rPr>
          <w:rFonts w:ascii="Times New Roman" w:hAnsi="Times New Roman" w:cs="Times New Roman"/>
          <w:sz w:val="24"/>
          <w:szCs w:val="24"/>
        </w:rPr>
        <w:t xml:space="preserve">the English case of </w:t>
      </w:r>
      <w:r w:rsidR="00DB0EA4" w:rsidRPr="004E70E6">
        <w:rPr>
          <w:rFonts w:ascii="Times New Roman" w:hAnsi="Times New Roman" w:cs="Times New Roman"/>
          <w:i/>
          <w:iCs/>
          <w:sz w:val="24"/>
          <w:szCs w:val="24"/>
        </w:rPr>
        <w:t xml:space="preserve">Midland Bank Limited </w:t>
      </w:r>
      <w:r w:rsidR="00C11859" w:rsidRPr="004E70E6">
        <w:rPr>
          <w:rFonts w:ascii="Times New Roman" w:hAnsi="Times New Roman" w:cs="Times New Roman"/>
          <w:i/>
          <w:iCs/>
          <w:sz w:val="24"/>
          <w:szCs w:val="24"/>
        </w:rPr>
        <w:t>v Reckitt</w:t>
      </w:r>
      <w:r w:rsidR="00C11859" w:rsidRPr="00B467DC">
        <w:rPr>
          <w:rFonts w:ascii="Times New Roman" w:hAnsi="Times New Roman" w:cs="Times New Roman"/>
          <w:sz w:val="24"/>
          <w:szCs w:val="24"/>
        </w:rPr>
        <w:t xml:space="preserve"> [</w:t>
      </w:r>
      <w:r w:rsidR="00DB0EA4" w:rsidRPr="00B467DC">
        <w:rPr>
          <w:rFonts w:ascii="Times New Roman" w:hAnsi="Times New Roman" w:cs="Times New Roman"/>
          <w:sz w:val="24"/>
          <w:szCs w:val="24"/>
        </w:rPr>
        <w:t>19</w:t>
      </w:r>
      <w:r w:rsidRPr="00B467DC">
        <w:rPr>
          <w:rFonts w:ascii="Times New Roman" w:hAnsi="Times New Roman" w:cs="Times New Roman"/>
          <w:sz w:val="24"/>
          <w:szCs w:val="24"/>
        </w:rPr>
        <w:t>68</w:t>
      </w:r>
      <w:r w:rsidR="00DB0EA4" w:rsidRPr="00B467DC">
        <w:rPr>
          <w:rFonts w:ascii="Times New Roman" w:hAnsi="Times New Roman" w:cs="Times New Roman"/>
          <w:sz w:val="24"/>
          <w:szCs w:val="24"/>
        </w:rPr>
        <w:t xml:space="preserve">] </w:t>
      </w:r>
      <w:r w:rsidRPr="00B467DC">
        <w:rPr>
          <w:rFonts w:ascii="Times New Roman" w:hAnsi="Times New Roman" w:cs="Times New Roman"/>
          <w:sz w:val="24"/>
          <w:szCs w:val="24"/>
        </w:rPr>
        <w:t xml:space="preserve">1 W.L.R 1555 at </w:t>
      </w:r>
      <w:r w:rsidR="00B467DC" w:rsidRPr="00B467DC">
        <w:rPr>
          <w:rFonts w:ascii="Times New Roman" w:hAnsi="Times New Roman" w:cs="Times New Roman"/>
          <w:sz w:val="24"/>
          <w:szCs w:val="24"/>
        </w:rPr>
        <w:t>1608; -</w:t>
      </w:r>
    </w:p>
    <w:p w14:paraId="6219570A" w14:textId="497A93BA" w:rsidR="00DB0EA4" w:rsidRDefault="007F12D8" w:rsidP="004E70E6">
      <w:pPr>
        <w:spacing w:line="360" w:lineRule="auto"/>
        <w:ind w:left="1134"/>
        <w:jc w:val="both"/>
        <w:rPr>
          <w:rFonts w:ascii="Times New Roman" w:hAnsi="Times New Roman" w:cs="Times New Roman"/>
          <w:sz w:val="24"/>
          <w:szCs w:val="24"/>
        </w:rPr>
      </w:pPr>
      <w:r w:rsidRPr="00B467DC">
        <w:rPr>
          <w:rFonts w:ascii="Times New Roman" w:hAnsi="Times New Roman" w:cs="Times New Roman"/>
          <w:sz w:val="24"/>
          <w:szCs w:val="24"/>
        </w:rPr>
        <w:t xml:space="preserve"> </w:t>
      </w:r>
      <w:r w:rsidR="00B467DC" w:rsidRPr="00B467DC">
        <w:rPr>
          <w:rFonts w:ascii="Times New Roman" w:hAnsi="Times New Roman" w:cs="Times New Roman"/>
          <w:sz w:val="24"/>
          <w:szCs w:val="24"/>
        </w:rPr>
        <w:t xml:space="preserve">“…a bank has a duty under its contract with its customer to exercise </w:t>
      </w:r>
      <w:r w:rsidR="00B467DC">
        <w:rPr>
          <w:rFonts w:ascii="Times New Roman" w:hAnsi="Times New Roman" w:cs="Times New Roman"/>
          <w:sz w:val="24"/>
          <w:szCs w:val="24"/>
        </w:rPr>
        <w:t xml:space="preserve">“reasonable care and skill” in carrying out its part with regard to operations within its contract with its customer. The standard of that reasonable care and skill is an objective standard applicable to </w:t>
      </w:r>
      <w:r w:rsidR="004E70E6">
        <w:rPr>
          <w:rFonts w:ascii="Times New Roman" w:hAnsi="Times New Roman" w:cs="Times New Roman"/>
          <w:sz w:val="24"/>
          <w:szCs w:val="24"/>
        </w:rPr>
        <w:t xml:space="preserve">bankers. </w:t>
      </w:r>
      <w:r w:rsidR="004E70E6" w:rsidRPr="004E70E6">
        <w:rPr>
          <w:rFonts w:ascii="Times New Roman" w:hAnsi="Times New Roman" w:cs="Times New Roman"/>
          <w:sz w:val="24"/>
          <w:szCs w:val="24"/>
          <w:u w:val="single"/>
        </w:rPr>
        <w:t>Whether</w:t>
      </w:r>
      <w:r w:rsidR="00B467DC" w:rsidRPr="004E70E6">
        <w:rPr>
          <w:rFonts w:ascii="Times New Roman" w:hAnsi="Times New Roman" w:cs="Times New Roman"/>
          <w:sz w:val="24"/>
          <w:szCs w:val="24"/>
          <w:u w:val="single"/>
        </w:rPr>
        <w:t xml:space="preserve"> or not it has been attained in any particular case has to be decided in the light of all relevant </w:t>
      </w:r>
      <w:r w:rsidR="004E70E6" w:rsidRPr="004E70E6">
        <w:rPr>
          <w:rFonts w:ascii="Times New Roman" w:hAnsi="Times New Roman" w:cs="Times New Roman"/>
          <w:sz w:val="24"/>
          <w:szCs w:val="24"/>
          <w:u w:val="single"/>
        </w:rPr>
        <w:t>facts, which can vary almost infinitely</w:t>
      </w:r>
      <w:r w:rsidR="004E70E6" w:rsidRPr="004E70E6">
        <w:rPr>
          <w:rFonts w:ascii="Times New Roman" w:hAnsi="Times New Roman" w:cs="Times New Roman"/>
          <w:sz w:val="24"/>
          <w:szCs w:val="24"/>
        </w:rPr>
        <w:t>.”  [ emphasis added].</w:t>
      </w:r>
    </w:p>
    <w:p w14:paraId="2CAE762B" w14:textId="184E578A" w:rsidR="008E3F52" w:rsidRDefault="004E70E6" w:rsidP="001030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E9A">
        <w:rPr>
          <w:rFonts w:ascii="Times New Roman" w:hAnsi="Times New Roman" w:cs="Times New Roman"/>
          <w:sz w:val="24"/>
          <w:szCs w:val="24"/>
        </w:rPr>
        <w:t xml:space="preserve">57] </w:t>
      </w:r>
      <w:r>
        <w:rPr>
          <w:rFonts w:ascii="Times New Roman" w:hAnsi="Times New Roman" w:cs="Times New Roman"/>
          <w:sz w:val="24"/>
          <w:szCs w:val="24"/>
        </w:rPr>
        <w:t xml:space="preserve">The above two authorities </w:t>
      </w:r>
      <w:r w:rsidR="00881E9A">
        <w:rPr>
          <w:rFonts w:ascii="Times New Roman" w:hAnsi="Times New Roman" w:cs="Times New Roman"/>
          <w:sz w:val="24"/>
          <w:szCs w:val="24"/>
        </w:rPr>
        <w:t xml:space="preserve">accentuate the relevance of placing before the </w:t>
      </w:r>
      <w:r w:rsidR="009A7188">
        <w:rPr>
          <w:rFonts w:ascii="Times New Roman" w:hAnsi="Times New Roman" w:cs="Times New Roman"/>
          <w:sz w:val="24"/>
          <w:szCs w:val="24"/>
        </w:rPr>
        <w:t>court, facts necessary</w:t>
      </w:r>
      <w:r w:rsidR="00881E9A" w:rsidRPr="00881E9A">
        <w:rPr>
          <w:rFonts w:ascii="Times New Roman" w:hAnsi="Times New Roman" w:cs="Times New Roman"/>
          <w:sz w:val="24"/>
          <w:szCs w:val="24"/>
        </w:rPr>
        <w:t xml:space="preserve"> to </w:t>
      </w:r>
      <w:r w:rsidR="009A7188" w:rsidRPr="00881E9A">
        <w:rPr>
          <w:rFonts w:ascii="Times New Roman" w:hAnsi="Times New Roman" w:cs="Times New Roman"/>
          <w:sz w:val="24"/>
          <w:szCs w:val="24"/>
        </w:rPr>
        <w:t>establish, not</w:t>
      </w:r>
      <w:r w:rsidR="00F51449">
        <w:rPr>
          <w:rFonts w:ascii="Times New Roman" w:hAnsi="Times New Roman" w:cs="Times New Roman"/>
          <w:sz w:val="24"/>
          <w:szCs w:val="24"/>
        </w:rPr>
        <w:t xml:space="preserve"> just </w:t>
      </w:r>
      <w:r w:rsidR="00881E9A" w:rsidRPr="00881E9A">
        <w:rPr>
          <w:rFonts w:ascii="Times New Roman" w:hAnsi="Times New Roman" w:cs="Times New Roman"/>
          <w:sz w:val="24"/>
          <w:szCs w:val="24"/>
        </w:rPr>
        <w:t xml:space="preserve">the parties` contract, but how it was performed. Herein, the factual </w:t>
      </w:r>
      <w:r w:rsidR="009552C3">
        <w:rPr>
          <w:rFonts w:ascii="Times New Roman" w:hAnsi="Times New Roman" w:cs="Times New Roman"/>
          <w:sz w:val="24"/>
          <w:szCs w:val="24"/>
        </w:rPr>
        <w:t xml:space="preserve">foundation </w:t>
      </w:r>
      <w:r w:rsidR="00881E9A" w:rsidRPr="00881E9A">
        <w:rPr>
          <w:rFonts w:ascii="Times New Roman" w:hAnsi="Times New Roman" w:cs="Times New Roman"/>
          <w:sz w:val="24"/>
          <w:szCs w:val="24"/>
        </w:rPr>
        <w:t>is insufficient to support a meaningful inquiry and conclusion in that regard. It is my view that these matters ought to have been canvassed more robustly. I may refer</w:t>
      </w:r>
      <w:r w:rsidR="00881E9A">
        <w:rPr>
          <w:rFonts w:ascii="Times New Roman" w:hAnsi="Times New Roman" w:cs="Times New Roman"/>
          <w:sz w:val="24"/>
          <w:szCs w:val="24"/>
        </w:rPr>
        <w:t xml:space="preserve"> to the discourse and issues traversed, for example, in </w:t>
      </w:r>
      <w:r w:rsidR="00881E9A" w:rsidRPr="00303A0C">
        <w:rPr>
          <w:rFonts w:ascii="Times New Roman" w:hAnsi="Times New Roman" w:cs="Times New Roman"/>
          <w:i/>
          <w:iCs/>
          <w:sz w:val="24"/>
          <w:szCs w:val="24"/>
        </w:rPr>
        <w:t xml:space="preserve">Legacy Hospitality Management Services Limited v African Sun &amp; Anor </w:t>
      </w:r>
      <w:r w:rsidR="00881E9A">
        <w:rPr>
          <w:rFonts w:ascii="Times New Roman" w:hAnsi="Times New Roman" w:cs="Times New Roman"/>
          <w:sz w:val="24"/>
          <w:szCs w:val="24"/>
        </w:rPr>
        <w:t>SC 43-22</w:t>
      </w:r>
    </w:p>
    <w:p w14:paraId="172348AC" w14:textId="7F302F3F" w:rsidR="0064675F" w:rsidRDefault="00755A1B"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0311AF">
        <w:rPr>
          <w:rFonts w:ascii="Times New Roman" w:hAnsi="Times New Roman" w:cs="Times New Roman"/>
          <w:sz w:val="24"/>
          <w:szCs w:val="24"/>
        </w:rPr>
        <w:t>8</w:t>
      </w:r>
      <w:r>
        <w:rPr>
          <w:rFonts w:ascii="Times New Roman" w:hAnsi="Times New Roman" w:cs="Times New Roman"/>
          <w:sz w:val="24"/>
          <w:szCs w:val="24"/>
        </w:rPr>
        <w:t xml:space="preserve">] </w:t>
      </w:r>
      <w:r w:rsidR="000311AF">
        <w:rPr>
          <w:rFonts w:ascii="Times New Roman" w:hAnsi="Times New Roman" w:cs="Times New Roman"/>
          <w:sz w:val="24"/>
          <w:szCs w:val="24"/>
        </w:rPr>
        <w:t>Additionally, the</w:t>
      </w:r>
      <w:r w:rsidR="00D14CF2">
        <w:rPr>
          <w:rFonts w:ascii="Times New Roman" w:hAnsi="Times New Roman" w:cs="Times New Roman"/>
          <w:sz w:val="24"/>
          <w:szCs w:val="24"/>
        </w:rPr>
        <w:t xml:space="preserve"> effect</w:t>
      </w:r>
      <w:r w:rsidR="00881E9A">
        <w:rPr>
          <w:rFonts w:ascii="Times New Roman" w:hAnsi="Times New Roman" w:cs="Times New Roman"/>
          <w:sz w:val="24"/>
          <w:szCs w:val="24"/>
        </w:rPr>
        <w:t xml:space="preserve"> </w:t>
      </w:r>
      <w:r>
        <w:rPr>
          <w:rFonts w:ascii="Times New Roman" w:hAnsi="Times New Roman" w:cs="Times New Roman"/>
          <w:sz w:val="24"/>
          <w:szCs w:val="24"/>
        </w:rPr>
        <w:t xml:space="preserve">of </w:t>
      </w:r>
      <w:r w:rsidR="009125DF">
        <w:rPr>
          <w:rFonts w:ascii="Times New Roman" w:hAnsi="Times New Roman" w:cs="Times New Roman"/>
          <w:sz w:val="24"/>
          <w:szCs w:val="24"/>
        </w:rPr>
        <w:t>the administrative</w:t>
      </w:r>
      <w:r w:rsidR="00D14CF2">
        <w:rPr>
          <w:rFonts w:ascii="Times New Roman" w:hAnsi="Times New Roman" w:cs="Times New Roman"/>
          <w:sz w:val="24"/>
          <w:szCs w:val="24"/>
        </w:rPr>
        <w:t xml:space="preserve"> </w:t>
      </w:r>
      <w:r>
        <w:rPr>
          <w:rFonts w:ascii="Times New Roman" w:hAnsi="Times New Roman" w:cs="Times New Roman"/>
          <w:sz w:val="24"/>
          <w:szCs w:val="24"/>
        </w:rPr>
        <w:t xml:space="preserve">dimension </w:t>
      </w:r>
      <w:r w:rsidR="000311AF">
        <w:rPr>
          <w:rFonts w:ascii="Times New Roman" w:hAnsi="Times New Roman" w:cs="Times New Roman"/>
          <w:sz w:val="24"/>
          <w:szCs w:val="24"/>
        </w:rPr>
        <w:t xml:space="preserve">on the present claim </w:t>
      </w:r>
      <w:r w:rsidR="00D14CF2">
        <w:rPr>
          <w:rFonts w:ascii="Times New Roman" w:hAnsi="Times New Roman" w:cs="Times New Roman"/>
          <w:sz w:val="24"/>
          <w:szCs w:val="24"/>
        </w:rPr>
        <w:t>was also not fully addressed</w:t>
      </w:r>
      <w:r>
        <w:rPr>
          <w:rFonts w:ascii="Times New Roman" w:hAnsi="Times New Roman" w:cs="Times New Roman"/>
          <w:sz w:val="24"/>
          <w:szCs w:val="24"/>
        </w:rPr>
        <w:t xml:space="preserve"> in Magic Software`s claim</w:t>
      </w:r>
      <w:r w:rsidR="00D14CF2">
        <w:rPr>
          <w:rFonts w:ascii="Times New Roman" w:hAnsi="Times New Roman" w:cs="Times New Roman"/>
          <w:sz w:val="24"/>
          <w:szCs w:val="24"/>
        </w:rPr>
        <w:t xml:space="preserve">. </w:t>
      </w:r>
      <w:r w:rsidR="0064675F">
        <w:rPr>
          <w:rFonts w:ascii="Times New Roman" w:hAnsi="Times New Roman" w:cs="Times New Roman"/>
          <w:sz w:val="24"/>
          <w:szCs w:val="24"/>
        </w:rPr>
        <w:t xml:space="preserve">The exact status of the blocked funds as well as outstanding appeal become issues relevant to </w:t>
      </w:r>
      <w:r w:rsidR="004657E7">
        <w:rPr>
          <w:rFonts w:ascii="Times New Roman" w:hAnsi="Times New Roman" w:cs="Times New Roman"/>
          <w:sz w:val="24"/>
          <w:szCs w:val="24"/>
        </w:rPr>
        <w:t xml:space="preserve">the </w:t>
      </w:r>
      <w:r w:rsidR="0064675F">
        <w:rPr>
          <w:rFonts w:ascii="Times New Roman" w:hAnsi="Times New Roman" w:cs="Times New Roman"/>
          <w:sz w:val="24"/>
          <w:szCs w:val="24"/>
        </w:rPr>
        <w:t xml:space="preserve">(wide) </w:t>
      </w:r>
      <w:r w:rsidR="009552C3">
        <w:rPr>
          <w:rFonts w:ascii="Times New Roman" w:hAnsi="Times New Roman" w:cs="Times New Roman"/>
          <w:sz w:val="24"/>
          <w:szCs w:val="24"/>
        </w:rPr>
        <w:t xml:space="preserve">general </w:t>
      </w:r>
      <w:r w:rsidR="0064675F">
        <w:rPr>
          <w:rFonts w:ascii="Times New Roman" w:hAnsi="Times New Roman" w:cs="Times New Roman"/>
          <w:sz w:val="24"/>
          <w:szCs w:val="24"/>
        </w:rPr>
        <w:t>inquir</w:t>
      </w:r>
      <w:r w:rsidR="004657E7">
        <w:rPr>
          <w:rFonts w:ascii="Times New Roman" w:hAnsi="Times New Roman" w:cs="Times New Roman"/>
          <w:sz w:val="24"/>
          <w:szCs w:val="24"/>
        </w:rPr>
        <w:t xml:space="preserve">ies </w:t>
      </w:r>
      <w:r w:rsidR="009552C3">
        <w:rPr>
          <w:rFonts w:ascii="Times New Roman" w:hAnsi="Times New Roman" w:cs="Times New Roman"/>
          <w:sz w:val="24"/>
          <w:szCs w:val="24"/>
        </w:rPr>
        <w:t>necessitated by the declaratory</w:t>
      </w:r>
      <w:r w:rsidR="004657E7">
        <w:rPr>
          <w:rFonts w:ascii="Times New Roman" w:hAnsi="Times New Roman" w:cs="Times New Roman"/>
          <w:sz w:val="24"/>
          <w:szCs w:val="24"/>
        </w:rPr>
        <w:t xml:space="preserve"> relief</w:t>
      </w:r>
      <w:r w:rsidR="009552C3">
        <w:rPr>
          <w:rFonts w:ascii="Times New Roman" w:hAnsi="Times New Roman" w:cs="Times New Roman"/>
          <w:sz w:val="24"/>
          <w:szCs w:val="24"/>
        </w:rPr>
        <w:t xml:space="preserve"> sought</w:t>
      </w:r>
      <w:r w:rsidR="00F51449">
        <w:rPr>
          <w:rFonts w:ascii="Times New Roman" w:hAnsi="Times New Roman" w:cs="Times New Roman"/>
          <w:sz w:val="24"/>
          <w:szCs w:val="24"/>
        </w:rPr>
        <w:t>,</w:t>
      </w:r>
      <w:r w:rsidR="004657E7">
        <w:rPr>
          <w:rFonts w:ascii="Times New Roman" w:hAnsi="Times New Roman" w:cs="Times New Roman"/>
          <w:sz w:val="24"/>
          <w:szCs w:val="24"/>
        </w:rPr>
        <w:t xml:space="preserve"> and specifically </w:t>
      </w:r>
      <w:r w:rsidR="0064675F">
        <w:rPr>
          <w:rFonts w:ascii="Times New Roman" w:hAnsi="Times New Roman" w:cs="Times New Roman"/>
          <w:sz w:val="24"/>
          <w:szCs w:val="24"/>
        </w:rPr>
        <w:t>under section 44C (2) (b).</w:t>
      </w:r>
    </w:p>
    <w:p w14:paraId="673BDB01" w14:textId="76918B47" w:rsidR="0064675F" w:rsidRDefault="0064675F" w:rsidP="008E65A8">
      <w:pPr>
        <w:spacing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[5</w:t>
      </w:r>
      <w:r w:rsidR="000311AF">
        <w:rPr>
          <w:rFonts w:ascii="Times New Roman" w:hAnsi="Times New Roman" w:cs="Times New Roman"/>
          <w:sz w:val="24"/>
          <w:szCs w:val="24"/>
        </w:rPr>
        <w:t>9</w:t>
      </w:r>
      <w:r>
        <w:rPr>
          <w:rFonts w:ascii="Times New Roman" w:hAnsi="Times New Roman" w:cs="Times New Roman"/>
          <w:sz w:val="24"/>
          <w:szCs w:val="24"/>
        </w:rPr>
        <w:t xml:space="preserve">] To this extent, it might have been desirable, for completeness, for Magic Software to clarify further, why it had deigned to test the administrative decision to oust its application for blocked funds. </w:t>
      </w:r>
      <w:r w:rsidR="00755A1B">
        <w:rPr>
          <w:rFonts w:ascii="Times New Roman" w:hAnsi="Times New Roman" w:cs="Times New Roman"/>
          <w:sz w:val="24"/>
          <w:szCs w:val="24"/>
        </w:rPr>
        <w:t xml:space="preserve">The relationship between declaratory relief </w:t>
      </w:r>
      <w:r w:rsidR="00506AFB">
        <w:rPr>
          <w:rFonts w:ascii="Times New Roman" w:hAnsi="Times New Roman" w:cs="Times New Roman"/>
          <w:sz w:val="24"/>
          <w:szCs w:val="24"/>
        </w:rPr>
        <w:t xml:space="preserve">mounted as review proceedings </w:t>
      </w:r>
      <w:r>
        <w:rPr>
          <w:rFonts w:ascii="Times New Roman" w:hAnsi="Times New Roman" w:cs="Times New Roman"/>
          <w:sz w:val="24"/>
          <w:szCs w:val="24"/>
        </w:rPr>
        <w:t xml:space="preserve">is </w:t>
      </w:r>
      <w:r>
        <w:rPr>
          <w:rFonts w:ascii="Times New Roman" w:hAnsi="Times New Roman" w:cs="Times New Roman"/>
          <w:sz w:val="24"/>
          <w:szCs w:val="24"/>
        </w:rPr>
        <w:lastRenderedPageBreak/>
        <w:t xml:space="preserve">well-known, as </w:t>
      </w:r>
      <w:r w:rsidR="00755A1B">
        <w:rPr>
          <w:rFonts w:ascii="Times New Roman" w:hAnsi="Times New Roman" w:cs="Times New Roman"/>
          <w:sz w:val="24"/>
          <w:szCs w:val="24"/>
        </w:rPr>
        <w:t xml:space="preserve">discussed in </w:t>
      </w:r>
      <w:r w:rsidR="00755A1B" w:rsidRPr="00755A1B">
        <w:rPr>
          <w:rFonts w:ascii="Times New Roman" w:eastAsia="Calibri" w:hAnsi="Times New Roman" w:cs="Times New Roman"/>
          <w:i/>
          <w:kern w:val="0"/>
          <w:sz w:val="24"/>
          <w:szCs w:val="24"/>
          <w14:ligatures w14:val="none"/>
        </w:rPr>
        <w:t>Geddes Ltd</w:t>
      </w:r>
      <w:r w:rsidR="00755A1B" w:rsidRPr="00755A1B">
        <w:rPr>
          <w:rFonts w:ascii="Times New Roman" w:eastAsia="Calibri" w:hAnsi="Times New Roman" w:cs="Times New Roman"/>
          <w:kern w:val="0"/>
          <w:sz w:val="24"/>
          <w:szCs w:val="24"/>
          <w14:ligatures w14:val="none"/>
        </w:rPr>
        <w:t xml:space="preserve"> v </w:t>
      </w:r>
      <w:r w:rsidR="00755A1B" w:rsidRPr="00755A1B">
        <w:rPr>
          <w:rFonts w:ascii="Times New Roman" w:eastAsia="Calibri" w:hAnsi="Times New Roman" w:cs="Times New Roman"/>
          <w:i/>
          <w:kern w:val="0"/>
          <w:sz w:val="24"/>
          <w:szCs w:val="24"/>
          <w14:ligatures w14:val="none"/>
        </w:rPr>
        <w:t>Tawonezvi</w:t>
      </w:r>
      <w:r w:rsidR="00755A1B" w:rsidRPr="00755A1B">
        <w:rPr>
          <w:rFonts w:ascii="Times New Roman" w:eastAsia="Calibri" w:hAnsi="Times New Roman" w:cs="Times New Roman"/>
          <w:kern w:val="0"/>
          <w:sz w:val="24"/>
          <w:szCs w:val="24"/>
          <w14:ligatures w14:val="none"/>
        </w:rPr>
        <w:t xml:space="preserve"> 2002 (1) ZLR 479 (S)</w:t>
      </w:r>
      <w:r>
        <w:rPr>
          <w:rFonts w:ascii="Times New Roman" w:eastAsia="Calibri" w:hAnsi="Times New Roman" w:cs="Times New Roman"/>
          <w:kern w:val="0"/>
          <w:sz w:val="24"/>
          <w:szCs w:val="24"/>
          <w14:ligatures w14:val="none"/>
        </w:rPr>
        <w:t xml:space="preserve"> and other authorities. </w:t>
      </w:r>
    </w:p>
    <w:p w14:paraId="3FD785D0" w14:textId="1B5BCCB1" w:rsidR="00506AFB" w:rsidRDefault="00B9411B"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311AF">
        <w:rPr>
          <w:rFonts w:ascii="Times New Roman" w:hAnsi="Times New Roman" w:cs="Times New Roman"/>
          <w:sz w:val="24"/>
          <w:szCs w:val="24"/>
        </w:rPr>
        <w:t>60</w:t>
      </w:r>
      <w:r>
        <w:rPr>
          <w:rFonts w:ascii="Times New Roman" w:hAnsi="Times New Roman" w:cs="Times New Roman"/>
          <w:sz w:val="24"/>
          <w:szCs w:val="24"/>
        </w:rPr>
        <w:t xml:space="preserve">] </w:t>
      </w:r>
      <w:r w:rsidR="0010306C">
        <w:rPr>
          <w:rFonts w:ascii="Times New Roman" w:hAnsi="Times New Roman" w:cs="Times New Roman"/>
          <w:sz w:val="24"/>
          <w:szCs w:val="24"/>
        </w:rPr>
        <w:t>On the basis of the above, I</w:t>
      </w:r>
      <w:r w:rsidR="008056E7">
        <w:rPr>
          <w:rFonts w:ascii="Times New Roman" w:hAnsi="Times New Roman" w:cs="Times New Roman"/>
          <w:sz w:val="24"/>
          <w:szCs w:val="24"/>
        </w:rPr>
        <w:t xml:space="preserve"> am not persuaded that Magic Software properly establish</w:t>
      </w:r>
      <w:r w:rsidR="0064675F">
        <w:rPr>
          <w:rFonts w:ascii="Times New Roman" w:hAnsi="Times New Roman" w:cs="Times New Roman"/>
          <w:sz w:val="24"/>
          <w:szCs w:val="24"/>
        </w:rPr>
        <w:t>ed</w:t>
      </w:r>
      <w:r w:rsidR="008056E7">
        <w:rPr>
          <w:rFonts w:ascii="Times New Roman" w:hAnsi="Times New Roman" w:cs="Times New Roman"/>
          <w:sz w:val="24"/>
          <w:szCs w:val="24"/>
        </w:rPr>
        <w:t xml:space="preserve"> a claim of rights based on </w:t>
      </w:r>
      <w:r w:rsidR="00814EB4">
        <w:rPr>
          <w:rFonts w:ascii="Times New Roman" w:hAnsi="Times New Roman" w:cs="Times New Roman"/>
          <w:sz w:val="24"/>
          <w:szCs w:val="24"/>
        </w:rPr>
        <w:t>contract. Especially having regard to the gravity of the declarations sought, and opposition mounted against them.</w:t>
      </w:r>
      <w:r w:rsidR="0010306C">
        <w:rPr>
          <w:rFonts w:ascii="Times New Roman" w:hAnsi="Times New Roman" w:cs="Times New Roman"/>
          <w:sz w:val="24"/>
          <w:szCs w:val="24"/>
        </w:rPr>
        <w:t xml:space="preserve"> I thus move to examine the second aspect of Magic Software’s claim that the funds constituted a foreign obligation as defined by section 44C (2) (b) of the RBZ Act.</w:t>
      </w:r>
    </w:p>
    <w:p w14:paraId="448B4800" w14:textId="1F75754F" w:rsidR="00C3658D" w:rsidRDefault="00C3658D"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WAS THE OBLIGATION</w:t>
      </w:r>
      <w:r w:rsidR="008056E7">
        <w:rPr>
          <w:rFonts w:ascii="Times New Roman" w:hAnsi="Times New Roman" w:cs="Times New Roman"/>
          <w:sz w:val="24"/>
          <w:szCs w:val="24"/>
        </w:rPr>
        <w:t xml:space="preserve"> A </w:t>
      </w:r>
      <w:r w:rsidR="00F51449">
        <w:rPr>
          <w:rFonts w:ascii="Times New Roman" w:hAnsi="Times New Roman" w:cs="Times New Roman"/>
          <w:sz w:val="24"/>
          <w:szCs w:val="24"/>
        </w:rPr>
        <w:t>“</w:t>
      </w:r>
      <w:r w:rsidR="008056E7">
        <w:rPr>
          <w:rFonts w:ascii="Times New Roman" w:hAnsi="Times New Roman" w:cs="Times New Roman"/>
          <w:sz w:val="24"/>
          <w:szCs w:val="24"/>
        </w:rPr>
        <w:t xml:space="preserve">FOREIGN LOAN AND FOREIGN OBLIGATION </w:t>
      </w:r>
      <w:r>
        <w:rPr>
          <w:rFonts w:ascii="Times New Roman" w:hAnsi="Times New Roman" w:cs="Times New Roman"/>
          <w:sz w:val="24"/>
          <w:szCs w:val="24"/>
        </w:rPr>
        <w:t>DENOMINATED IN FOREIGN CURRENCY</w:t>
      </w:r>
      <w:r w:rsidR="00F51449">
        <w:rPr>
          <w:rFonts w:ascii="Times New Roman" w:hAnsi="Times New Roman" w:cs="Times New Roman"/>
          <w:sz w:val="24"/>
          <w:szCs w:val="24"/>
        </w:rPr>
        <w:t>”</w:t>
      </w:r>
      <w:r>
        <w:rPr>
          <w:rFonts w:ascii="Times New Roman" w:hAnsi="Times New Roman" w:cs="Times New Roman"/>
          <w:sz w:val="24"/>
          <w:szCs w:val="24"/>
        </w:rPr>
        <w:t>?</w:t>
      </w:r>
    </w:p>
    <w:p w14:paraId="6A64DCE5" w14:textId="60AD3E1F" w:rsidR="00303A0C" w:rsidRDefault="00303A0C"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311AF">
        <w:rPr>
          <w:rFonts w:ascii="Times New Roman" w:hAnsi="Times New Roman" w:cs="Times New Roman"/>
          <w:sz w:val="24"/>
          <w:szCs w:val="24"/>
        </w:rPr>
        <w:t>61</w:t>
      </w:r>
      <w:r w:rsidR="00B9411B">
        <w:rPr>
          <w:rFonts w:ascii="Times New Roman" w:hAnsi="Times New Roman" w:cs="Times New Roman"/>
          <w:sz w:val="24"/>
          <w:szCs w:val="24"/>
        </w:rPr>
        <w:t>] I</w:t>
      </w:r>
      <w:r w:rsidR="00200B8A">
        <w:rPr>
          <w:rFonts w:ascii="Times New Roman" w:hAnsi="Times New Roman" w:cs="Times New Roman"/>
          <w:sz w:val="24"/>
          <w:szCs w:val="24"/>
        </w:rPr>
        <w:t xml:space="preserve"> set out th</w:t>
      </w:r>
      <w:r w:rsidR="009552C3">
        <w:rPr>
          <w:rFonts w:ascii="Times New Roman" w:hAnsi="Times New Roman" w:cs="Times New Roman"/>
          <w:sz w:val="24"/>
          <w:szCs w:val="24"/>
        </w:rPr>
        <w:t xml:space="preserve">e requisite </w:t>
      </w:r>
      <w:r w:rsidR="00200B8A">
        <w:rPr>
          <w:rFonts w:ascii="Times New Roman" w:hAnsi="Times New Roman" w:cs="Times New Roman"/>
          <w:sz w:val="24"/>
          <w:szCs w:val="24"/>
        </w:rPr>
        <w:t xml:space="preserve">provision </w:t>
      </w:r>
      <w:r w:rsidR="009552C3">
        <w:rPr>
          <w:rFonts w:ascii="Times New Roman" w:hAnsi="Times New Roman" w:cs="Times New Roman"/>
          <w:sz w:val="24"/>
          <w:szCs w:val="24"/>
        </w:rPr>
        <w:t xml:space="preserve">of the RBZ Act </w:t>
      </w:r>
      <w:r w:rsidR="00200B8A">
        <w:rPr>
          <w:rFonts w:ascii="Times New Roman" w:hAnsi="Times New Roman" w:cs="Times New Roman"/>
          <w:sz w:val="24"/>
          <w:szCs w:val="24"/>
        </w:rPr>
        <w:t>below; -</w:t>
      </w:r>
    </w:p>
    <w:p w14:paraId="21A3419C" w14:textId="77777777" w:rsidR="00200B8A" w:rsidRPr="00200B8A" w:rsidRDefault="00200B8A" w:rsidP="00200B8A">
      <w:pPr>
        <w:spacing w:line="360" w:lineRule="auto"/>
        <w:ind w:left="1134"/>
        <w:jc w:val="both"/>
        <w:rPr>
          <w:rFonts w:ascii="Times New Roman" w:hAnsi="Times New Roman" w:cs="Times New Roman"/>
          <w:sz w:val="24"/>
          <w:szCs w:val="24"/>
          <w:u w:val="single"/>
        </w:rPr>
      </w:pPr>
      <w:r w:rsidRPr="00200B8A">
        <w:rPr>
          <w:rFonts w:ascii="Times New Roman" w:hAnsi="Times New Roman" w:cs="Times New Roman"/>
          <w:sz w:val="24"/>
          <w:szCs w:val="24"/>
          <w:u w:val="single"/>
        </w:rPr>
        <w:t xml:space="preserve">44C Issuance and legal tender of electronic currency </w:t>
      </w:r>
    </w:p>
    <w:p w14:paraId="4222A709" w14:textId="77777777" w:rsidR="00200B8A" w:rsidRPr="00200B8A" w:rsidRDefault="00200B8A" w:rsidP="00200B8A">
      <w:pPr>
        <w:spacing w:line="360" w:lineRule="auto"/>
        <w:ind w:left="1134"/>
        <w:jc w:val="both"/>
        <w:rPr>
          <w:rFonts w:ascii="Times New Roman" w:hAnsi="Times New Roman" w:cs="Times New Roman"/>
          <w:sz w:val="24"/>
          <w:szCs w:val="24"/>
        </w:rPr>
      </w:pPr>
      <w:r w:rsidRPr="00200B8A">
        <w:rPr>
          <w:rFonts w:ascii="Times New Roman" w:hAnsi="Times New Roman" w:cs="Times New Roman"/>
          <w:sz w:val="24"/>
          <w:szCs w:val="24"/>
        </w:rPr>
        <w:t xml:space="preserve">(1) In addition to its powers to issue banknotes and coins in terms of this Act and subject to subsection (3), the Bank shall have the sole power to issue or cause to be issued electronic currency in Zimbabwe. </w:t>
      </w:r>
    </w:p>
    <w:p w14:paraId="27234025" w14:textId="77777777" w:rsidR="00200B8A" w:rsidRPr="00200B8A" w:rsidRDefault="00200B8A" w:rsidP="00200B8A">
      <w:pPr>
        <w:spacing w:line="360" w:lineRule="auto"/>
        <w:ind w:left="1134"/>
        <w:jc w:val="both"/>
        <w:rPr>
          <w:rFonts w:ascii="Times New Roman" w:hAnsi="Times New Roman" w:cs="Times New Roman"/>
          <w:sz w:val="24"/>
          <w:szCs w:val="24"/>
        </w:rPr>
      </w:pPr>
      <w:r w:rsidRPr="00200B8A">
        <w:rPr>
          <w:rFonts w:ascii="Times New Roman" w:hAnsi="Times New Roman" w:cs="Times New Roman"/>
          <w:sz w:val="24"/>
          <w:szCs w:val="24"/>
        </w:rPr>
        <w:t xml:space="preserve">(2) For the avoidance of doubt it is declared that the issuance of any electronic currency shall not affect or apply in respect of— </w:t>
      </w:r>
    </w:p>
    <w:p w14:paraId="2C4CF15B" w14:textId="77777777" w:rsidR="00200B8A" w:rsidRPr="00200B8A" w:rsidRDefault="00200B8A" w:rsidP="00200B8A">
      <w:pPr>
        <w:spacing w:line="360" w:lineRule="auto"/>
        <w:ind w:left="1134"/>
        <w:jc w:val="both"/>
        <w:rPr>
          <w:rFonts w:ascii="Times New Roman" w:hAnsi="Times New Roman" w:cs="Times New Roman"/>
          <w:sz w:val="24"/>
          <w:szCs w:val="24"/>
        </w:rPr>
      </w:pPr>
      <w:r w:rsidRPr="00200B8A">
        <w:rPr>
          <w:rFonts w:ascii="Times New Roman" w:hAnsi="Times New Roman" w:cs="Times New Roman"/>
          <w:sz w:val="24"/>
          <w:szCs w:val="24"/>
        </w:rPr>
        <w:t xml:space="preserve">(a) funds held in </w:t>
      </w:r>
      <w:r w:rsidRPr="00200B8A">
        <w:rPr>
          <w:rFonts w:ascii="Times New Roman" w:hAnsi="Times New Roman" w:cs="Times New Roman"/>
          <w:sz w:val="24"/>
          <w:szCs w:val="24"/>
          <w:u w:val="single"/>
        </w:rPr>
        <w:t>nostro foreign currency accounts</w:t>
      </w:r>
      <w:r w:rsidRPr="00200B8A">
        <w:rPr>
          <w:rFonts w:ascii="Times New Roman" w:hAnsi="Times New Roman" w:cs="Times New Roman"/>
          <w:sz w:val="24"/>
          <w:szCs w:val="24"/>
        </w:rPr>
        <w:t>, which shall continue to be designated in such foreign currencies; and</w:t>
      </w:r>
    </w:p>
    <w:p w14:paraId="4619BEE9" w14:textId="77777777" w:rsidR="00200B8A" w:rsidRPr="00200B8A" w:rsidRDefault="00200B8A" w:rsidP="00200B8A">
      <w:pPr>
        <w:spacing w:line="360" w:lineRule="auto"/>
        <w:ind w:left="1134"/>
        <w:jc w:val="both"/>
        <w:rPr>
          <w:rFonts w:ascii="Times New Roman" w:hAnsi="Times New Roman" w:cs="Times New Roman"/>
          <w:sz w:val="24"/>
          <w:szCs w:val="24"/>
          <w:u w:val="single"/>
        </w:rPr>
      </w:pPr>
      <w:r w:rsidRPr="00200B8A">
        <w:rPr>
          <w:rFonts w:ascii="Times New Roman" w:hAnsi="Times New Roman" w:cs="Times New Roman"/>
          <w:sz w:val="24"/>
          <w:szCs w:val="24"/>
        </w:rPr>
        <w:t xml:space="preserve"> (b) </w:t>
      </w:r>
      <w:r w:rsidRPr="00200B8A">
        <w:rPr>
          <w:rFonts w:ascii="Times New Roman" w:hAnsi="Times New Roman" w:cs="Times New Roman"/>
          <w:sz w:val="24"/>
          <w:szCs w:val="24"/>
          <w:u w:val="single"/>
        </w:rPr>
        <w:t xml:space="preserve">foreign loans and foreign obligations </w:t>
      </w:r>
      <w:r w:rsidRPr="00200B8A">
        <w:rPr>
          <w:rFonts w:ascii="Times New Roman" w:hAnsi="Times New Roman" w:cs="Times New Roman"/>
          <w:i/>
          <w:iCs/>
          <w:sz w:val="24"/>
          <w:szCs w:val="24"/>
          <w:u w:val="single"/>
        </w:rPr>
        <w:t>denominated in any foreign currency</w:t>
      </w:r>
      <w:r w:rsidRPr="00200B8A">
        <w:rPr>
          <w:rFonts w:ascii="Times New Roman" w:hAnsi="Times New Roman" w:cs="Times New Roman"/>
          <w:sz w:val="24"/>
          <w:szCs w:val="24"/>
          <w:u w:val="single"/>
        </w:rPr>
        <w:t xml:space="preserve">, which shall continue to be payable in such foreign currency. </w:t>
      </w:r>
    </w:p>
    <w:p w14:paraId="5F2AB2EF" w14:textId="77777777" w:rsidR="00200B8A" w:rsidRPr="00200B8A" w:rsidRDefault="00200B8A" w:rsidP="00200B8A">
      <w:pPr>
        <w:spacing w:line="360" w:lineRule="auto"/>
        <w:ind w:left="1134"/>
        <w:jc w:val="both"/>
        <w:rPr>
          <w:rFonts w:ascii="Times New Roman" w:hAnsi="Times New Roman" w:cs="Times New Roman"/>
          <w:sz w:val="24"/>
          <w:szCs w:val="24"/>
        </w:rPr>
      </w:pPr>
      <w:r w:rsidRPr="00200B8A">
        <w:rPr>
          <w:rFonts w:ascii="Times New Roman" w:hAnsi="Times New Roman" w:cs="Times New Roman"/>
          <w:sz w:val="24"/>
          <w:szCs w:val="24"/>
        </w:rPr>
        <w:t xml:space="preserve">(3) The Bank shall not issue any electronic currency unless the Minister has, by statutory instrument specified— </w:t>
      </w:r>
    </w:p>
    <w:p w14:paraId="43BA5001" w14:textId="77777777" w:rsidR="00200B8A" w:rsidRPr="00200B8A" w:rsidRDefault="00200B8A" w:rsidP="00200B8A">
      <w:pPr>
        <w:spacing w:line="360" w:lineRule="auto"/>
        <w:ind w:left="1134"/>
        <w:jc w:val="both"/>
        <w:rPr>
          <w:rFonts w:ascii="Times New Roman" w:hAnsi="Times New Roman" w:cs="Times New Roman"/>
          <w:sz w:val="24"/>
          <w:szCs w:val="24"/>
        </w:rPr>
      </w:pPr>
      <w:r w:rsidRPr="00200B8A">
        <w:rPr>
          <w:rFonts w:ascii="Times New Roman" w:hAnsi="Times New Roman" w:cs="Times New Roman"/>
          <w:sz w:val="24"/>
          <w:szCs w:val="24"/>
        </w:rPr>
        <w:t>(a) the name of the electronic currency and its rate of exchange in relation to any other foreign or domestic currency; and Finance (No. 2) 461 2019 No. 7</w:t>
      </w:r>
    </w:p>
    <w:p w14:paraId="467CD431" w14:textId="77777777" w:rsidR="00200B8A" w:rsidRPr="00200B8A" w:rsidRDefault="00200B8A" w:rsidP="00200B8A">
      <w:pPr>
        <w:spacing w:line="360" w:lineRule="auto"/>
        <w:ind w:left="1134"/>
        <w:jc w:val="both"/>
        <w:rPr>
          <w:rFonts w:ascii="Times New Roman" w:hAnsi="Times New Roman" w:cs="Times New Roman"/>
          <w:sz w:val="24"/>
          <w:szCs w:val="24"/>
        </w:rPr>
      </w:pPr>
      <w:r w:rsidRPr="00200B8A">
        <w:rPr>
          <w:rFonts w:ascii="Times New Roman" w:hAnsi="Times New Roman" w:cs="Times New Roman"/>
          <w:sz w:val="24"/>
          <w:szCs w:val="24"/>
        </w:rPr>
        <w:t xml:space="preserve"> (b) the effective date of the issuance of the currency, from which date (or such other date as the Minister may specify in the statutory instrument) it shall be legal tender within Zimbabwe; and </w:t>
      </w:r>
    </w:p>
    <w:p w14:paraId="1F27B0A8" w14:textId="77777777" w:rsidR="00200B8A" w:rsidRPr="00200B8A" w:rsidRDefault="00200B8A" w:rsidP="00200B8A">
      <w:pPr>
        <w:spacing w:line="360" w:lineRule="auto"/>
        <w:ind w:left="1134"/>
        <w:jc w:val="both"/>
        <w:rPr>
          <w:rFonts w:ascii="Times New Roman" w:hAnsi="Times New Roman" w:cs="Times New Roman"/>
          <w:sz w:val="24"/>
          <w:szCs w:val="24"/>
        </w:rPr>
      </w:pPr>
      <w:r w:rsidRPr="00200B8A">
        <w:rPr>
          <w:rFonts w:ascii="Times New Roman" w:hAnsi="Times New Roman" w:cs="Times New Roman"/>
          <w:sz w:val="24"/>
          <w:szCs w:val="24"/>
        </w:rPr>
        <w:lastRenderedPageBreak/>
        <w:t xml:space="preserve">(c) any transitional matters required to be prescribed in connection with the introduction of electronic currency, including the conversion of existing banking balances into the new currency. </w:t>
      </w:r>
    </w:p>
    <w:p w14:paraId="2A83B9AB" w14:textId="77777777" w:rsidR="00200B8A" w:rsidRPr="00200B8A" w:rsidRDefault="00200B8A" w:rsidP="00200B8A">
      <w:pPr>
        <w:spacing w:line="360" w:lineRule="auto"/>
        <w:ind w:left="1134"/>
        <w:jc w:val="both"/>
        <w:rPr>
          <w:rFonts w:ascii="Times New Roman" w:hAnsi="Times New Roman" w:cs="Times New Roman"/>
          <w:sz w:val="24"/>
          <w:szCs w:val="24"/>
        </w:rPr>
      </w:pPr>
      <w:r w:rsidRPr="00200B8A">
        <w:rPr>
          <w:rFonts w:ascii="Times New Roman" w:hAnsi="Times New Roman" w:cs="Times New Roman"/>
          <w:sz w:val="24"/>
          <w:szCs w:val="24"/>
        </w:rPr>
        <w:t>(4) The Bank may, after consultation with the Minister issue any direction that, in its opinion, is in the public interest and will promote the objective and the smooth implementation of the provisions of this section.</w:t>
      </w:r>
    </w:p>
    <w:p w14:paraId="72DE1AC1" w14:textId="7412B357" w:rsidR="00200B8A" w:rsidRPr="00F01C62" w:rsidRDefault="00200B8A" w:rsidP="00200B8A">
      <w:pPr>
        <w:spacing w:line="360" w:lineRule="auto"/>
        <w:ind w:left="1134"/>
        <w:jc w:val="both"/>
        <w:rPr>
          <w:rFonts w:ascii="Times New Roman" w:hAnsi="Times New Roman" w:cs="Times New Roman"/>
          <w:sz w:val="24"/>
          <w:szCs w:val="24"/>
        </w:rPr>
      </w:pPr>
      <w:r w:rsidRPr="00200B8A">
        <w:rPr>
          <w:rFonts w:ascii="Times New Roman" w:hAnsi="Times New Roman" w:cs="Times New Roman"/>
          <w:sz w:val="24"/>
          <w:szCs w:val="24"/>
        </w:rPr>
        <w:t xml:space="preserve"> (5) In this section— </w:t>
      </w:r>
      <w:r w:rsidRPr="00200B8A">
        <w:rPr>
          <w:rFonts w:ascii="Times New Roman" w:hAnsi="Times New Roman" w:cs="Times New Roman"/>
          <w:sz w:val="24"/>
          <w:szCs w:val="24"/>
          <w:u w:val="single"/>
        </w:rPr>
        <w:t xml:space="preserve">“nostro foreign currency account” means any foreign currency account designated in terms of Exchange Control Directive RT/120 of 2018, held with a financial institution in Zimbabwe, </w:t>
      </w:r>
      <w:r w:rsidRPr="00200B8A">
        <w:rPr>
          <w:rFonts w:ascii="Times New Roman" w:hAnsi="Times New Roman" w:cs="Times New Roman"/>
          <w:i/>
          <w:iCs/>
          <w:sz w:val="24"/>
          <w:szCs w:val="24"/>
          <w:u w:val="single"/>
        </w:rPr>
        <w:t>in which money in the form of foreign currency is deposited from offshore or domestic sources</w:t>
      </w:r>
      <w:r w:rsidRPr="00F01C62">
        <w:rPr>
          <w:rFonts w:ascii="Times New Roman" w:hAnsi="Times New Roman" w:cs="Times New Roman"/>
          <w:sz w:val="24"/>
          <w:szCs w:val="24"/>
        </w:rPr>
        <w:t>;</w:t>
      </w:r>
      <w:r w:rsidR="00F01C62" w:rsidRPr="00F01C62">
        <w:rPr>
          <w:rFonts w:ascii="Times New Roman" w:hAnsi="Times New Roman" w:cs="Times New Roman"/>
          <w:sz w:val="24"/>
          <w:szCs w:val="24"/>
        </w:rPr>
        <w:t>” [ underlin</w:t>
      </w:r>
      <w:r w:rsidR="00F01C62">
        <w:rPr>
          <w:rFonts w:ascii="Times New Roman" w:hAnsi="Times New Roman" w:cs="Times New Roman"/>
          <w:sz w:val="24"/>
          <w:szCs w:val="24"/>
        </w:rPr>
        <w:t xml:space="preserve">ed </w:t>
      </w:r>
      <w:r w:rsidR="00F01C62" w:rsidRPr="00F01C62">
        <w:rPr>
          <w:rFonts w:ascii="Times New Roman" w:hAnsi="Times New Roman" w:cs="Times New Roman"/>
          <w:sz w:val="24"/>
          <w:szCs w:val="24"/>
        </w:rPr>
        <w:t>and italicis</w:t>
      </w:r>
      <w:r w:rsidR="00F01C62">
        <w:rPr>
          <w:rFonts w:ascii="Times New Roman" w:hAnsi="Times New Roman" w:cs="Times New Roman"/>
          <w:sz w:val="24"/>
          <w:szCs w:val="24"/>
        </w:rPr>
        <w:t>ed for emphasis</w:t>
      </w:r>
      <w:r w:rsidR="00F01C62" w:rsidRPr="00F01C62">
        <w:rPr>
          <w:rFonts w:ascii="Times New Roman" w:hAnsi="Times New Roman" w:cs="Times New Roman"/>
          <w:sz w:val="24"/>
          <w:szCs w:val="24"/>
        </w:rPr>
        <w:t xml:space="preserve">] </w:t>
      </w:r>
    </w:p>
    <w:p w14:paraId="0E13B6C8" w14:textId="130A0322" w:rsidR="0027011B" w:rsidRDefault="00F46307" w:rsidP="00B53D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08D8">
        <w:rPr>
          <w:rFonts w:ascii="Times New Roman" w:hAnsi="Times New Roman" w:cs="Times New Roman"/>
          <w:sz w:val="24"/>
          <w:szCs w:val="24"/>
        </w:rPr>
        <w:t>[</w:t>
      </w:r>
      <w:r w:rsidR="000311AF">
        <w:rPr>
          <w:rFonts w:ascii="Times New Roman" w:hAnsi="Times New Roman" w:cs="Times New Roman"/>
          <w:sz w:val="24"/>
          <w:szCs w:val="24"/>
        </w:rPr>
        <w:t>62</w:t>
      </w:r>
      <w:r w:rsidR="008D0471">
        <w:rPr>
          <w:rFonts w:ascii="Times New Roman" w:hAnsi="Times New Roman" w:cs="Times New Roman"/>
          <w:sz w:val="24"/>
          <w:szCs w:val="24"/>
        </w:rPr>
        <w:t xml:space="preserve">] </w:t>
      </w:r>
      <w:r w:rsidR="009A7188">
        <w:rPr>
          <w:rFonts w:ascii="Times New Roman" w:hAnsi="Times New Roman" w:cs="Times New Roman"/>
          <w:sz w:val="24"/>
          <w:szCs w:val="24"/>
        </w:rPr>
        <w:t xml:space="preserve">The net effect of </w:t>
      </w:r>
      <w:r w:rsidR="00901D12">
        <w:rPr>
          <w:rFonts w:ascii="Times New Roman" w:hAnsi="Times New Roman" w:cs="Times New Roman"/>
          <w:sz w:val="24"/>
          <w:szCs w:val="24"/>
        </w:rPr>
        <w:t xml:space="preserve">Mr. </w:t>
      </w:r>
      <w:r w:rsidR="00901D12" w:rsidRPr="00901D12">
        <w:rPr>
          <w:rFonts w:ascii="Times New Roman" w:hAnsi="Times New Roman" w:cs="Times New Roman"/>
          <w:i/>
          <w:iCs/>
          <w:sz w:val="24"/>
          <w:szCs w:val="24"/>
        </w:rPr>
        <w:t>Mpofu</w:t>
      </w:r>
      <w:r w:rsidR="009A7188">
        <w:rPr>
          <w:rFonts w:ascii="Times New Roman" w:hAnsi="Times New Roman" w:cs="Times New Roman"/>
          <w:i/>
          <w:iCs/>
          <w:sz w:val="24"/>
          <w:szCs w:val="24"/>
        </w:rPr>
        <w:t xml:space="preserve">`s </w:t>
      </w:r>
      <w:r w:rsidR="009A7188" w:rsidRPr="009A7188">
        <w:rPr>
          <w:rFonts w:ascii="Times New Roman" w:hAnsi="Times New Roman" w:cs="Times New Roman"/>
          <w:sz w:val="24"/>
          <w:szCs w:val="24"/>
        </w:rPr>
        <w:t>argument was that</w:t>
      </w:r>
      <w:r w:rsidR="009A7188">
        <w:rPr>
          <w:rFonts w:ascii="Times New Roman" w:hAnsi="Times New Roman" w:cs="Times New Roman"/>
          <w:i/>
          <w:iCs/>
          <w:sz w:val="24"/>
          <w:szCs w:val="24"/>
        </w:rPr>
        <w:t xml:space="preserve"> </w:t>
      </w:r>
      <w:r w:rsidR="00901D12">
        <w:rPr>
          <w:rFonts w:ascii="Times New Roman" w:hAnsi="Times New Roman" w:cs="Times New Roman"/>
          <w:sz w:val="24"/>
          <w:szCs w:val="24"/>
        </w:rPr>
        <w:t>the escrow account</w:t>
      </w:r>
      <w:r w:rsidR="00125AEB">
        <w:rPr>
          <w:rFonts w:ascii="Times New Roman" w:hAnsi="Times New Roman" w:cs="Times New Roman"/>
          <w:sz w:val="24"/>
          <w:szCs w:val="24"/>
        </w:rPr>
        <w:t>,</w:t>
      </w:r>
      <w:r w:rsidR="00901D12">
        <w:rPr>
          <w:rFonts w:ascii="Times New Roman" w:hAnsi="Times New Roman" w:cs="Times New Roman"/>
          <w:sz w:val="24"/>
          <w:szCs w:val="24"/>
        </w:rPr>
        <w:t xml:space="preserve"> </w:t>
      </w:r>
      <w:r w:rsidR="009552C3">
        <w:rPr>
          <w:rFonts w:ascii="Times New Roman" w:hAnsi="Times New Roman" w:cs="Times New Roman"/>
          <w:sz w:val="24"/>
          <w:szCs w:val="24"/>
        </w:rPr>
        <w:t>having been “</w:t>
      </w:r>
      <w:r w:rsidR="00901D12">
        <w:rPr>
          <w:rFonts w:ascii="Times New Roman" w:hAnsi="Times New Roman" w:cs="Times New Roman"/>
          <w:sz w:val="24"/>
          <w:szCs w:val="24"/>
        </w:rPr>
        <w:t xml:space="preserve">denominated” in RTGS dollars </w:t>
      </w:r>
      <w:r w:rsidR="009552C3">
        <w:rPr>
          <w:rFonts w:ascii="Times New Roman" w:hAnsi="Times New Roman" w:cs="Times New Roman"/>
          <w:sz w:val="24"/>
          <w:szCs w:val="24"/>
        </w:rPr>
        <w:t xml:space="preserve">by Directive RT120/18, </w:t>
      </w:r>
      <w:r w:rsidR="00901D12">
        <w:rPr>
          <w:rFonts w:ascii="Times New Roman" w:hAnsi="Times New Roman" w:cs="Times New Roman"/>
          <w:sz w:val="24"/>
          <w:szCs w:val="24"/>
        </w:rPr>
        <w:t xml:space="preserve">was </w:t>
      </w:r>
      <w:r w:rsidR="009552C3">
        <w:rPr>
          <w:rFonts w:ascii="Times New Roman" w:hAnsi="Times New Roman" w:cs="Times New Roman"/>
          <w:sz w:val="24"/>
          <w:szCs w:val="24"/>
        </w:rPr>
        <w:t xml:space="preserve">automatically </w:t>
      </w:r>
      <w:r w:rsidR="00901D12">
        <w:rPr>
          <w:rFonts w:ascii="Times New Roman" w:hAnsi="Times New Roman" w:cs="Times New Roman"/>
          <w:sz w:val="24"/>
          <w:szCs w:val="24"/>
        </w:rPr>
        <w:t xml:space="preserve">descoped from 44C (2) (b). </w:t>
      </w:r>
      <w:r w:rsidR="00F75C78">
        <w:rPr>
          <w:rFonts w:ascii="Times New Roman" w:hAnsi="Times New Roman" w:cs="Times New Roman"/>
          <w:sz w:val="24"/>
          <w:szCs w:val="24"/>
        </w:rPr>
        <w:t>I</w:t>
      </w:r>
      <w:r w:rsidR="00901D12">
        <w:rPr>
          <w:rFonts w:ascii="Times New Roman" w:hAnsi="Times New Roman" w:cs="Times New Roman"/>
          <w:sz w:val="24"/>
          <w:szCs w:val="24"/>
        </w:rPr>
        <w:t xml:space="preserve"> must test the correctness of this </w:t>
      </w:r>
      <w:r w:rsidR="009A7188">
        <w:rPr>
          <w:rFonts w:ascii="Times New Roman" w:hAnsi="Times New Roman" w:cs="Times New Roman"/>
          <w:sz w:val="24"/>
          <w:szCs w:val="24"/>
        </w:rPr>
        <w:t xml:space="preserve">conclusion </w:t>
      </w:r>
      <w:r w:rsidR="009552C3">
        <w:rPr>
          <w:rFonts w:ascii="Times New Roman" w:hAnsi="Times New Roman" w:cs="Times New Roman"/>
          <w:sz w:val="24"/>
          <w:szCs w:val="24"/>
        </w:rPr>
        <w:t>(on the facts in the matter before me). N</w:t>
      </w:r>
      <w:r w:rsidR="00901D12">
        <w:rPr>
          <w:rFonts w:ascii="Times New Roman" w:hAnsi="Times New Roman" w:cs="Times New Roman"/>
          <w:sz w:val="24"/>
          <w:szCs w:val="24"/>
        </w:rPr>
        <w:t xml:space="preserve">amely that </w:t>
      </w:r>
      <w:r w:rsidR="009552C3">
        <w:rPr>
          <w:rFonts w:ascii="Times New Roman" w:hAnsi="Times New Roman" w:cs="Times New Roman"/>
          <w:sz w:val="24"/>
          <w:szCs w:val="24"/>
        </w:rPr>
        <w:t xml:space="preserve">a consideration of whether or not </w:t>
      </w:r>
      <w:r w:rsidR="009A7188">
        <w:rPr>
          <w:rFonts w:ascii="Times New Roman" w:hAnsi="Times New Roman" w:cs="Times New Roman"/>
          <w:sz w:val="24"/>
          <w:szCs w:val="24"/>
        </w:rPr>
        <w:t xml:space="preserve">Nedbank`s debt to Magic </w:t>
      </w:r>
      <w:r w:rsidR="007B4EFB">
        <w:rPr>
          <w:rFonts w:ascii="Times New Roman" w:hAnsi="Times New Roman" w:cs="Times New Roman"/>
          <w:sz w:val="24"/>
          <w:szCs w:val="24"/>
        </w:rPr>
        <w:t>Software is</w:t>
      </w:r>
      <w:r w:rsidR="009552C3">
        <w:rPr>
          <w:rFonts w:ascii="Times New Roman" w:hAnsi="Times New Roman" w:cs="Times New Roman"/>
          <w:sz w:val="24"/>
          <w:szCs w:val="24"/>
        </w:rPr>
        <w:t xml:space="preserve"> a foreign loan or foreign obligation </w:t>
      </w:r>
      <w:r w:rsidR="00125AEB">
        <w:rPr>
          <w:rFonts w:ascii="Times New Roman" w:hAnsi="Times New Roman" w:cs="Times New Roman"/>
          <w:sz w:val="24"/>
          <w:szCs w:val="24"/>
        </w:rPr>
        <w:t xml:space="preserve">must </w:t>
      </w:r>
      <w:r w:rsidR="00901D12">
        <w:rPr>
          <w:rFonts w:ascii="Times New Roman" w:hAnsi="Times New Roman" w:cs="Times New Roman"/>
          <w:sz w:val="24"/>
          <w:szCs w:val="24"/>
        </w:rPr>
        <w:t>start</w:t>
      </w:r>
      <w:r w:rsidR="00125AEB">
        <w:rPr>
          <w:rFonts w:ascii="Times New Roman" w:hAnsi="Times New Roman" w:cs="Times New Roman"/>
          <w:sz w:val="24"/>
          <w:szCs w:val="24"/>
        </w:rPr>
        <w:t>,</w:t>
      </w:r>
      <w:r w:rsidR="00901D12">
        <w:rPr>
          <w:rFonts w:ascii="Times New Roman" w:hAnsi="Times New Roman" w:cs="Times New Roman"/>
          <w:sz w:val="24"/>
          <w:szCs w:val="24"/>
        </w:rPr>
        <w:t xml:space="preserve"> and </w:t>
      </w:r>
      <w:r w:rsidR="00125AEB">
        <w:rPr>
          <w:rFonts w:ascii="Times New Roman" w:hAnsi="Times New Roman" w:cs="Times New Roman"/>
          <w:sz w:val="24"/>
          <w:szCs w:val="24"/>
        </w:rPr>
        <w:t xml:space="preserve">possibly </w:t>
      </w:r>
      <w:r w:rsidR="00901D12">
        <w:rPr>
          <w:rFonts w:ascii="Times New Roman" w:hAnsi="Times New Roman" w:cs="Times New Roman"/>
          <w:sz w:val="24"/>
          <w:szCs w:val="24"/>
        </w:rPr>
        <w:t xml:space="preserve">end with </w:t>
      </w:r>
      <w:r w:rsidR="00814EB4">
        <w:rPr>
          <w:rFonts w:ascii="Times New Roman" w:hAnsi="Times New Roman" w:cs="Times New Roman"/>
          <w:sz w:val="24"/>
          <w:szCs w:val="24"/>
        </w:rPr>
        <w:t xml:space="preserve">a decision regarding </w:t>
      </w:r>
      <w:r w:rsidR="004B534D">
        <w:rPr>
          <w:rFonts w:ascii="Times New Roman" w:hAnsi="Times New Roman" w:cs="Times New Roman"/>
          <w:sz w:val="24"/>
          <w:szCs w:val="24"/>
        </w:rPr>
        <w:t>its “denomination</w:t>
      </w:r>
      <w:r w:rsidR="00901D12">
        <w:rPr>
          <w:rFonts w:ascii="Times New Roman" w:hAnsi="Times New Roman" w:cs="Times New Roman"/>
          <w:sz w:val="24"/>
          <w:szCs w:val="24"/>
        </w:rPr>
        <w:t xml:space="preserve">”. </w:t>
      </w:r>
      <w:r w:rsidR="0027011B">
        <w:rPr>
          <w:rFonts w:ascii="Times New Roman" w:hAnsi="Times New Roman" w:cs="Times New Roman"/>
          <w:sz w:val="24"/>
          <w:szCs w:val="24"/>
        </w:rPr>
        <w:t xml:space="preserve">Put </w:t>
      </w:r>
      <w:r w:rsidR="005A7A32">
        <w:rPr>
          <w:rFonts w:ascii="Times New Roman" w:hAnsi="Times New Roman" w:cs="Times New Roman"/>
          <w:sz w:val="24"/>
          <w:szCs w:val="24"/>
        </w:rPr>
        <w:t xml:space="preserve">differently, </w:t>
      </w:r>
      <w:r w:rsidR="004B534D">
        <w:rPr>
          <w:rFonts w:ascii="Times New Roman" w:hAnsi="Times New Roman" w:cs="Times New Roman"/>
          <w:sz w:val="24"/>
          <w:szCs w:val="24"/>
        </w:rPr>
        <w:t xml:space="preserve">if the status or nature </w:t>
      </w:r>
      <w:r w:rsidR="005A7A32">
        <w:rPr>
          <w:rFonts w:ascii="Times New Roman" w:hAnsi="Times New Roman" w:cs="Times New Roman"/>
          <w:sz w:val="24"/>
          <w:szCs w:val="24"/>
        </w:rPr>
        <w:t xml:space="preserve">of </w:t>
      </w:r>
      <w:r w:rsidR="00A62130">
        <w:rPr>
          <w:rFonts w:ascii="Times New Roman" w:hAnsi="Times New Roman" w:cs="Times New Roman"/>
          <w:sz w:val="24"/>
          <w:szCs w:val="24"/>
        </w:rPr>
        <w:t xml:space="preserve">the </w:t>
      </w:r>
      <w:r w:rsidR="009552C3">
        <w:rPr>
          <w:rFonts w:ascii="Times New Roman" w:hAnsi="Times New Roman" w:cs="Times New Roman"/>
          <w:sz w:val="24"/>
          <w:szCs w:val="24"/>
        </w:rPr>
        <w:t xml:space="preserve">debt`s </w:t>
      </w:r>
      <w:r w:rsidR="005A7A32">
        <w:rPr>
          <w:rFonts w:ascii="Times New Roman" w:hAnsi="Times New Roman" w:cs="Times New Roman"/>
          <w:sz w:val="24"/>
          <w:szCs w:val="24"/>
        </w:rPr>
        <w:t xml:space="preserve">denomination </w:t>
      </w:r>
      <w:r w:rsidR="004B534D">
        <w:rPr>
          <w:rFonts w:ascii="Times New Roman" w:hAnsi="Times New Roman" w:cs="Times New Roman"/>
          <w:sz w:val="24"/>
          <w:szCs w:val="24"/>
        </w:rPr>
        <w:t>is ruled to be non-foreign currency, will this result</w:t>
      </w:r>
      <w:r w:rsidR="005A7A32">
        <w:rPr>
          <w:rFonts w:ascii="Times New Roman" w:hAnsi="Times New Roman" w:cs="Times New Roman"/>
          <w:sz w:val="24"/>
          <w:szCs w:val="24"/>
        </w:rPr>
        <w:t xml:space="preserve"> obviate the inquiry into whether or not th</w:t>
      </w:r>
      <w:r w:rsidR="009552C3">
        <w:rPr>
          <w:rFonts w:ascii="Times New Roman" w:hAnsi="Times New Roman" w:cs="Times New Roman"/>
          <w:sz w:val="24"/>
          <w:szCs w:val="24"/>
        </w:rPr>
        <w:t xml:space="preserve">at </w:t>
      </w:r>
      <w:r w:rsidR="005A7A32">
        <w:rPr>
          <w:rFonts w:ascii="Times New Roman" w:hAnsi="Times New Roman" w:cs="Times New Roman"/>
          <w:sz w:val="24"/>
          <w:szCs w:val="24"/>
        </w:rPr>
        <w:t>debt is a foreign loan or foreign obligation?</w:t>
      </w:r>
    </w:p>
    <w:p w14:paraId="5395F982" w14:textId="4DF64774" w:rsidR="00656F9B" w:rsidRDefault="005A7A32" w:rsidP="00B53D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[ 63] </w:t>
      </w:r>
      <w:r w:rsidR="00901D12">
        <w:rPr>
          <w:rFonts w:ascii="Times New Roman" w:hAnsi="Times New Roman" w:cs="Times New Roman"/>
          <w:sz w:val="24"/>
          <w:szCs w:val="24"/>
        </w:rPr>
        <w:t>Indeed s</w:t>
      </w:r>
      <w:r w:rsidR="00F75C78">
        <w:rPr>
          <w:rFonts w:ascii="Times New Roman" w:hAnsi="Times New Roman" w:cs="Times New Roman"/>
          <w:sz w:val="24"/>
          <w:szCs w:val="24"/>
        </w:rPr>
        <w:t>ection</w:t>
      </w:r>
      <w:r w:rsidR="0010306C">
        <w:rPr>
          <w:rFonts w:ascii="Times New Roman" w:hAnsi="Times New Roman" w:cs="Times New Roman"/>
          <w:sz w:val="24"/>
          <w:szCs w:val="24"/>
        </w:rPr>
        <w:t xml:space="preserve"> 44 C (2) (b) </w:t>
      </w:r>
      <w:r w:rsidR="00901D12">
        <w:rPr>
          <w:rFonts w:ascii="Times New Roman" w:hAnsi="Times New Roman" w:cs="Times New Roman"/>
          <w:sz w:val="24"/>
          <w:szCs w:val="24"/>
        </w:rPr>
        <w:t xml:space="preserve">does appear to </w:t>
      </w:r>
      <w:r w:rsidR="0010306C">
        <w:rPr>
          <w:rFonts w:ascii="Times New Roman" w:hAnsi="Times New Roman" w:cs="Times New Roman"/>
          <w:sz w:val="24"/>
          <w:szCs w:val="24"/>
        </w:rPr>
        <w:t>set a prerequisite that in order to qualify as a foreign obligation, the obligation ha</w:t>
      </w:r>
      <w:r w:rsidR="0098286F">
        <w:rPr>
          <w:rFonts w:ascii="Times New Roman" w:hAnsi="Times New Roman" w:cs="Times New Roman"/>
          <w:sz w:val="24"/>
          <w:szCs w:val="24"/>
        </w:rPr>
        <w:t>s</w:t>
      </w:r>
      <w:r w:rsidR="0010306C">
        <w:rPr>
          <w:rFonts w:ascii="Times New Roman" w:hAnsi="Times New Roman" w:cs="Times New Roman"/>
          <w:sz w:val="24"/>
          <w:szCs w:val="24"/>
        </w:rPr>
        <w:t xml:space="preserve"> to be</w:t>
      </w:r>
      <w:r w:rsidR="00901D12">
        <w:rPr>
          <w:rFonts w:ascii="Times New Roman" w:hAnsi="Times New Roman" w:cs="Times New Roman"/>
          <w:sz w:val="24"/>
          <w:szCs w:val="24"/>
        </w:rPr>
        <w:t>”</w:t>
      </w:r>
      <w:r w:rsidR="0010306C">
        <w:rPr>
          <w:rFonts w:ascii="Times New Roman" w:hAnsi="Times New Roman" w:cs="Times New Roman"/>
          <w:sz w:val="24"/>
          <w:szCs w:val="24"/>
        </w:rPr>
        <w:t xml:space="preserve"> denominated</w:t>
      </w:r>
      <w:r w:rsidR="00901D12">
        <w:rPr>
          <w:rFonts w:ascii="Times New Roman" w:hAnsi="Times New Roman" w:cs="Times New Roman"/>
          <w:sz w:val="24"/>
          <w:szCs w:val="24"/>
        </w:rPr>
        <w:t>”</w:t>
      </w:r>
      <w:r w:rsidR="0010306C">
        <w:rPr>
          <w:rFonts w:ascii="Times New Roman" w:hAnsi="Times New Roman" w:cs="Times New Roman"/>
          <w:sz w:val="24"/>
          <w:szCs w:val="24"/>
        </w:rPr>
        <w:t xml:space="preserve"> in foreign currency. </w:t>
      </w:r>
      <w:r>
        <w:rPr>
          <w:rFonts w:ascii="Times New Roman" w:hAnsi="Times New Roman" w:cs="Times New Roman"/>
          <w:sz w:val="24"/>
          <w:szCs w:val="24"/>
        </w:rPr>
        <w:t xml:space="preserve">So too does section 44C (5). </w:t>
      </w:r>
      <w:r w:rsidR="00901D12">
        <w:rPr>
          <w:rFonts w:ascii="Times New Roman" w:hAnsi="Times New Roman" w:cs="Times New Roman"/>
          <w:sz w:val="24"/>
          <w:szCs w:val="24"/>
        </w:rPr>
        <w:t>It cannot be doubted that Di</w:t>
      </w:r>
      <w:r w:rsidR="0076319D">
        <w:rPr>
          <w:rFonts w:ascii="Times New Roman" w:hAnsi="Times New Roman" w:cs="Times New Roman"/>
          <w:sz w:val="24"/>
          <w:szCs w:val="24"/>
        </w:rPr>
        <w:t xml:space="preserve">rective RT 120/18 effectively ripped the skin off </w:t>
      </w:r>
      <w:r w:rsidR="004657E7">
        <w:rPr>
          <w:rFonts w:ascii="Times New Roman" w:hAnsi="Times New Roman" w:cs="Times New Roman"/>
          <w:sz w:val="24"/>
          <w:szCs w:val="24"/>
        </w:rPr>
        <w:t xml:space="preserve">Magic Software’s </w:t>
      </w:r>
      <w:r w:rsidR="00EF384D">
        <w:rPr>
          <w:rFonts w:ascii="Times New Roman" w:hAnsi="Times New Roman" w:cs="Times New Roman"/>
          <w:sz w:val="24"/>
          <w:szCs w:val="24"/>
        </w:rPr>
        <w:t xml:space="preserve">drum. It </w:t>
      </w:r>
      <w:r w:rsidR="002B39D7">
        <w:rPr>
          <w:rFonts w:ascii="Times New Roman" w:hAnsi="Times New Roman" w:cs="Times New Roman"/>
          <w:sz w:val="24"/>
          <w:szCs w:val="24"/>
        </w:rPr>
        <w:t xml:space="preserve">all but </w:t>
      </w:r>
      <w:r w:rsidR="004657E7">
        <w:rPr>
          <w:rFonts w:ascii="Times New Roman" w:hAnsi="Times New Roman" w:cs="Times New Roman"/>
          <w:sz w:val="24"/>
          <w:szCs w:val="24"/>
        </w:rPr>
        <w:t>deleted the original</w:t>
      </w:r>
      <w:r w:rsidR="0076319D">
        <w:rPr>
          <w:rFonts w:ascii="Times New Roman" w:hAnsi="Times New Roman" w:cs="Times New Roman"/>
          <w:sz w:val="24"/>
          <w:szCs w:val="24"/>
        </w:rPr>
        <w:t xml:space="preserve"> United States Dollar</w:t>
      </w:r>
      <w:r w:rsidR="004657E7">
        <w:rPr>
          <w:rFonts w:ascii="Times New Roman" w:hAnsi="Times New Roman" w:cs="Times New Roman"/>
          <w:sz w:val="24"/>
          <w:szCs w:val="24"/>
        </w:rPr>
        <w:t xml:space="preserve"> </w:t>
      </w:r>
      <w:r w:rsidR="0098286F">
        <w:rPr>
          <w:rFonts w:ascii="Times New Roman" w:hAnsi="Times New Roman" w:cs="Times New Roman"/>
          <w:sz w:val="24"/>
          <w:szCs w:val="24"/>
        </w:rPr>
        <w:t xml:space="preserve">valuation of the funds </w:t>
      </w:r>
      <w:r w:rsidR="004657E7">
        <w:rPr>
          <w:rFonts w:ascii="Times New Roman" w:hAnsi="Times New Roman" w:cs="Times New Roman"/>
          <w:sz w:val="24"/>
          <w:szCs w:val="24"/>
        </w:rPr>
        <w:t>in the escrow account</w:t>
      </w:r>
      <w:r w:rsidR="0076319D">
        <w:rPr>
          <w:rFonts w:ascii="Times New Roman" w:hAnsi="Times New Roman" w:cs="Times New Roman"/>
          <w:sz w:val="24"/>
          <w:szCs w:val="24"/>
        </w:rPr>
        <w:t xml:space="preserve">. </w:t>
      </w:r>
      <w:r w:rsidR="0098286F">
        <w:rPr>
          <w:rFonts w:ascii="Times New Roman" w:hAnsi="Times New Roman" w:cs="Times New Roman"/>
          <w:sz w:val="24"/>
          <w:szCs w:val="24"/>
        </w:rPr>
        <w:t xml:space="preserve">The fact that the account retained the nominal title of a foreign currency or FCA account post the issuance of RT120/18 is of little consequence. </w:t>
      </w:r>
    </w:p>
    <w:p w14:paraId="01C59AD6" w14:textId="524241E0" w:rsidR="006F6875" w:rsidRDefault="00656F9B" w:rsidP="00B53D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[64] </w:t>
      </w:r>
      <w:r w:rsidR="005A7A32">
        <w:rPr>
          <w:rFonts w:ascii="Times New Roman" w:hAnsi="Times New Roman" w:cs="Times New Roman"/>
          <w:sz w:val="24"/>
          <w:szCs w:val="24"/>
        </w:rPr>
        <w:t>What purpose then</w:t>
      </w:r>
      <w:r w:rsidR="0098286F">
        <w:rPr>
          <w:rFonts w:ascii="Times New Roman" w:hAnsi="Times New Roman" w:cs="Times New Roman"/>
          <w:sz w:val="24"/>
          <w:szCs w:val="24"/>
        </w:rPr>
        <w:t>,</w:t>
      </w:r>
      <w:r w:rsidR="005A7A32">
        <w:rPr>
          <w:rFonts w:ascii="Times New Roman" w:hAnsi="Times New Roman" w:cs="Times New Roman"/>
          <w:sz w:val="24"/>
          <w:szCs w:val="24"/>
        </w:rPr>
        <w:t xml:space="preserve"> would be served by conducting an inquiry into the foreign nature of the obligation</w:t>
      </w:r>
      <w:r w:rsidR="0098286F">
        <w:rPr>
          <w:rFonts w:ascii="Times New Roman" w:hAnsi="Times New Roman" w:cs="Times New Roman"/>
          <w:sz w:val="24"/>
          <w:szCs w:val="24"/>
        </w:rPr>
        <w:t xml:space="preserve"> i</w:t>
      </w:r>
      <w:r w:rsidR="00EF384D">
        <w:rPr>
          <w:rFonts w:ascii="Times New Roman" w:hAnsi="Times New Roman" w:cs="Times New Roman"/>
          <w:sz w:val="24"/>
          <w:szCs w:val="24"/>
        </w:rPr>
        <w:t xml:space="preserve">n the face of the interdict that </w:t>
      </w:r>
      <w:r w:rsidR="0098286F">
        <w:rPr>
          <w:rFonts w:ascii="Times New Roman" w:hAnsi="Times New Roman" w:cs="Times New Roman"/>
          <w:sz w:val="24"/>
          <w:szCs w:val="24"/>
        </w:rPr>
        <w:t>it was not denominated in foreign currency</w:t>
      </w:r>
      <w:r w:rsidR="005A7A32">
        <w:rPr>
          <w:rFonts w:ascii="Times New Roman" w:hAnsi="Times New Roman" w:cs="Times New Roman"/>
          <w:sz w:val="24"/>
          <w:szCs w:val="24"/>
        </w:rPr>
        <w:t xml:space="preserve">? </w:t>
      </w:r>
      <w:r>
        <w:rPr>
          <w:rFonts w:ascii="Times New Roman" w:hAnsi="Times New Roman" w:cs="Times New Roman"/>
          <w:sz w:val="24"/>
          <w:szCs w:val="24"/>
        </w:rPr>
        <w:t>Especially i</w:t>
      </w:r>
      <w:r w:rsidR="00125AEB">
        <w:rPr>
          <w:rFonts w:ascii="Times New Roman" w:hAnsi="Times New Roman" w:cs="Times New Roman"/>
          <w:sz w:val="24"/>
          <w:szCs w:val="24"/>
        </w:rPr>
        <w:t>f it is clear,</w:t>
      </w:r>
      <w:r>
        <w:rPr>
          <w:rFonts w:ascii="Times New Roman" w:hAnsi="Times New Roman" w:cs="Times New Roman"/>
          <w:sz w:val="24"/>
          <w:szCs w:val="24"/>
        </w:rPr>
        <w:t xml:space="preserve"> that </w:t>
      </w:r>
      <w:r w:rsidR="00125AEB">
        <w:rPr>
          <w:rFonts w:ascii="Times New Roman" w:hAnsi="Times New Roman" w:cs="Times New Roman"/>
          <w:sz w:val="24"/>
          <w:szCs w:val="24"/>
        </w:rPr>
        <w:t xml:space="preserve">as </w:t>
      </w:r>
      <w:r>
        <w:rPr>
          <w:rFonts w:ascii="Times New Roman" w:hAnsi="Times New Roman" w:cs="Times New Roman"/>
          <w:sz w:val="24"/>
          <w:szCs w:val="24"/>
        </w:rPr>
        <w:t xml:space="preserve">further </w:t>
      </w:r>
      <w:r w:rsidR="00125AEB">
        <w:rPr>
          <w:rFonts w:ascii="Times New Roman" w:hAnsi="Times New Roman" w:cs="Times New Roman"/>
          <w:sz w:val="24"/>
          <w:szCs w:val="24"/>
        </w:rPr>
        <w:t>suggested by section 44</w:t>
      </w:r>
      <w:r w:rsidR="00F947DD">
        <w:rPr>
          <w:rFonts w:ascii="Times New Roman" w:hAnsi="Times New Roman" w:cs="Times New Roman"/>
          <w:sz w:val="24"/>
          <w:szCs w:val="24"/>
        </w:rPr>
        <w:t>C (</w:t>
      </w:r>
      <w:r w:rsidR="00125AEB">
        <w:rPr>
          <w:rFonts w:ascii="Times New Roman" w:hAnsi="Times New Roman" w:cs="Times New Roman"/>
          <w:sz w:val="24"/>
          <w:szCs w:val="24"/>
        </w:rPr>
        <w:t xml:space="preserve">5) that the escrow account balances are no longer foreign currency? </w:t>
      </w:r>
      <w:r w:rsidR="009C7FB7">
        <w:rPr>
          <w:rFonts w:ascii="Times New Roman" w:hAnsi="Times New Roman" w:cs="Times New Roman"/>
          <w:sz w:val="24"/>
          <w:szCs w:val="24"/>
        </w:rPr>
        <w:t xml:space="preserve">The validity and effect of Directive RT 120/18 were </w:t>
      </w:r>
      <w:r w:rsidR="00F947DD">
        <w:rPr>
          <w:rFonts w:ascii="Times New Roman" w:hAnsi="Times New Roman" w:cs="Times New Roman"/>
          <w:sz w:val="24"/>
          <w:szCs w:val="24"/>
        </w:rPr>
        <w:t xml:space="preserve">after all, confirmed </w:t>
      </w:r>
      <w:r w:rsidR="009C7FB7">
        <w:rPr>
          <w:rFonts w:ascii="Times New Roman" w:hAnsi="Times New Roman" w:cs="Times New Roman"/>
          <w:sz w:val="24"/>
          <w:szCs w:val="24"/>
        </w:rPr>
        <w:t xml:space="preserve">beyond issue in </w:t>
      </w:r>
      <w:r w:rsidR="009C7FB7" w:rsidRPr="00D02D18">
        <w:rPr>
          <w:rFonts w:ascii="Times New Roman" w:hAnsi="Times New Roman" w:cs="Times New Roman"/>
          <w:i/>
          <w:iCs/>
          <w:sz w:val="24"/>
          <w:szCs w:val="24"/>
        </w:rPr>
        <w:t>CABS v Stone &amp; 4 Ors</w:t>
      </w:r>
      <w:r w:rsidR="009C7FB7">
        <w:rPr>
          <w:rFonts w:ascii="Times New Roman" w:hAnsi="Times New Roman" w:cs="Times New Roman"/>
          <w:sz w:val="24"/>
          <w:szCs w:val="24"/>
        </w:rPr>
        <w:t xml:space="preserve"> SC 15-21</w:t>
      </w:r>
      <w:r w:rsidR="00F947DD">
        <w:rPr>
          <w:rFonts w:ascii="Times New Roman" w:hAnsi="Times New Roman" w:cs="Times New Roman"/>
          <w:sz w:val="24"/>
          <w:szCs w:val="24"/>
        </w:rPr>
        <w:t>.</w:t>
      </w:r>
    </w:p>
    <w:p w14:paraId="2EDDCEC0" w14:textId="60A97CAD" w:rsidR="007F7BAE" w:rsidRDefault="00B9411B"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[ 6</w:t>
      </w:r>
      <w:r w:rsidR="002B39D7">
        <w:rPr>
          <w:rFonts w:ascii="Times New Roman" w:hAnsi="Times New Roman" w:cs="Times New Roman"/>
          <w:sz w:val="24"/>
          <w:szCs w:val="24"/>
        </w:rPr>
        <w:t>5</w:t>
      </w:r>
      <w:r>
        <w:rPr>
          <w:rFonts w:ascii="Times New Roman" w:hAnsi="Times New Roman" w:cs="Times New Roman"/>
          <w:sz w:val="24"/>
          <w:szCs w:val="24"/>
        </w:rPr>
        <w:t xml:space="preserve">] </w:t>
      </w:r>
      <w:r w:rsidR="007F7BAE">
        <w:rPr>
          <w:rFonts w:ascii="Times New Roman" w:hAnsi="Times New Roman" w:cs="Times New Roman"/>
          <w:sz w:val="24"/>
          <w:szCs w:val="24"/>
        </w:rPr>
        <w:t xml:space="preserve">The </w:t>
      </w:r>
      <w:r w:rsidR="00656F9B">
        <w:rPr>
          <w:rFonts w:ascii="Times New Roman" w:hAnsi="Times New Roman" w:cs="Times New Roman"/>
          <w:sz w:val="24"/>
          <w:szCs w:val="24"/>
        </w:rPr>
        <w:t xml:space="preserve">answer to this question starts with </w:t>
      </w:r>
      <w:r w:rsidR="004B534D">
        <w:rPr>
          <w:rFonts w:ascii="Times New Roman" w:hAnsi="Times New Roman" w:cs="Times New Roman"/>
          <w:sz w:val="24"/>
          <w:szCs w:val="24"/>
        </w:rPr>
        <w:t xml:space="preserve">a discourse into </w:t>
      </w:r>
      <w:r w:rsidR="00656F9B">
        <w:rPr>
          <w:rFonts w:ascii="Times New Roman" w:hAnsi="Times New Roman" w:cs="Times New Roman"/>
          <w:sz w:val="24"/>
          <w:szCs w:val="24"/>
        </w:rPr>
        <w:t xml:space="preserve">the meaning of the </w:t>
      </w:r>
      <w:r w:rsidR="007F7BAE">
        <w:rPr>
          <w:rFonts w:ascii="Times New Roman" w:hAnsi="Times New Roman" w:cs="Times New Roman"/>
          <w:sz w:val="24"/>
          <w:szCs w:val="24"/>
        </w:rPr>
        <w:t>word</w:t>
      </w:r>
      <w:r w:rsidR="00B53D79">
        <w:rPr>
          <w:rFonts w:ascii="Times New Roman" w:hAnsi="Times New Roman" w:cs="Times New Roman"/>
          <w:sz w:val="24"/>
          <w:szCs w:val="24"/>
        </w:rPr>
        <w:t xml:space="preserve"> “</w:t>
      </w:r>
      <w:r w:rsidR="00656F9B">
        <w:rPr>
          <w:rFonts w:ascii="Times New Roman" w:hAnsi="Times New Roman" w:cs="Times New Roman"/>
          <w:sz w:val="24"/>
          <w:szCs w:val="24"/>
        </w:rPr>
        <w:t xml:space="preserve">denominated”. </w:t>
      </w:r>
      <w:r w:rsidR="0098286F">
        <w:rPr>
          <w:rFonts w:ascii="Times New Roman" w:hAnsi="Times New Roman" w:cs="Times New Roman"/>
          <w:sz w:val="24"/>
          <w:szCs w:val="24"/>
        </w:rPr>
        <w:t>This word has, in my view,</w:t>
      </w:r>
      <w:r w:rsidR="00656F9B">
        <w:rPr>
          <w:rFonts w:ascii="Times New Roman" w:hAnsi="Times New Roman" w:cs="Times New Roman"/>
          <w:sz w:val="24"/>
          <w:szCs w:val="24"/>
        </w:rPr>
        <w:t xml:space="preserve"> been variously applied to </w:t>
      </w:r>
      <w:r w:rsidR="0098286F">
        <w:rPr>
          <w:rFonts w:ascii="Times New Roman" w:hAnsi="Times New Roman" w:cs="Times New Roman"/>
          <w:sz w:val="24"/>
          <w:szCs w:val="24"/>
        </w:rPr>
        <w:t>mean</w:t>
      </w:r>
      <w:r w:rsidR="00656F9B">
        <w:rPr>
          <w:rFonts w:ascii="Times New Roman" w:hAnsi="Times New Roman" w:cs="Times New Roman"/>
          <w:sz w:val="24"/>
          <w:szCs w:val="24"/>
        </w:rPr>
        <w:t xml:space="preserve"> “</w:t>
      </w:r>
      <w:r w:rsidR="0098286F">
        <w:rPr>
          <w:rFonts w:ascii="Times New Roman" w:hAnsi="Times New Roman" w:cs="Times New Roman"/>
          <w:sz w:val="24"/>
          <w:szCs w:val="24"/>
        </w:rPr>
        <w:t>denote, value, designate,</w:t>
      </w:r>
      <w:r w:rsidR="00B53D79">
        <w:rPr>
          <w:rFonts w:ascii="Times New Roman" w:hAnsi="Times New Roman" w:cs="Times New Roman"/>
          <w:sz w:val="24"/>
          <w:szCs w:val="24"/>
        </w:rPr>
        <w:t xml:space="preserve"> </w:t>
      </w:r>
      <w:r w:rsidR="00892DF7">
        <w:rPr>
          <w:rFonts w:ascii="Times New Roman" w:hAnsi="Times New Roman" w:cs="Times New Roman"/>
          <w:sz w:val="24"/>
          <w:szCs w:val="24"/>
        </w:rPr>
        <w:t>express, calibrate</w:t>
      </w:r>
      <w:r w:rsidR="00B53D79">
        <w:rPr>
          <w:rFonts w:ascii="Times New Roman" w:hAnsi="Times New Roman" w:cs="Times New Roman"/>
          <w:sz w:val="24"/>
          <w:szCs w:val="24"/>
        </w:rPr>
        <w:t xml:space="preserve"> or reference”. </w:t>
      </w:r>
      <w:r w:rsidR="007F7BAE">
        <w:rPr>
          <w:rFonts w:ascii="Times New Roman" w:hAnsi="Times New Roman" w:cs="Times New Roman"/>
          <w:sz w:val="24"/>
          <w:szCs w:val="24"/>
        </w:rPr>
        <w:t xml:space="preserve">See </w:t>
      </w:r>
      <w:r w:rsidR="007F7BAE" w:rsidRPr="007F7BAE">
        <w:rPr>
          <w:rFonts w:ascii="Times New Roman" w:hAnsi="Times New Roman" w:cs="Times New Roman"/>
          <w:i/>
          <w:iCs/>
          <w:sz w:val="24"/>
          <w:szCs w:val="24"/>
        </w:rPr>
        <w:t>Breastplate</w:t>
      </w:r>
      <w:r w:rsidR="00B53D79" w:rsidRPr="00185E47">
        <w:rPr>
          <w:rFonts w:ascii="Times New Roman" w:hAnsi="Times New Roman" w:cs="Times New Roman"/>
          <w:i/>
          <w:iCs/>
          <w:sz w:val="24"/>
          <w:szCs w:val="24"/>
        </w:rPr>
        <w:t xml:space="preserve"> Service (Pvt) Ltd v Cambria Africa Plc SC 66/20;</w:t>
      </w:r>
      <w:r w:rsidR="00B53D79">
        <w:rPr>
          <w:rFonts w:ascii="Times New Roman" w:hAnsi="Times New Roman" w:cs="Times New Roman"/>
          <w:sz w:val="24"/>
          <w:szCs w:val="24"/>
        </w:rPr>
        <w:t xml:space="preserve"> </w:t>
      </w:r>
      <w:bookmarkStart w:id="2" w:name="_Hlk170310997"/>
      <w:r w:rsidR="00B53D79" w:rsidRPr="006F55FB">
        <w:rPr>
          <w:rFonts w:ascii="Times New Roman" w:hAnsi="Times New Roman" w:cs="Times New Roman"/>
          <w:i/>
          <w:iCs/>
          <w:sz w:val="24"/>
          <w:szCs w:val="24"/>
        </w:rPr>
        <w:t>Zambezi Gas (Pvt) Ltd v N.R. Barber &amp; Anor SC 3/20</w:t>
      </w:r>
      <w:bookmarkEnd w:id="2"/>
      <w:r w:rsidR="00B53D79">
        <w:rPr>
          <w:rFonts w:ascii="Times New Roman" w:hAnsi="Times New Roman" w:cs="Times New Roman"/>
          <w:i/>
          <w:iCs/>
          <w:sz w:val="24"/>
          <w:szCs w:val="24"/>
        </w:rPr>
        <w:t xml:space="preserve">; </w:t>
      </w:r>
      <w:bookmarkStart w:id="3" w:name="_Hlk170322185"/>
      <w:r w:rsidR="00B53D79" w:rsidRPr="006F55FB">
        <w:rPr>
          <w:rFonts w:ascii="Times New Roman" w:hAnsi="Times New Roman" w:cs="Times New Roman"/>
          <w:sz w:val="24"/>
          <w:szCs w:val="24"/>
        </w:rPr>
        <w:t>and</w:t>
      </w:r>
      <w:r w:rsidR="00B53D79">
        <w:rPr>
          <w:rFonts w:ascii="Times New Roman" w:hAnsi="Times New Roman" w:cs="Times New Roman"/>
          <w:i/>
          <w:iCs/>
          <w:sz w:val="24"/>
          <w:szCs w:val="24"/>
        </w:rPr>
        <w:t xml:space="preserve"> </w:t>
      </w:r>
      <w:r w:rsidR="00B53D79" w:rsidRPr="006F55FB">
        <w:rPr>
          <w:rFonts w:ascii="Times New Roman" w:hAnsi="Times New Roman" w:cs="Times New Roman"/>
          <w:i/>
          <w:iCs/>
          <w:sz w:val="24"/>
          <w:szCs w:val="24"/>
        </w:rPr>
        <w:t>Mushayakurara v Zimbabwe Leaf Tobacco Company SC 108-21</w:t>
      </w:r>
      <w:r w:rsidR="00B53D79">
        <w:rPr>
          <w:rFonts w:ascii="Times New Roman" w:hAnsi="Times New Roman" w:cs="Times New Roman"/>
          <w:sz w:val="24"/>
          <w:szCs w:val="24"/>
        </w:rPr>
        <w:t xml:space="preserve"> </w:t>
      </w:r>
      <w:bookmarkEnd w:id="3"/>
      <w:r w:rsidR="00B53D79">
        <w:rPr>
          <w:rFonts w:ascii="Times New Roman" w:hAnsi="Times New Roman" w:cs="Times New Roman"/>
          <w:sz w:val="24"/>
          <w:szCs w:val="24"/>
        </w:rPr>
        <w:t>among many others</w:t>
      </w:r>
      <w:r w:rsidR="007F7BAE">
        <w:rPr>
          <w:rFonts w:ascii="Times New Roman" w:hAnsi="Times New Roman" w:cs="Times New Roman"/>
          <w:sz w:val="24"/>
          <w:szCs w:val="24"/>
        </w:rPr>
        <w:t xml:space="preserve">). </w:t>
      </w:r>
    </w:p>
    <w:p w14:paraId="03BB4306" w14:textId="0489FA83" w:rsidR="008E3F52" w:rsidRDefault="0064675F" w:rsidP="008E65A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2B39D7">
        <w:rPr>
          <w:rFonts w:ascii="Times New Roman" w:hAnsi="Times New Roman" w:cs="Times New Roman"/>
          <w:sz w:val="24"/>
          <w:szCs w:val="24"/>
        </w:rPr>
        <w:t>6</w:t>
      </w:r>
      <w:r>
        <w:rPr>
          <w:rFonts w:ascii="Times New Roman" w:hAnsi="Times New Roman" w:cs="Times New Roman"/>
          <w:sz w:val="24"/>
          <w:szCs w:val="24"/>
        </w:rPr>
        <w:t xml:space="preserve">] </w:t>
      </w:r>
      <w:r w:rsidR="007F7BAE">
        <w:rPr>
          <w:rFonts w:ascii="Times New Roman" w:hAnsi="Times New Roman" w:cs="Times New Roman"/>
          <w:sz w:val="24"/>
          <w:szCs w:val="24"/>
        </w:rPr>
        <w:t>In</w:t>
      </w:r>
      <w:r w:rsidR="00B53D79">
        <w:rPr>
          <w:rFonts w:ascii="Times New Roman" w:hAnsi="Times New Roman" w:cs="Times New Roman"/>
          <w:sz w:val="24"/>
          <w:szCs w:val="24"/>
        </w:rPr>
        <w:t xml:space="preserve"> both </w:t>
      </w:r>
      <w:r w:rsidR="00B53D79" w:rsidRPr="006F55FB">
        <w:rPr>
          <w:rFonts w:ascii="Times New Roman" w:hAnsi="Times New Roman" w:cs="Times New Roman"/>
          <w:i/>
          <w:iCs/>
          <w:sz w:val="24"/>
          <w:szCs w:val="24"/>
        </w:rPr>
        <w:t>Breastplate</w:t>
      </w:r>
      <w:r w:rsidR="00B53D79">
        <w:rPr>
          <w:rFonts w:ascii="Times New Roman" w:hAnsi="Times New Roman" w:cs="Times New Roman"/>
          <w:sz w:val="24"/>
          <w:szCs w:val="24"/>
        </w:rPr>
        <w:t xml:space="preserve"> and </w:t>
      </w:r>
      <w:r w:rsidR="00B53D79" w:rsidRPr="006F55FB">
        <w:rPr>
          <w:rFonts w:ascii="Times New Roman" w:hAnsi="Times New Roman" w:cs="Times New Roman"/>
          <w:i/>
          <w:iCs/>
          <w:sz w:val="24"/>
          <w:szCs w:val="24"/>
        </w:rPr>
        <w:t>Mushayakurara</w:t>
      </w:r>
      <w:r w:rsidR="00B53D79">
        <w:rPr>
          <w:rFonts w:ascii="Times New Roman" w:hAnsi="Times New Roman" w:cs="Times New Roman"/>
          <w:sz w:val="24"/>
          <w:szCs w:val="24"/>
        </w:rPr>
        <w:t>, (supra), the Supreme Court articulated the word “</w:t>
      </w:r>
      <w:r w:rsidR="00B53D79" w:rsidRPr="006F55FB">
        <w:rPr>
          <w:rFonts w:ascii="Times New Roman" w:hAnsi="Times New Roman" w:cs="Times New Roman"/>
          <w:sz w:val="24"/>
          <w:szCs w:val="24"/>
          <w:u w:val="single"/>
        </w:rPr>
        <w:t>denominated</w:t>
      </w:r>
      <w:r w:rsidR="00B53D79">
        <w:rPr>
          <w:rFonts w:ascii="Times New Roman" w:hAnsi="Times New Roman" w:cs="Times New Roman"/>
          <w:sz w:val="24"/>
          <w:szCs w:val="24"/>
        </w:rPr>
        <w:t>” by use of terms like “</w:t>
      </w:r>
      <w:r w:rsidR="00B53D79" w:rsidRPr="004657E7">
        <w:rPr>
          <w:rFonts w:ascii="Times New Roman" w:hAnsi="Times New Roman" w:cs="Times New Roman"/>
          <w:sz w:val="24"/>
          <w:szCs w:val="24"/>
          <w:u w:val="single"/>
        </w:rPr>
        <w:t>valued</w:t>
      </w:r>
      <w:r w:rsidR="00B53D79">
        <w:rPr>
          <w:rFonts w:ascii="Times New Roman" w:hAnsi="Times New Roman" w:cs="Times New Roman"/>
          <w:sz w:val="24"/>
          <w:szCs w:val="24"/>
        </w:rPr>
        <w:t>”, and “</w:t>
      </w:r>
      <w:r w:rsidR="00B53D79" w:rsidRPr="006F55FB">
        <w:rPr>
          <w:rFonts w:ascii="Times New Roman" w:hAnsi="Times New Roman" w:cs="Times New Roman"/>
          <w:sz w:val="24"/>
          <w:szCs w:val="24"/>
          <w:u w:val="single"/>
        </w:rPr>
        <w:t>expressed and valued</w:t>
      </w:r>
      <w:r w:rsidR="00B53D79">
        <w:rPr>
          <w:rFonts w:ascii="Times New Roman" w:hAnsi="Times New Roman" w:cs="Times New Roman"/>
          <w:sz w:val="24"/>
          <w:szCs w:val="24"/>
        </w:rPr>
        <w:t xml:space="preserve">”-see </w:t>
      </w:r>
      <w:r w:rsidR="00B53D79" w:rsidRPr="006F55FB">
        <w:rPr>
          <w:rFonts w:ascii="Times New Roman" w:hAnsi="Times New Roman" w:cs="Times New Roman"/>
          <w:i/>
          <w:iCs/>
          <w:sz w:val="24"/>
          <w:szCs w:val="24"/>
        </w:rPr>
        <w:t>Mushayakurara</w:t>
      </w:r>
      <w:r w:rsidR="00B53D79">
        <w:rPr>
          <w:rFonts w:ascii="Times New Roman" w:hAnsi="Times New Roman" w:cs="Times New Roman"/>
          <w:sz w:val="24"/>
          <w:szCs w:val="24"/>
        </w:rPr>
        <w:t xml:space="preserve"> at page </w:t>
      </w:r>
      <w:r w:rsidR="008E3F52">
        <w:rPr>
          <w:rFonts w:ascii="Times New Roman" w:hAnsi="Times New Roman" w:cs="Times New Roman"/>
          <w:sz w:val="24"/>
          <w:szCs w:val="24"/>
        </w:rPr>
        <w:t>6.</w:t>
      </w:r>
      <w:r w:rsidR="004F63CC">
        <w:rPr>
          <w:rFonts w:ascii="Times New Roman" w:hAnsi="Times New Roman" w:cs="Times New Roman"/>
          <w:sz w:val="24"/>
          <w:szCs w:val="24"/>
        </w:rPr>
        <w:t xml:space="preserve"> </w:t>
      </w:r>
    </w:p>
    <w:p w14:paraId="762CC813" w14:textId="3F6BDE64" w:rsidR="000C4924" w:rsidRDefault="00B9411B" w:rsidP="00B53D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675F">
        <w:rPr>
          <w:rFonts w:ascii="Times New Roman" w:hAnsi="Times New Roman" w:cs="Times New Roman"/>
          <w:sz w:val="24"/>
          <w:szCs w:val="24"/>
        </w:rPr>
        <w:t>6</w:t>
      </w:r>
      <w:r w:rsidR="002B39D7">
        <w:rPr>
          <w:rFonts w:ascii="Times New Roman" w:hAnsi="Times New Roman" w:cs="Times New Roman"/>
          <w:sz w:val="24"/>
          <w:szCs w:val="24"/>
        </w:rPr>
        <w:t>7</w:t>
      </w:r>
      <w:r w:rsidR="0064675F">
        <w:rPr>
          <w:rFonts w:ascii="Times New Roman" w:hAnsi="Times New Roman" w:cs="Times New Roman"/>
          <w:sz w:val="24"/>
          <w:szCs w:val="24"/>
        </w:rPr>
        <w:t>]</w:t>
      </w:r>
      <w:r w:rsidR="00B53D79">
        <w:rPr>
          <w:rFonts w:ascii="Times New Roman" w:hAnsi="Times New Roman" w:cs="Times New Roman"/>
          <w:sz w:val="24"/>
          <w:szCs w:val="24"/>
        </w:rPr>
        <w:t xml:space="preserve">. </w:t>
      </w:r>
      <w:r w:rsidR="0098286F">
        <w:rPr>
          <w:rFonts w:ascii="Times New Roman" w:hAnsi="Times New Roman" w:cs="Times New Roman"/>
          <w:sz w:val="24"/>
          <w:szCs w:val="24"/>
        </w:rPr>
        <w:t xml:space="preserve">And going </w:t>
      </w:r>
      <w:r w:rsidR="000C4924">
        <w:rPr>
          <w:rFonts w:ascii="Times New Roman" w:hAnsi="Times New Roman" w:cs="Times New Roman"/>
          <w:sz w:val="24"/>
          <w:szCs w:val="24"/>
        </w:rPr>
        <w:t>further, it</w:t>
      </w:r>
      <w:r w:rsidR="00656F9B">
        <w:rPr>
          <w:rFonts w:ascii="Times New Roman" w:hAnsi="Times New Roman" w:cs="Times New Roman"/>
          <w:sz w:val="24"/>
          <w:szCs w:val="24"/>
        </w:rPr>
        <w:t xml:space="preserve"> appears that Mr. Mpofu’s argument finds support from the </w:t>
      </w:r>
      <w:r w:rsidR="00B53D79">
        <w:rPr>
          <w:rFonts w:ascii="Times New Roman" w:hAnsi="Times New Roman" w:cs="Times New Roman"/>
          <w:sz w:val="24"/>
          <w:szCs w:val="24"/>
        </w:rPr>
        <w:t xml:space="preserve">Supreme </w:t>
      </w:r>
      <w:r w:rsidR="00656F9B">
        <w:rPr>
          <w:rFonts w:ascii="Times New Roman" w:hAnsi="Times New Roman" w:cs="Times New Roman"/>
          <w:sz w:val="24"/>
          <w:szCs w:val="24"/>
        </w:rPr>
        <w:t>Court</w:t>
      </w:r>
      <w:r w:rsidR="009C7FB7">
        <w:rPr>
          <w:rFonts w:ascii="Times New Roman" w:hAnsi="Times New Roman" w:cs="Times New Roman"/>
          <w:sz w:val="24"/>
          <w:szCs w:val="24"/>
        </w:rPr>
        <w:t xml:space="preserve"> decision of </w:t>
      </w:r>
      <w:r w:rsidR="009C7FB7" w:rsidRPr="008B1FF6">
        <w:rPr>
          <w:rFonts w:ascii="Times New Roman" w:hAnsi="Times New Roman" w:cs="Times New Roman"/>
          <w:i/>
          <w:iCs/>
          <w:sz w:val="24"/>
          <w:szCs w:val="24"/>
        </w:rPr>
        <w:t>Mushayakurara</w:t>
      </w:r>
      <w:r w:rsidR="009C7FB7" w:rsidRPr="008B1FF6">
        <w:rPr>
          <w:rFonts w:ascii="Times New Roman" w:hAnsi="Times New Roman" w:cs="Times New Roman"/>
          <w:sz w:val="24"/>
          <w:szCs w:val="24"/>
        </w:rPr>
        <w:t xml:space="preserve"> </w:t>
      </w:r>
      <w:r w:rsidR="009C7FB7" w:rsidRPr="008B1FF6">
        <w:rPr>
          <w:rFonts w:ascii="Times New Roman" w:hAnsi="Times New Roman" w:cs="Times New Roman"/>
          <w:kern w:val="0"/>
          <w:sz w:val="24"/>
          <w:szCs w:val="24"/>
        </w:rPr>
        <w:t xml:space="preserve">v </w:t>
      </w:r>
      <w:r w:rsidR="009C7FB7" w:rsidRPr="008B1FF6">
        <w:rPr>
          <w:rFonts w:ascii="Times New Roman" w:hAnsi="Times New Roman" w:cs="Times New Roman"/>
          <w:i/>
          <w:iCs/>
          <w:kern w:val="0"/>
          <w:sz w:val="24"/>
          <w:szCs w:val="24"/>
        </w:rPr>
        <w:t>Zimbabwe Leaf Tobacco (Private) Limited</w:t>
      </w:r>
      <w:r w:rsidR="009C7FB7" w:rsidRPr="008B1FF6">
        <w:rPr>
          <w:rFonts w:ascii="Times New Roman" w:hAnsi="Times New Roman" w:cs="Times New Roman"/>
          <w:b/>
          <w:bCs/>
          <w:kern w:val="0"/>
          <w:sz w:val="24"/>
          <w:szCs w:val="24"/>
        </w:rPr>
        <w:t xml:space="preserve"> </w:t>
      </w:r>
      <w:r w:rsidR="009C7FB7" w:rsidRPr="008B1FF6">
        <w:rPr>
          <w:rFonts w:ascii="Times New Roman" w:hAnsi="Times New Roman" w:cs="Times New Roman"/>
          <w:kern w:val="0"/>
          <w:sz w:val="24"/>
          <w:szCs w:val="24"/>
        </w:rPr>
        <w:t>SC 108</w:t>
      </w:r>
      <w:r w:rsidR="009C7FB7">
        <w:rPr>
          <w:rFonts w:ascii="Times New Roman" w:hAnsi="Times New Roman" w:cs="Times New Roman"/>
          <w:kern w:val="0"/>
          <w:sz w:val="24"/>
          <w:szCs w:val="24"/>
        </w:rPr>
        <w:t>-</w:t>
      </w:r>
      <w:r w:rsidR="000C4924">
        <w:rPr>
          <w:rFonts w:ascii="Times New Roman" w:hAnsi="Times New Roman" w:cs="Times New Roman"/>
          <w:kern w:val="0"/>
          <w:sz w:val="24"/>
          <w:szCs w:val="24"/>
        </w:rPr>
        <w:t>21</w:t>
      </w:r>
      <w:r w:rsidR="000C4924">
        <w:rPr>
          <w:rFonts w:ascii="Times New Roman" w:hAnsi="Times New Roman" w:cs="Times New Roman"/>
          <w:sz w:val="24"/>
          <w:szCs w:val="24"/>
        </w:rPr>
        <w:t>. The</w:t>
      </w:r>
      <w:r w:rsidR="0098286F">
        <w:rPr>
          <w:rFonts w:ascii="Times New Roman" w:hAnsi="Times New Roman" w:cs="Times New Roman"/>
          <w:sz w:val="24"/>
          <w:szCs w:val="24"/>
        </w:rPr>
        <w:t xml:space="preserve"> reasoning therein suggests that it </w:t>
      </w:r>
      <w:r w:rsidR="00656F9B">
        <w:rPr>
          <w:rFonts w:ascii="Times New Roman" w:hAnsi="Times New Roman" w:cs="Times New Roman"/>
          <w:sz w:val="24"/>
          <w:szCs w:val="24"/>
        </w:rPr>
        <w:t xml:space="preserve">may not be necessary to delve into an inquiry into whether on not a debt is a foreign loan or foreign obligation if that debt is </w:t>
      </w:r>
      <w:r w:rsidR="009C7FB7">
        <w:rPr>
          <w:rFonts w:ascii="Times New Roman" w:hAnsi="Times New Roman" w:cs="Times New Roman"/>
          <w:sz w:val="24"/>
          <w:szCs w:val="24"/>
        </w:rPr>
        <w:t xml:space="preserve">clearly </w:t>
      </w:r>
      <w:r w:rsidR="00656F9B">
        <w:rPr>
          <w:rFonts w:ascii="Times New Roman" w:hAnsi="Times New Roman" w:cs="Times New Roman"/>
          <w:sz w:val="24"/>
          <w:szCs w:val="24"/>
        </w:rPr>
        <w:t xml:space="preserve">not denominated in United States Dollars. </w:t>
      </w:r>
    </w:p>
    <w:p w14:paraId="6C38F68A" w14:textId="25F3199F" w:rsidR="00B53D79" w:rsidRDefault="000C4924" w:rsidP="00B53D79">
      <w:pPr>
        <w:spacing w:line="360" w:lineRule="auto"/>
        <w:jc w:val="both"/>
        <w:rPr>
          <w:rFonts w:ascii="Times New Roman" w:hAnsi="Times New Roman" w:cs="Times New Roman"/>
          <w:sz w:val="24"/>
          <w:szCs w:val="24"/>
        </w:rPr>
      </w:pPr>
      <w:r>
        <w:rPr>
          <w:rFonts w:ascii="Times New Roman" w:hAnsi="Times New Roman" w:cs="Times New Roman"/>
          <w:sz w:val="24"/>
          <w:szCs w:val="24"/>
        </w:rPr>
        <w:t>[ 68] But in case this reading of the authority is incorrect, the same decision went further to put matters beyond issue as regards the proper interpretational approach to take regarding section 44</w:t>
      </w:r>
      <w:r w:rsidR="00EF384D">
        <w:rPr>
          <w:rFonts w:ascii="Times New Roman" w:hAnsi="Times New Roman" w:cs="Times New Roman"/>
          <w:sz w:val="24"/>
          <w:szCs w:val="24"/>
        </w:rPr>
        <w:t>C (</w:t>
      </w:r>
      <w:r>
        <w:rPr>
          <w:rFonts w:ascii="Times New Roman" w:hAnsi="Times New Roman" w:cs="Times New Roman"/>
          <w:sz w:val="24"/>
          <w:szCs w:val="24"/>
        </w:rPr>
        <w:t>2) (b</w:t>
      </w:r>
      <w:r w:rsidR="00EF384D">
        <w:rPr>
          <w:rFonts w:ascii="Times New Roman" w:hAnsi="Times New Roman" w:cs="Times New Roman"/>
          <w:sz w:val="24"/>
          <w:szCs w:val="24"/>
        </w:rPr>
        <w:t>).</w:t>
      </w:r>
      <w:r w:rsidR="00B53D79">
        <w:rPr>
          <w:rFonts w:ascii="Times New Roman" w:hAnsi="Times New Roman" w:cs="Times New Roman"/>
          <w:sz w:val="24"/>
          <w:szCs w:val="24"/>
        </w:rPr>
        <w:t xml:space="preserve"> </w:t>
      </w:r>
      <w:r w:rsidR="00656F9B">
        <w:rPr>
          <w:rFonts w:ascii="Times New Roman" w:hAnsi="Times New Roman" w:cs="Times New Roman"/>
          <w:sz w:val="24"/>
          <w:szCs w:val="24"/>
        </w:rPr>
        <w:t xml:space="preserve">The Supreme </w:t>
      </w:r>
      <w:r w:rsidR="009C7FB7">
        <w:rPr>
          <w:rFonts w:ascii="Times New Roman" w:hAnsi="Times New Roman" w:cs="Times New Roman"/>
          <w:sz w:val="24"/>
          <w:szCs w:val="24"/>
        </w:rPr>
        <w:t>Court, per MALABA CJ,</w:t>
      </w:r>
      <w:r w:rsidR="00656F9B">
        <w:rPr>
          <w:rFonts w:ascii="Times New Roman" w:hAnsi="Times New Roman" w:cs="Times New Roman"/>
          <w:sz w:val="24"/>
          <w:szCs w:val="24"/>
        </w:rPr>
        <w:t xml:space="preserve"> held as follows </w:t>
      </w:r>
      <w:r w:rsidR="009C7FB7">
        <w:rPr>
          <w:rFonts w:ascii="Times New Roman" w:hAnsi="Times New Roman" w:cs="Times New Roman"/>
          <w:sz w:val="24"/>
          <w:szCs w:val="24"/>
        </w:rPr>
        <w:t xml:space="preserve">[ </w:t>
      </w:r>
      <w:r w:rsidR="00F947DD">
        <w:rPr>
          <w:rFonts w:ascii="Times New Roman" w:hAnsi="Times New Roman" w:cs="Times New Roman"/>
          <w:sz w:val="24"/>
          <w:szCs w:val="24"/>
        </w:rPr>
        <w:t>at page</w:t>
      </w:r>
      <w:r w:rsidR="009C7FB7">
        <w:rPr>
          <w:rFonts w:ascii="Times New Roman" w:hAnsi="Times New Roman" w:cs="Times New Roman"/>
          <w:sz w:val="24"/>
          <w:szCs w:val="24"/>
        </w:rPr>
        <w:t xml:space="preserve"> 6]</w:t>
      </w:r>
      <w:r>
        <w:rPr>
          <w:rFonts w:ascii="Times New Roman" w:hAnsi="Times New Roman" w:cs="Times New Roman"/>
          <w:sz w:val="24"/>
          <w:szCs w:val="24"/>
        </w:rPr>
        <w:t xml:space="preserve"> of that decision</w:t>
      </w:r>
      <w:r w:rsidR="00B53D79">
        <w:rPr>
          <w:rFonts w:ascii="Times New Roman" w:hAnsi="Times New Roman" w:cs="Times New Roman"/>
          <w:sz w:val="24"/>
          <w:szCs w:val="24"/>
        </w:rPr>
        <w:t>; -</w:t>
      </w:r>
    </w:p>
    <w:p w14:paraId="26288EFF" w14:textId="0A680C91" w:rsidR="00352F43" w:rsidRDefault="00185E47" w:rsidP="00DD6D4E">
      <w:pPr>
        <w:spacing w:line="360" w:lineRule="auto"/>
        <w:ind w:left="1134"/>
        <w:jc w:val="both"/>
        <w:rPr>
          <w:rFonts w:ascii="Times New Roman" w:hAnsi="Times New Roman" w:cs="Times New Roman"/>
          <w:sz w:val="24"/>
          <w:szCs w:val="24"/>
        </w:rPr>
      </w:pPr>
      <w:r w:rsidRPr="00185E47">
        <w:rPr>
          <w:rFonts w:ascii="Times New Roman" w:hAnsi="Times New Roman" w:cs="Times New Roman"/>
          <w:sz w:val="24"/>
          <w:szCs w:val="24"/>
        </w:rPr>
        <w:t xml:space="preserve">“The term </w:t>
      </w:r>
      <w:r w:rsidRPr="006F6875">
        <w:rPr>
          <w:rFonts w:ascii="Times New Roman" w:hAnsi="Times New Roman" w:cs="Times New Roman"/>
          <w:i/>
          <w:iCs/>
          <w:sz w:val="24"/>
          <w:szCs w:val="24"/>
          <w:u w:val="single"/>
        </w:rPr>
        <w:t>“foreign loans and obligations denominated in any foreign currency</w:t>
      </w:r>
      <w:r w:rsidRPr="00185E47">
        <w:rPr>
          <w:rFonts w:ascii="Times New Roman" w:hAnsi="Times New Roman" w:cs="Times New Roman"/>
          <w:sz w:val="24"/>
          <w:szCs w:val="24"/>
        </w:rPr>
        <w:t xml:space="preserve">”, as it appears in s 44C (2) of the Reserve Bank Act, is not defined in SI 33 of 2019. As stated in the </w:t>
      </w:r>
      <w:r w:rsidRPr="00185E47">
        <w:rPr>
          <w:rFonts w:ascii="Times New Roman" w:hAnsi="Times New Roman" w:cs="Times New Roman"/>
          <w:i/>
          <w:iCs/>
          <w:sz w:val="24"/>
          <w:szCs w:val="24"/>
        </w:rPr>
        <w:t xml:space="preserve">Breastplate </w:t>
      </w:r>
      <w:r w:rsidRPr="00185E47">
        <w:rPr>
          <w:rFonts w:ascii="Times New Roman" w:hAnsi="Times New Roman" w:cs="Times New Roman"/>
          <w:sz w:val="24"/>
          <w:szCs w:val="24"/>
        </w:rPr>
        <w:t xml:space="preserve">case supra, its meaning in any given case </w:t>
      </w:r>
      <w:r w:rsidRPr="006F6875">
        <w:rPr>
          <w:rFonts w:ascii="Times New Roman" w:hAnsi="Times New Roman" w:cs="Times New Roman"/>
          <w:i/>
          <w:iCs/>
          <w:sz w:val="24"/>
          <w:szCs w:val="24"/>
          <w:u w:val="single"/>
        </w:rPr>
        <w:t>must be ascertained from the factual circumstances of the parties involved and the material substance of the transaction that they have entered into.</w:t>
      </w:r>
      <w:r w:rsidRPr="00185E47">
        <w:rPr>
          <w:rFonts w:ascii="Times New Roman" w:hAnsi="Times New Roman" w:cs="Times New Roman"/>
          <w:sz w:val="24"/>
          <w:szCs w:val="24"/>
        </w:rPr>
        <w:t xml:space="preserve"> Section 44C(2)(b) of the Reserve Bank Act makes it clear that the issuance of any electronic currency, that is RTGS dollars, shall not affect or apply to any foreign obligation, </w:t>
      </w:r>
      <w:r w:rsidRPr="006F6875">
        <w:rPr>
          <w:rFonts w:ascii="Times New Roman" w:hAnsi="Times New Roman" w:cs="Times New Roman"/>
          <w:i/>
          <w:iCs/>
          <w:sz w:val="24"/>
          <w:szCs w:val="24"/>
          <w:u w:val="single"/>
        </w:rPr>
        <w:t>as the provision explicitly excludes foreign obligations valued and expressed in United States dollars</w:t>
      </w:r>
      <w:r w:rsidRPr="00185E47">
        <w:rPr>
          <w:rFonts w:ascii="Times New Roman" w:hAnsi="Times New Roman" w:cs="Times New Roman"/>
          <w:sz w:val="24"/>
          <w:szCs w:val="24"/>
        </w:rPr>
        <w:t xml:space="preserve"> from the deemed parity valuation in RTGS dollars.”</w:t>
      </w:r>
      <w:r>
        <w:rPr>
          <w:rFonts w:ascii="Times New Roman" w:hAnsi="Times New Roman" w:cs="Times New Roman"/>
          <w:sz w:val="24"/>
          <w:szCs w:val="24"/>
        </w:rPr>
        <w:t xml:space="preserve"> [ </w:t>
      </w:r>
      <w:r w:rsidR="006F6875">
        <w:rPr>
          <w:rFonts w:ascii="Times New Roman" w:hAnsi="Times New Roman" w:cs="Times New Roman"/>
          <w:sz w:val="24"/>
          <w:szCs w:val="24"/>
        </w:rPr>
        <w:t>annotated, underlined and italicised for emphasis]</w:t>
      </w:r>
      <w:r>
        <w:rPr>
          <w:rFonts w:ascii="Times New Roman" w:hAnsi="Times New Roman" w:cs="Times New Roman"/>
          <w:sz w:val="24"/>
          <w:szCs w:val="24"/>
        </w:rPr>
        <w:t xml:space="preserve"> </w:t>
      </w:r>
    </w:p>
    <w:p w14:paraId="334B70C0" w14:textId="7F891727" w:rsidR="008B446B" w:rsidRDefault="007533E3" w:rsidP="008B446B">
      <w:pPr>
        <w:spacing w:line="360" w:lineRule="auto"/>
        <w:jc w:val="both"/>
        <w:rPr>
          <w:rFonts w:ascii="Times New Roman" w:hAnsi="Times New Roman" w:cs="Times New Roman"/>
          <w:sz w:val="24"/>
          <w:szCs w:val="24"/>
        </w:rPr>
      </w:pPr>
      <w:r w:rsidRPr="00EF384D">
        <w:rPr>
          <w:rFonts w:ascii="Times New Roman" w:hAnsi="Times New Roman" w:cs="Times New Roman"/>
          <w:sz w:val="24"/>
          <w:szCs w:val="24"/>
        </w:rPr>
        <w:t>[6</w:t>
      </w:r>
      <w:r w:rsidR="00720B5B">
        <w:rPr>
          <w:rFonts w:ascii="Times New Roman" w:hAnsi="Times New Roman" w:cs="Times New Roman"/>
          <w:sz w:val="24"/>
          <w:szCs w:val="24"/>
        </w:rPr>
        <w:t>9</w:t>
      </w:r>
      <w:r w:rsidRPr="00EF384D">
        <w:rPr>
          <w:rFonts w:ascii="Times New Roman" w:hAnsi="Times New Roman" w:cs="Times New Roman"/>
          <w:sz w:val="24"/>
          <w:szCs w:val="24"/>
        </w:rPr>
        <w:t xml:space="preserve">] </w:t>
      </w:r>
      <w:r w:rsidR="00F947DD" w:rsidRPr="00EF384D">
        <w:rPr>
          <w:rFonts w:ascii="Times New Roman" w:hAnsi="Times New Roman" w:cs="Times New Roman"/>
          <w:sz w:val="24"/>
          <w:szCs w:val="24"/>
        </w:rPr>
        <w:t xml:space="preserve">What emerges from this guidance is that </w:t>
      </w:r>
      <w:r w:rsidR="000C4924" w:rsidRPr="00EF384D">
        <w:rPr>
          <w:rFonts w:ascii="Times New Roman" w:hAnsi="Times New Roman" w:cs="Times New Roman"/>
          <w:sz w:val="24"/>
          <w:szCs w:val="24"/>
        </w:rPr>
        <w:t>a c</w:t>
      </w:r>
      <w:r w:rsidR="00F947DD" w:rsidRPr="00EF384D">
        <w:rPr>
          <w:rFonts w:ascii="Times New Roman" w:hAnsi="Times New Roman" w:cs="Times New Roman"/>
          <w:sz w:val="24"/>
          <w:szCs w:val="24"/>
        </w:rPr>
        <w:t xml:space="preserve">ourt </w:t>
      </w:r>
      <w:r w:rsidR="000C4924" w:rsidRPr="00EF384D">
        <w:rPr>
          <w:rFonts w:ascii="Times New Roman" w:hAnsi="Times New Roman" w:cs="Times New Roman"/>
          <w:sz w:val="24"/>
          <w:szCs w:val="24"/>
        </w:rPr>
        <w:t xml:space="preserve">seized with a prayer under section 44C (2) (b) </w:t>
      </w:r>
      <w:r w:rsidR="00F947DD" w:rsidRPr="00EF384D">
        <w:rPr>
          <w:rFonts w:ascii="Times New Roman" w:hAnsi="Times New Roman" w:cs="Times New Roman"/>
          <w:sz w:val="24"/>
          <w:szCs w:val="24"/>
        </w:rPr>
        <w:t>must conduct</w:t>
      </w:r>
      <w:r w:rsidR="00F947DD">
        <w:rPr>
          <w:rFonts w:ascii="Times New Roman" w:hAnsi="Times New Roman" w:cs="Times New Roman"/>
          <w:sz w:val="24"/>
          <w:szCs w:val="24"/>
        </w:rPr>
        <w:t xml:space="preserve"> an exercise in pragmatism</w:t>
      </w:r>
      <w:r w:rsidR="004B534D">
        <w:rPr>
          <w:rFonts w:ascii="Times New Roman" w:hAnsi="Times New Roman" w:cs="Times New Roman"/>
          <w:sz w:val="24"/>
          <w:szCs w:val="24"/>
        </w:rPr>
        <w:t>,</w:t>
      </w:r>
      <w:r w:rsidR="00EF384D">
        <w:rPr>
          <w:rFonts w:ascii="Times New Roman" w:hAnsi="Times New Roman" w:cs="Times New Roman"/>
          <w:sz w:val="24"/>
          <w:szCs w:val="24"/>
        </w:rPr>
        <w:t xml:space="preserve"> the methodology of which is up to that court</w:t>
      </w:r>
      <w:r w:rsidR="00F947DD">
        <w:rPr>
          <w:rFonts w:ascii="Times New Roman" w:hAnsi="Times New Roman" w:cs="Times New Roman"/>
          <w:sz w:val="24"/>
          <w:szCs w:val="24"/>
        </w:rPr>
        <w:t xml:space="preserve">. It </w:t>
      </w:r>
      <w:r w:rsidR="00EF384D">
        <w:rPr>
          <w:rFonts w:ascii="Times New Roman" w:hAnsi="Times New Roman" w:cs="Times New Roman"/>
          <w:sz w:val="24"/>
          <w:szCs w:val="24"/>
        </w:rPr>
        <w:t>must</w:t>
      </w:r>
      <w:r w:rsidR="004B534D">
        <w:rPr>
          <w:rFonts w:ascii="Times New Roman" w:hAnsi="Times New Roman" w:cs="Times New Roman"/>
          <w:sz w:val="24"/>
          <w:szCs w:val="24"/>
        </w:rPr>
        <w:t xml:space="preserve">, nonetheless, </w:t>
      </w:r>
      <w:r w:rsidR="00EF384D">
        <w:rPr>
          <w:rFonts w:ascii="Times New Roman" w:hAnsi="Times New Roman" w:cs="Times New Roman"/>
          <w:sz w:val="24"/>
          <w:szCs w:val="24"/>
        </w:rPr>
        <w:t>launch</w:t>
      </w:r>
      <w:r w:rsidR="000C4924">
        <w:rPr>
          <w:rFonts w:ascii="Times New Roman" w:hAnsi="Times New Roman" w:cs="Times New Roman"/>
          <w:sz w:val="24"/>
          <w:szCs w:val="24"/>
        </w:rPr>
        <w:t xml:space="preserve"> an</w:t>
      </w:r>
      <w:r w:rsidR="00F947DD">
        <w:rPr>
          <w:rFonts w:ascii="Times New Roman" w:hAnsi="Times New Roman" w:cs="Times New Roman"/>
          <w:sz w:val="24"/>
          <w:szCs w:val="24"/>
        </w:rPr>
        <w:t xml:space="preserve"> examination into “</w:t>
      </w:r>
      <w:r w:rsidR="00F947DD">
        <w:rPr>
          <w:rFonts w:ascii="Times New Roman" w:hAnsi="Times New Roman" w:cs="Times New Roman"/>
          <w:i/>
          <w:iCs/>
          <w:sz w:val="24"/>
          <w:szCs w:val="24"/>
        </w:rPr>
        <w:t>…</w:t>
      </w:r>
      <w:r w:rsidR="00F947DD" w:rsidRPr="00F947DD">
        <w:rPr>
          <w:rFonts w:ascii="Times New Roman" w:hAnsi="Times New Roman" w:cs="Times New Roman"/>
          <w:i/>
          <w:iCs/>
          <w:sz w:val="24"/>
          <w:szCs w:val="24"/>
        </w:rPr>
        <w:t xml:space="preserve"> the </w:t>
      </w:r>
      <w:r w:rsidR="00F947DD" w:rsidRPr="00F947DD">
        <w:rPr>
          <w:rFonts w:ascii="Times New Roman" w:hAnsi="Times New Roman" w:cs="Times New Roman"/>
          <w:b/>
          <w:bCs/>
          <w:i/>
          <w:iCs/>
          <w:sz w:val="24"/>
          <w:szCs w:val="24"/>
        </w:rPr>
        <w:t>factual circumstances</w:t>
      </w:r>
      <w:r w:rsidR="00F947DD" w:rsidRPr="00F947DD">
        <w:rPr>
          <w:rFonts w:ascii="Times New Roman" w:hAnsi="Times New Roman" w:cs="Times New Roman"/>
          <w:i/>
          <w:iCs/>
          <w:sz w:val="24"/>
          <w:szCs w:val="24"/>
        </w:rPr>
        <w:t xml:space="preserve"> of the parties </w:t>
      </w:r>
      <w:r w:rsidR="00F947DD" w:rsidRPr="00F947DD">
        <w:rPr>
          <w:rFonts w:ascii="Times New Roman" w:hAnsi="Times New Roman" w:cs="Times New Roman"/>
          <w:i/>
          <w:iCs/>
          <w:sz w:val="24"/>
          <w:szCs w:val="24"/>
        </w:rPr>
        <w:lastRenderedPageBreak/>
        <w:t xml:space="preserve">involved and the </w:t>
      </w:r>
      <w:r w:rsidR="00F947DD" w:rsidRPr="00F947DD">
        <w:rPr>
          <w:rFonts w:ascii="Times New Roman" w:hAnsi="Times New Roman" w:cs="Times New Roman"/>
          <w:b/>
          <w:bCs/>
          <w:i/>
          <w:iCs/>
          <w:sz w:val="24"/>
          <w:szCs w:val="24"/>
        </w:rPr>
        <w:t>material substance of the transaction</w:t>
      </w:r>
      <w:r w:rsidR="00F947DD" w:rsidRPr="00F947DD">
        <w:rPr>
          <w:rFonts w:ascii="Times New Roman" w:hAnsi="Times New Roman" w:cs="Times New Roman"/>
          <w:i/>
          <w:iCs/>
          <w:sz w:val="24"/>
          <w:szCs w:val="24"/>
        </w:rPr>
        <w:t>”</w:t>
      </w:r>
      <w:r w:rsidR="00F947DD">
        <w:rPr>
          <w:rFonts w:ascii="Times New Roman" w:hAnsi="Times New Roman" w:cs="Times New Roman"/>
          <w:i/>
          <w:iCs/>
          <w:sz w:val="24"/>
          <w:szCs w:val="24"/>
        </w:rPr>
        <w:t xml:space="preserve"> </w:t>
      </w:r>
      <w:r w:rsidR="00F947DD" w:rsidRPr="008B446B">
        <w:rPr>
          <w:rFonts w:ascii="Times New Roman" w:hAnsi="Times New Roman" w:cs="Times New Roman"/>
          <w:sz w:val="24"/>
          <w:szCs w:val="24"/>
        </w:rPr>
        <w:t>That is</w:t>
      </w:r>
      <w:r w:rsidR="00F947DD">
        <w:rPr>
          <w:rFonts w:ascii="Times New Roman" w:hAnsi="Times New Roman" w:cs="Times New Roman"/>
          <w:sz w:val="24"/>
          <w:szCs w:val="24"/>
        </w:rPr>
        <w:t xml:space="preserve"> the core exercise which a court </w:t>
      </w:r>
      <w:r w:rsidR="000C4924">
        <w:rPr>
          <w:rFonts w:ascii="Times New Roman" w:hAnsi="Times New Roman" w:cs="Times New Roman"/>
          <w:sz w:val="24"/>
          <w:szCs w:val="24"/>
        </w:rPr>
        <w:t xml:space="preserve">dealing with </w:t>
      </w:r>
      <w:r w:rsidR="00F947DD">
        <w:rPr>
          <w:rFonts w:ascii="Times New Roman" w:hAnsi="Times New Roman" w:cs="Times New Roman"/>
          <w:sz w:val="24"/>
          <w:szCs w:val="24"/>
        </w:rPr>
        <w:t>a claim under section 44C (2) (b) must undertake.</w:t>
      </w:r>
      <w:r w:rsidR="008B446B" w:rsidRPr="008B446B">
        <w:rPr>
          <w:rFonts w:ascii="Times New Roman" w:hAnsi="Times New Roman" w:cs="Times New Roman"/>
          <w:sz w:val="24"/>
          <w:szCs w:val="24"/>
        </w:rPr>
        <w:t xml:space="preserve"> </w:t>
      </w:r>
      <w:r w:rsidR="000C4924">
        <w:rPr>
          <w:rFonts w:ascii="Times New Roman" w:hAnsi="Times New Roman" w:cs="Times New Roman"/>
          <w:sz w:val="24"/>
          <w:szCs w:val="24"/>
        </w:rPr>
        <w:t>It must conduct a comprehensive</w:t>
      </w:r>
      <w:r w:rsidR="008B446B">
        <w:rPr>
          <w:rFonts w:ascii="Times New Roman" w:hAnsi="Times New Roman" w:cs="Times New Roman"/>
          <w:sz w:val="24"/>
          <w:szCs w:val="24"/>
        </w:rPr>
        <w:t xml:space="preserve"> assessment of the facts and circumstances of a </w:t>
      </w:r>
      <w:r w:rsidR="000C4924">
        <w:rPr>
          <w:rFonts w:ascii="Times New Roman" w:hAnsi="Times New Roman" w:cs="Times New Roman"/>
          <w:sz w:val="24"/>
          <w:szCs w:val="24"/>
        </w:rPr>
        <w:t xml:space="preserve">matter. </w:t>
      </w:r>
    </w:p>
    <w:p w14:paraId="22B40A5A" w14:textId="657356D8" w:rsidR="00F947DD" w:rsidRDefault="008B446B" w:rsidP="007533E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20B5B">
        <w:rPr>
          <w:rFonts w:ascii="Times New Roman" w:hAnsi="Times New Roman" w:cs="Times New Roman"/>
          <w:sz w:val="24"/>
          <w:szCs w:val="24"/>
        </w:rPr>
        <w:t>70</w:t>
      </w:r>
      <w:r>
        <w:rPr>
          <w:rFonts w:ascii="Times New Roman" w:hAnsi="Times New Roman" w:cs="Times New Roman"/>
          <w:sz w:val="24"/>
          <w:szCs w:val="24"/>
        </w:rPr>
        <w:t xml:space="preserve">] </w:t>
      </w:r>
      <w:r w:rsidR="000C4924">
        <w:rPr>
          <w:rFonts w:ascii="Times New Roman" w:hAnsi="Times New Roman" w:cs="Times New Roman"/>
          <w:sz w:val="24"/>
          <w:szCs w:val="24"/>
        </w:rPr>
        <w:t>I</w:t>
      </w:r>
      <w:r>
        <w:rPr>
          <w:rFonts w:ascii="Times New Roman" w:hAnsi="Times New Roman" w:cs="Times New Roman"/>
          <w:sz w:val="24"/>
          <w:szCs w:val="24"/>
        </w:rPr>
        <w:t>f</w:t>
      </w:r>
      <w:r w:rsidR="00F947DD">
        <w:rPr>
          <w:rFonts w:ascii="Times New Roman" w:hAnsi="Times New Roman" w:cs="Times New Roman"/>
          <w:sz w:val="24"/>
          <w:szCs w:val="24"/>
        </w:rPr>
        <w:t xml:space="preserve"> the material substance of the transaction as emanating from the factual circumstances of th</w:t>
      </w:r>
      <w:r w:rsidR="00EF384D">
        <w:rPr>
          <w:rFonts w:ascii="Times New Roman" w:hAnsi="Times New Roman" w:cs="Times New Roman"/>
          <w:sz w:val="24"/>
          <w:szCs w:val="24"/>
        </w:rPr>
        <w:t xml:space="preserve">is </w:t>
      </w:r>
      <w:r w:rsidR="00F947DD">
        <w:rPr>
          <w:rFonts w:ascii="Times New Roman" w:hAnsi="Times New Roman" w:cs="Times New Roman"/>
          <w:sz w:val="24"/>
          <w:szCs w:val="24"/>
        </w:rPr>
        <w:t>matter lead</w:t>
      </w:r>
      <w:r w:rsidR="00EF384D">
        <w:rPr>
          <w:rFonts w:ascii="Times New Roman" w:hAnsi="Times New Roman" w:cs="Times New Roman"/>
          <w:sz w:val="24"/>
          <w:szCs w:val="24"/>
        </w:rPr>
        <w:t>s</w:t>
      </w:r>
      <w:r w:rsidR="00F947DD">
        <w:rPr>
          <w:rFonts w:ascii="Times New Roman" w:hAnsi="Times New Roman" w:cs="Times New Roman"/>
          <w:sz w:val="24"/>
          <w:szCs w:val="24"/>
        </w:rPr>
        <w:t xml:space="preserve"> to a firm conclusion that the debt was not at all denominated in foreign currency, then the inquiry may usefully end there. </w:t>
      </w:r>
      <w:r>
        <w:rPr>
          <w:rFonts w:ascii="Times New Roman" w:hAnsi="Times New Roman" w:cs="Times New Roman"/>
          <w:sz w:val="24"/>
          <w:szCs w:val="24"/>
        </w:rPr>
        <w:t>But if th</w:t>
      </w:r>
      <w:r w:rsidR="00EF384D">
        <w:rPr>
          <w:rFonts w:ascii="Times New Roman" w:hAnsi="Times New Roman" w:cs="Times New Roman"/>
          <w:sz w:val="24"/>
          <w:szCs w:val="24"/>
        </w:rPr>
        <w:t>e</w:t>
      </w:r>
      <w:r>
        <w:rPr>
          <w:rFonts w:ascii="Times New Roman" w:hAnsi="Times New Roman" w:cs="Times New Roman"/>
          <w:sz w:val="24"/>
          <w:szCs w:val="24"/>
        </w:rPr>
        <w:t xml:space="preserve"> circumstances proffer a gainsay to suggest that notwithstanding the status of the funds, the parties unequivocally resolved in their contract that the debt would remain predicated in United States Dollars, the matter </w:t>
      </w:r>
      <w:r w:rsidR="004B534D">
        <w:rPr>
          <w:rFonts w:ascii="Times New Roman" w:hAnsi="Times New Roman" w:cs="Times New Roman"/>
          <w:sz w:val="24"/>
          <w:szCs w:val="24"/>
        </w:rPr>
        <w:t>it may be prudent to invite</w:t>
      </w:r>
      <w:r>
        <w:rPr>
          <w:rFonts w:ascii="Times New Roman" w:hAnsi="Times New Roman" w:cs="Times New Roman"/>
          <w:sz w:val="24"/>
          <w:szCs w:val="24"/>
        </w:rPr>
        <w:t xml:space="preserve"> a fuller examination of that agreement, as against the impact of the law.</w:t>
      </w:r>
    </w:p>
    <w:p w14:paraId="1E580193" w14:textId="50D3C993" w:rsidR="007B4EFB" w:rsidRDefault="00F947DD" w:rsidP="007B4EF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20B5B">
        <w:rPr>
          <w:rFonts w:ascii="Times New Roman" w:hAnsi="Times New Roman" w:cs="Times New Roman"/>
          <w:sz w:val="24"/>
          <w:szCs w:val="24"/>
        </w:rPr>
        <w:t>71]</w:t>
      </w:r>
      <w:r w:rsidR="00125AEB">
        <w:rPr>
          <w:rFonts w:ascii="Times New Roman" w:hAnsi="Times New Roman" w:cs="Times New Roman"/>
          <w:sz w:val="24"/>
          <w:szCs w:val="24"/>
        </w:rPr>
        <w:t xml:space="preserve"> </w:t>
      </w:r>
      <w:r w:rsidR="004B534D">
        <w:rPr>
          <w:rFonts w:ascii="Times New Roman" w:hAnsi="Times New Roman" w:cs="Times New Roman"/>
          <w:sz w:val="24"/>
          <w:szCs w:val="24"/>
        </w:rPr>
        <w:t xml:space="preserve">As regards the present application, </w:t>
      </w:r>
      <w:r w:rsidR="000C4924">
        <w:rPr>
          <w:rFonts w:ascii="Times New Roman" w:hAnsi="Times New Roman" w:cs="Times New Roman"/>
          <w:sz w:val="24"/>
          <w:szCs w:val="24"/>
        </w:rPr>
        <w:t>the preceding paragraphs of this judgment</w:t>
      </w:r>
      <w:r w:rsidR="004B534D">
        <w:rPr>
          <w:rFonts w:ascii="Times New Roman" w:hAnsi="Times New Roman" w:cs="Times New Roman"/>
          <w:sz w:val="24"/>
          <w:szCs w:val="24"/>
        </w:rPr>
        <w:t xml:space="preserve"> record that the task</w:t>
      </w:r>
      <w:r w:rsidR="000C4924">
        <w:rPr>
          <w:rFonts w:ascii="Times New Roman" w:hAnsi="Times New Roman" w:cs="Times New Roman"/>
          <w:sz w:val="24"/>
          <w:szCs w:val="24"/>
        </w:rPr>
        <w:t xml:space="preserve"> </w:t>
      </w:r>
      <w:r w:rsidR="00EF384D">
        <w:rPr>
          <w:rFonts w:ascii="Times New Roman" w:hAnsi="Times New Roman" w:cs="Times New Roman"/>
          <w:sz w:val="24"/>
          <w:szCs w:val="24"/>
        </w:rPr>
        <w:t xml:space="preserve">of inquiring </w:t>
      </w:r>
      <w:r w:rsidR="000C4924">
        <w:rPr>
          <w:rFonts w:ascii="Times New Roman" w:hAnsi="Times New Roman" w:cs="Times New Roman"/>
          <w:sz w:val="24"/>
          <w:szCs w:val="24"/>
        </w:rPr>
        <w:t xml:space="preserve">into the circumstances is largely </w:t>
      </w:r>
      <w:r w:rsidR="007B4EFB">
        <w:rPr>
          <w:rFonts w:ascii="Times New Roman" w:hAnsi="Times New Roman" w:cs="Times New Roman"/>
          <w:sz w:val="24"/>
          <w:szCs w:val="24"/>
        </w:rPr>
        <w:t xml:space="preserve">complete. It is important to also recognise that the facts necessary to establish the rights under contract </w:t>
      </w:r>
      <w:r w:rsidR="004B534D">
        <w:rPr>
          <w:rFonts w:ascii="Times New Roman" w:hAnsi="Times New Roman" w:cs="Times New Roman"/>
          <w:sz w:val="24"/>
          <w:szCs w:val="24"/>
        </w:rPr>
        <w:t xml:space="preserve">were </w:t>
      </w:r>
      <w:r w:rsidR="007B4EFB">
        <w:rPr>
          <w:rFonts w:ascii="Times New Roman" w:hAnsi="Times New Roman" w:cs="Times New Roman"/>
          <w:sz w:val="24"/>
          <w:szCs w:val="24"/>
        </w:rPr>
        <w:t xml:space="preserve">the self-same matters needed to prove rights under section 44C (2) (b). Further, a re-look at the declaratory relief sought confirms the gravity of the onus reposed on Magic Software. In particular, the applicant requested, by paragraph 3 of its draft, the court to effectively declare RT 120/18 as invalid. </w:t>
      </w:r>
    </w:p>
    <w:p w14:paraId="27339B38" w14:textId="36F6D5F4" w:rsidR="005A7A32" w:rsidRDefault="007B4EFB" w:rsidP="005973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[72] </w:t>
      </w:r>
      <w:r w:rsidR="005A7A32">
        <w:rPr>
          <w:rFonts w:ascii="Times New Roman" w:hAnsi="Times New Roman" w:cs="Times New Roman"/>
          <w:sz w:val="24"/>
          <w:szCs w:val="24"/>
        </w:rPr>
        <w:t>I</w:t>
      </w:r>
      <w:r w:rsidR="000C4924">
        <w:rPr>
          <w:rFonts w:ascii="Times New Roman" w:hAnsi="Times New Roman" w:cs="Times New Roman"/>
          <w:sz w:val="24"/>
          <w:szCs w:val="24"/>
        </w:rPr>
        <w:t xml:space="preserve">n winding such up, I </w:t>
      </w:r>
      <w:r w:rsidR="00EF384D">
        <w:rPr>
          <w:rFonts w:ascii="Times New Roman" w:hAnsi="Times New Roman" w:cs="Times New Roman"/>
          <w:sz w:val="24"/>
          <w:szCs w:val="24"/>
        </w:rPr>
        <w:t xml:space="preserve">may observe </w:t>
      </w:r>
      <w:r w:rsidR="000C4924">
        <w:rPr>
          <w:rFonts w:ascii="Times New Roman" w:hAnsi="Times New Roman" w:cs="Times New Roman"/>
          <w:sz w:val="24"/>
          <w:szCs w:val="24"/>
        </w:rPr>
        <w:t xml:space="preserve">the </w:t>
      </w:r>
      <w:r w:rsidR="00EF384D">
        <w:rPr>
          <w:rFonts w:ascii="Times New Roman" w:hAnsi="Times New Roman" w:cs="Times New Roman"/>
          <w:sz w:val="24"/>
          <w:szCs w:val="24"/>
        </w:rPr>
        <w:t>following; -</w:t>
      </w:r>
      <w:r w:rsidR="000C4924">
        <w:rPr>
          <w:rFonts w:ascii="Times New Roman" w:hAnsi="Times New Roman" w:cs="Times New Roman"/>
          <w:sz w:val="24"/>
          <w:szCs w:val="24"/>
        </w:rPr>
        <w:t xml:space="preserve"> i</w:t>
      </w:r>
      <w:r w:rsidR="005F05DA">
        <w:rPr>
          <w:rFonts w:ascii="Times New Roman" w:hAnsi="Times New Roman" w:cs="Times New Roman"/>
          <w:sz w:val="24"/>
          <w:szCs w:val="24"/>
        </w:rPr>
        <w:t>t</w:t>
      </w:r>
      <w:r w:rsidR="00571AF5">
        <w:rPr>
          <w:rFonts w:ascii="Times New Roman" w:hAnsi="Times New Roman" w:cs="Times New Roman"/>
          <w:sz w:val="24"/>
          <w:szCs w:val="24"/>
        </w:rPr>
        <w:t xml:space="preserve"> was </w:t>
      </w:r>
      <w:r w:rsidR="005B0CCA">
        <w:rPr>
          <w:rFonts w:ascii="Times New Roman" w:hAnsi="Times New Roman" w:cs="Times New Roman"/>
          <w:sz w:val="24"/>
          <w:szCs w:val="24"/>
        </w:rPr>
        <w:t xml:space="preserve">not </w:t>
      </w:r>
      <w:r w:rsidR="00571AF5">
        <w:rPr>
          <w:rFonts w:ascii="Times New Roman" w:hAnsi="Times New Roman" w:cs="Times New Roman"/>
          <w:sz w:val="24"/>
          <w:szCs w:val="24"/>
        </w:rPr>
        <w:t xml:space="preserve">disputed that Magic Software is a foreign entity. </w:t>
      </w:r>
      <w:r w:rsidR="005B0CCA">
        <w:rPr>
          <w:rFonts w:ascii="Times New Roman" w:hAnsi="Times New Roman" w:cs="Times New Roman"/>
          <w:sz w:val="24"/>
          <w:szCs w:val="24"/>
        </w:rPr>
        <w:t xml:space="preserve">Nor was it </w:t>
      </w:r>
      <w:r w:rsidR="00571AF5">
        <w:rPr>
          <w:rFonts w:ascii="Times New Roman" w:hAnsi="Times New Roman" w:cs="Times New Roman"/>
          <w:sz w:val="24"/>
          <w:szCs w:val="24"/>
        </w:rPr>
        <w:t xml:space="preserve">in contention that its presence in Zimbabwe was to offer services to Tel-One. </w:t>
      </w:r>
      <w:r w:rsidR="008B446B">
        <w:rPr>
          <w:rFonts w:ascii="Times New Roman" w:hAnsi="Times New Roman" w:cs="Times New Roman"/>
          <w:sz w:val="24"/>
          <w:szCs w:val="24"/>
        </w:rPr>
        <w:t xml:space="preserve">The primary or underlying Tel-One debt and contract was clearly a foreign obligation. </w:t>
      </w:r>
      <w:r w:rsidR="00571AF5">
        <w:rPr>
          <w:rFonts w:ascii="Times New Roman" w:hAnsi="Times New Roman" w:cs="Times New Roman"/>
          <w:sz w:val="24"/>
          <w:szCs w:val="24"/>
        </w:rPr>
        <w:t xml:space="preserve">The effect of Tel-One`s emphatic submissions to the RBZ </w:t>
      </w:r>
      <w:r w:rsidR="008B446B">
        <w:rPr>
          <w:rFonts w:ascii="Times New Roman" w:hAnsi="Times New Roman" w:cs="Times New Roman"/>
          <w:sz w:val="24"/>
          <w:szCs w:val="24"/>
        </w:rPr>
        <w:t xml:space="preserve">further </w:t>
      </w:r>
      <w:r w:rsidR="005F05DA">
        <w:rPr>
          <w:rFonts w:ascii="Times New Roman" w:hAnsi="Times New Roman" w:cs="Times New Roman"/>
          <w:sz w:val="24"/>
          <w:szCs w:val="24"/>
        </w:rPr>
        <w:t xml:space="preserve">serve </w:t>
      </w:r>
      <w:r w:rsidR="00571AF5">
        <w:rPr>
          <w:rFonts w:ascii="Times New Roman" w:hAnsi="Times New Roman" w:cs="Times New Roman"/>
          <w:sz w:val="24"/>
          <w:szCs w:val="24"/>
        </w:rPr>
        <w:t xml:space="preserve">to confirm that the proceeds into the escrow account </w:t>
      </w:r>
      <w:r w:rsidR="001046FE">
        <w:rPr>
          <w:rFonts w:ascii="Times New Roman" w:hAnsi="Times New Roman" w:cs="Times New Roman"/>
          <w:sz w:val="24"/>
          <w:szCs w:val="24"/>
        </w:rPr>
        <w:t xml:space="preserve">undoubtedly </w:t>
      </w:r>
      <w:r w:rsidR="00571AF5">
        <w:rPr>
          <w:rFonts w:ascii="Times New Roman" w:hAnsi="Times New Roman" w:cs="Times New Roman"/>
          <w:sz w:val="24"/>
          <w:szCs w:val="24"/>
        </w:rPr>
        <w:t xml:space="preserve">constituted </w:t>
      </w:r>
      <w:r w:rsidR="005F05DA">
        <w:rPr>
          <w:rFonts w:ascii="Times New Roman" w:hAnsi="Times New Roman" w:cs="Times New Roman"/>
          <w:sz w:val="24"/>
          <w:szCs w:val="24"/>
        </w:rPr>
        <w:t xml:space="preserve">transit </w:t>
      </w:r>
      <w:r w:rsidR="00571AF5">
        <w:rPr>
          <w:rFonts w:ascii="Times New Roman" w:hAnsi="Times New Roman" w:cs="Times New Roman"/>
          <w:sz w:val="24"/>
          <w:szCs w:val="24"/>
        </w:rPr>
        <w:t xml:space="preserve">funds </w:t>
      </w:r>
      <w:r w:rsidR="005F05DA">
        <w:rPr>
          <w:rFonts w:ascii="Times New Roman" w:hAnsi="Times New Roman" w:cs="Times New Roman"/>
          <w:sz w:val="24"/>
          <w:szCs w:val="24"/>
        </w:rPr>
        <w:t>earmarked for eventual repatriation</w:t>
      </w:r>
      <w:r w:rsidR="00571AF5">
        <w:rPr>
          <w:rFonts w:ascii="Times New Roman" w:hAnsi="Times New Roman" w:cs="Times New Roman"/>
          <w:sz w:val="24"/>
          <w:szCs w:val="24"/>
        </w:rPr>
        <w:t>.</w:t>
      </w:r>
    </w:p>
    <w:p w14:paraId="2262229A" w14:textId="1F55E570" w:rsidR="00571AF5" w:rsidRDefault="005A7A32" w:rsidP="0059732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7B4EFB">
        <w:rPr>
          <w:rFonts w:ascii="Times New Roman" w:hAnsi="Times New Roman" w:cs="Times New Roman"/>
          <w:sz w:val="24"/>
          <w:szCs w:val="24"/>
        </w:rPr>
        <w:t>3</w:t>
      </w:r>
      <w:r>
        <w:rPr>
          <w:rFonts w:ascii="Times New Roman" w:hAnsi="Times New Roman" w:cs="Times New Roman"/>
          <w:sz w:val="24"/>
          <w:szCs w:val="24"/>
        </w:rPr>
        <w:t>]</w:t>
      </w:r>
      <w:r w:rsidR="00571AF5">
        <w:rPr>
          <w:rFonts w:ascii="Times New Roman" w:hAnsi="Times New Roman" w:cs="Times New Roman"/>
          <w:sz w:val="24"/>
          <w:szCs w:val="24"/>
        </w:rPr>
        <w:t xml:space="preserve"> In that regard, it cannot </w:t>
      </w:r>
      <w:r w:rsidR="001046FE">
        <w:rPr>
          <w:rFonts w:ascii="Times New Roman" w:hAnsi="Times New Roman" w:cs="Times New Roman"/>
          <w:sz w:val="24"/>
          <w:szCs w:val="24"/>
        </w:rPr>
        <w:t xml:space="preserve">again </w:t>
      </w:r>
      <w:r w:rsidR="00571AF5">
        <w:rPr>
          <w:rFonts w:ascii="Times New Roman" w:hAnsi="Times New Roman" w:cs="Times New Roman"/>
          <w:sz w:val="24"/>
          <w:szCs w:val="24"/>
        </w:rPr>
        <w:t>be doubted that such understanding create</w:t>
      </w:r>
      <w:r w:rsidR="008B446B">
        <w:rPr>
          <w:rFonts w:ascii="Times New Roman" w:hAnsi="Times New Roman" w:cs="Times New Roman"/>
          <w:sz w:val="24"/>
          <w:szCs w:val="24"/>
        </w:rPr>
        <w:t>d</w:t>
      </w:r>
      <w:r w:rsidR="00571AF5">
        <w:rPr>
          <w:rFonts w:ascii="Times New Roman" w:hAnsi="Times New Roman" w:cs="Times New Roman"/>
          <w:sz w:val="24"/>
          <w:szCs w:val="24"/>
        </w:rPr>
        <w:t xml:space="preserve"> a deeming that the </w:t>
      </w:r>
      <w:r w:rsidR="00D33251" w:rsidRPr="001046FE">
        <w:rPr>
          <w:rFonts w:ascii="Times New Roman" w:hAnsi="Times New Roman" w:cs="Times New Roman"/>
          <w:sz w:val="24"/>
          <w:szCs w:val="24"/>
          <w:u w:val="single"/>
        </w:rPr>
        <w:t>primary</w:t>
      </w:r>
      <w:r w:rsidR="00D33251">
        <w:rPr>
          <w:rFonts w:ascii="Times New Roman" w:hAnsi="Times New Roman" w:cs="Times New Roman"/>
          <w:sz w:val="24"/>
          <w:szCs w:val="24"/>
        </w:rPr>
        <w:t xml:space="preserve"> </w:t>
      </w:r>
      <w:r w:rsidR="00571AF5">
        <w:rPr>
          <w:rFonts w:ascii="Times New Roman" w:hAnsi="Times New Roman" w:cs="Times New Roman"/>
          <w:sz w:val="24"/>
          <w:szCs w:val="24"/>
        </w:rPr>
        <w:t xml:space="preserve">obligation </w:t>
      </w:r>
      <w:r w:rsidR="001046FE">
        <w:rPr>
          <w:rFonts w:ascii="Times New Roman" w:hAnsi="Times New Roman" w:cs="Times New Roman"/>
          <w:sz w:val="24"/>
          <w:szCs w:val="24"/>
        </w:rPr>
        <w:t xml:space="preserve">between Magic Software and Tel-One </w:t>
      </w:r>
      <w:r w:rsidR="00571AF5">
        <w:rPr>
          <w:rFonts w:ascii="Times New Roman" w:hAnsi="Times New Roman" w:cs="Times New Roman"/>
          <w:sz w:val="24"/>
          <w:szCs w:val="24"/>
        </w:rPr>
        <w:t xml:space="preserve">was denominated in United States Dollars.  This was the </w:t>
      </w:r>
      <w:r w:rsidR="00895A4F">
        <w:rPr>
          <w:rFonts w:ascii="Times New Roman" w:hAnsi="Times New Roman" w:cs="Times New Roman"/>
          <w:sz w:val="24"/>
          <w:szCs w:val="24"/>
        </w:rPr>
        <w:t xml:space="preserve">pragmatic interpretation adopted </w:t>
      </w:r>
      <w:r w:rsidR="00571AF5">
        <w:rPr>
          <w:rFonts w:ascii="Times New Roman" w:hAnsi="Times New Roman" w:cs="Times New Roman"/>
          <w:sz w:val="24"/>
          <w:szCs w:val="24"/>
        </w:rPr>
        <w:t xml:space="preserve">by the Supreme </w:t>
      </w:r>
      <w:r w:rsidR="00D33251">
        <w:rPr>
          <w:rFonts w:ascii="Times New Roman" w:hAnsi="Times New Roman" w:cs="Times New Roman"/>
          <w:sz w:val="24"/>
          <w:szCs w:val="24"/>
        </w:rPr>
        <w:t xml:space="preserve">Court </w:t>
      </w:r>
      <w:r w:rsidR="005F05DA">
        <w:rPr>
          <w:rFonts w:ascii="Times New Roman" w:hAnsi="Times New Roman" w:cs="Times New Roman"/>
          <w:sz w:val="24"/>
          <w:szCs w:val="24"/>
        </w:rPr>
        <w:t>in the</w:t>
      </w:r>
      <w:r w:rsidR="003A7A6A">
        <w:rPr>
          <w:rFonts w:ascii="Times New Roman" w:hAnsi="Times New Roman" w:cs="Times New Roman"/>
          <w:sz w:val="24"/>
          <w:szCs w:val="24"/>
        </w:rPr>
        <w:t xml:space="preserve"> “tobacco decisions”</w:t>
      </w:r>
      <w:r w:rsidR="003A7A6A">
        <w:rPr>
          <w:rStyle w:val="FootnoteReference"/>
          <w:rFonts w:ascii="Times New Roman" w:hAnsi="Times New Roman" w:cs="Times New Roman"/>
          <w:sz w:val="24"/>
          <w:szCs w:val="24"/>
        </w:rPr>
        <w:footnoteReference w:id="11"/>
      </w:r>
      <w:r w:rsidR="003A7A6A">
        <w:rPr>
          <w:rFonts w:ascii="Times New Roman" w:hAnsi="Times New Roman" w:cs="Times New Roman"/>
          <w:sz w:val="24"/>
          <w:szCs w:val="24"/>
        </w:rPr>
        <w:t xml:space="preserve"> </w:t>
      </w:r>
      <w:r w:rsidR="00895A4F">
        <w:rPr>
          <w:rFonts w:ascii="Times New Roman" w:hAnsi="Times New Roman" w:cs="Times New Roman"/>
          <w:sz w:val="24"/>
          <w:szCs w:val="24"/>
        </w:rPr>
        <w:t>,</w:t>
      </w:r>
      <w:r w:rsidR="003A7A6A">
        <w:rPr>
          <w:rFonts w:ascii="Times New Roman" w:hAnsi="Times New Roman" w:cs="Times New Roman"/>
          <w:sz w:val="24"/>
          <w:szCs w:val="24"/>
        </w:rPr>
        <w:t xml:space="preserve"> </w:t>
      </w:r>
      <w:r w:rsidR="005F05DA" w:rsidRPr="0065426E">
        <w:rPr>
          <w:rFonts w:ascii="Times New Roman" w:hAnsi="Times New Roman" w:cs="Times New Roman"/>
          <w:i/>
          <w:iCs/>
          <w:sz w:val="24"/>
          <w:szCs w:val="24"/>
        </w:rPr>
        <w:t>Breastplate</w:t>
      </w:r>
      <w:r w:rsidR="005F05DA">
        <w:rPr>
          <w:rFonts w:ascii="Times New Roman" w:hAnsi="Times New Roman" w:cs="Times New Roman"/>
          <w:sz w:val="24"/>
          <w:szCs w:val="24"/>
        </w:rPr>
        <w:t>, a</w:t>
      </w:r>
      <w:r w:rsidR="00895A4F">
        <w:rPr>
          <w:rFonts w:ascii="Times New Roman" w:hAnsi="Times New Roman" w:cs="Times New Roman"/>
          <w:sz w:val="24"/>
          <w:szCs w:val="24"/>
        </w:rPr>
        <w:t xml:space="preserve">s well as </w:t>
      </w:r>
      <w:r w:rsidR="009C7FB7" w:rsidRPr="00E25987">
        <w:rPr>
          <w:rFonts w:ascii="Times New Roman" w:hAnsi="Times New Roman" w:cs="Times New Roman"/>
          <w:i/>
          <w:iCs/>
          <w:sz w:val="24"/>
          <w:szCs w:val="24"/>
        </w:rPr>
        <w:t>Salzman Et Cie SA v Manojkumar Jivan &amp; Anor</w:t>
      </w:r>
      <w:r w:rsidR="009C7FB7">
        <w:rPr>
          <w:rFonts w:ascii="Times New Roman" w:hAnsi="Times New Roman" w:cs="Times New Roman"/>
          <w:sz w:val="24"/>
          <w:szCs w:val="24"/>
        </w:rPr>
        <w:t xml:space="preserve"> SC 70.</w:t>
      </w:r>
      <w:r w:rsidR="00CB66C2">
        <w:rPr>
          <w:rFonts w:ascii="Times New Roman" w:hAnsi="Times New Roman" w:cs="Times New Roman"/>
          <w:sz w:val="24"/>
          <w:szCs w:val="24"/>
        </w:rPr>
        <w:t xml:space="preserve"> In</w:t>
      </w:r>
      <w:r w:rsidR="00895A4F">
        <w:rPr>
          <w:rFonts w:ascii="Times New Roman" w:hAnsi="Times New Roman" w:cs="Times New Roman"/>
          <w:sz w:val="24"/>
          <w:szCs w:val="24"/>
        </w:rPr>
        <w:t xml:space="preserve"> the </w:t>
      </w:r>
      <w:r w:rsidR="00CB66C2">
        <w:rPr>
          <w:rFonts w:ascii="Times New Roman" w:hAnsi="Times New Roman" w:cs="Times New Roman"/>
          <w:sz w:val="24"/>
          <w:szCs w:val="24"/>
        </w:rPr>
        <w:t>latter, the</w:t>
      </w:r>
      <w:r w:rsidR="00895A4F">
        <w:rPr>
          <w:rFonts w:ascii="Times New Roman" w:hAnsi="Times New Roman" w:cs="Times New Roman"/>
          <w:sz w:val="24"/>
          <w:szCs w:val="24"/>
        </w:rPr>
        <w:t xml:space="preserve"> court,</w:t>
      </w:r>
      <w:r w:rsidR="00E25987">
        <w:rPr>
          <w:rFonts w:ascii="Times New Roman" w:hAnsi="Times New Roman" w:cs="Times New Roman"/>
          <w:sz w:val="24"/>
          <w:szCs w:val="24"/>
        </w:rPr>
        <w:t xml:space="preserve"> </w:t>
      </w:r>
      <w:r w:rsidR="009C7FB7">
        <w:rPr>
          <w:rFonts w:ascii="Times New Roman" w:hAnsi="Times New Roman" w:cs="Times New Roman"/>
          <w:sz w:val="24"/>
          <w:szCs w:val="24"/>
        </w:rPr>
        <w:t xml:space="preserve">per CHATUKUTA </w:t>
      </w:r>
      <w:r w:rsidR="008B446B">
        <w:rPr>
          <w:rFonts w:ascii="Times New Roman" w:hAnsi="Times New Roman" w:cs="Times New Roman"/>
          <w:sz w:val="24"/>
          <w:szCs w:val="24"/>
        </w:rPr>
        <w:t>JA, opined</w:t>
      </w:r>
      <w:r w:rsidR="005B0CCA">
        <w:rPr>
          <w:rFonts w:ascii="Times New Roman" w:hAnsi="Times New Roman" w:cs="Times New Roman"/>
          <w:sz w:val="24"/>
          <w:szCs w:val="24"/>
        </w:rPr>
        <w:t xml:space="preserve"> as </w:t>
      </w:r>
      <w:r w:rsidR="00D33251">
        <w:rPr>
          <w:rFonts w:ascii="Times New Roman" w:hAnsi="Times New Roman" w:cs="Times New Roman"/>
          <w:sz w:val="24"/>
          <w:szCs w:val="24"/>
        </w:rPr>
        <w:t>follows</w:t>
      </w:r>
      <w:r w:rsidR="00E25987">
        <w:rPr>
          <w:rFonts w:ascii="Times New Roman" w:hAnsi="Times New Roman" w:cs="Times New Roman"/>
          <w:sz w:val="24"/>
          <w:szCs w:val="24"/>
        </w:rPr>
        <w:t xml:space="preserve"> at page </w:t>
      </w:r>
      <w:r w:rsidR="005F05DA">
        <w:rPr>
          <w:rFonts w:ascii="Times New Roman" w:hAnsi="Times New Roman" w:cs="Times New Roman"/>
          <w:sz w:val="24"/>
          <w:szCs w:val="24"/>
        </w:rPr>
        <w:t>14,</w:t>
      </w:r>
      <w:r w:rsidR="00D33251">
        <w:rPr>
          <w:rFonts w:ascii="Times New Roman" w:hAnsi="Times New Roman" w:cs="Times New Roman"/>
          <w:sz w:val="24"/>
          <w:szCs w:val="24"/>
        </w:rPr>
        <w:t xml:space="preserve"> (laying</w:t>
      </w:r>
      <w:r w:rsidR="005B0CCA">
        <w:rPr>
          <w:rFonts w:ascii="Times New Roman" w:hAnsi="Times New Roman" w:cs="Times New Roman"/>
          <w:sz w:val="24"/>
          <w:szCs w:val="24"/>
        </w:rPr>
        <w:t xml:space="preserve"> out in the </w:t>
      </w:r>
      <w:r w:rsidR="00895A4F">
        <w:rPr>
          <w:rFonts w:ascii="Times New Roman" w:hAnsi="Times New Roman" w:cs="Times New Roman"/>
          <w:sz w:val="24"/>
          <w:szCs w:val="24"/>
        </w:rPr>
        <w:t>process, relevant</w:t>
      </w:r>
      <w:r w:rsidR="005B0CCA">
        <w:rPr>
          <w:rFonts w:ascii="Times New Roman" w:hAnsi="Times New Roman" w:cs="Times New Roman"/>
          <w:sz w:val="24"/>
          <w:szCs w:val="24"/>
        </w:rPr>
        <w:t xml:space="preserve"> public policy considerations</w:t>
      </w:r>
      <w:r w:rsidR="005F05DA">
        <w:rPr>
          <w:rFonts w:ascii="Times New Roman" w:hAnsi="Times New Roman" w:cs="Times New Roman"/>
          <w:sz w:val="24"/>
          <w:szCs w:val="24"/>
        </w:rPr>
        <w:t>); -</w:t>
      </w:r>
      <w:r w:rsidR="009E6AD2">
        <w:rPr>
          <w:rFonts w:ascii="Times New Roman" w:hAnsi="Times New Roman" w:cs="Times New Roman"/>
          <w:sz w:val="24"/>
          <w:szCs w:val="24"/>
        </w:rPr>
        <w:t xml:space="preserve"> </w:t>
      </w:r>
    </w:p>
    <w:p w14:paraId="3686792B" w14:textId="1AD77062" w:rsidR="007533E3" w:rsidRDefault="00D33251" w:rsidP="003A7A6A">
      <w:pPr>
        <w:spacing w:line="360" w:lineRule="auto"/>
        <w:ind w:left="1134"/>
        <w:jc w:val="both"/>
        <w:rPr>
          <w:rFonts w:ascii="Times New Roman" w:hAnsi="Times New Roman" w:cs="Times New Roman"/>
          <w:sz w:val="24"/>
          <w:szCs w:val="24"/>
        </w:rPr>
      </w:pPr>
      <w:r w:rsidRPr="00D33251">
        <w:rPr>
          <w:rFonts w:ascii="Times New Roman" w:hAnsi="Times New Roman" w:cs="Times New Roman"/>
          <w:sz w:val="24"/>
          <w:szCs w:val="24"/>
        </w:rPr>
        <w:lastRenderedPageBreak/>
        <w:t xml:space="preserve">“Foreign loans and obligations continue to be valued and payable in the foreign currency in which they are denominated. </w:t>
      </w:r>
      <w:r w:rsidRPr="00D33251">
        <w:rPr>
          <w:rFonts w:ascii="Times New Roman" w:hAnsi="Times New Roman" w:cs="Times New Roman"/>
          <w:sz w:val="24"/>
          <w:szCs w:val="24"/>
          <w:u w:val="single"/>
        </w:rPr>
        <w:t>When courts interpret the provisions of Statutory Instrument 33 of 2019, they are obliged to give an interpretation that is commercially practicable. A commercially sensible interpretation is one that accepts that a Zimbabwean will still need to trade internationally, borrow money and lend money to foreigners</w:t>
      </w:r>
      <w:r w:rsidRPr="00D33251">
        <w:rPr>
          <w:rFonts w:ascii="Times New Roman" w:hAnsi="Times New Roman" w:cs="Times New Roman"/>
          <w:sz w:val="24"/>
          <w:szCs w:val="24"/>
        </w:rPr>
        <w:t>. The Zimbabwe dollar cannot settle a loan denominated in United States dollars in Switzerland. Even if the court proceeded on the basis that the deed of settlement between the appellant and the first respondent constituted a compromise, this could not possibly extend to changing the source of the funds and the nature of the debt. It remained a foreign debt payable in the currency of the contract and not the local currency of Zimbabwe. Full recovery of funds secured offshore in foreign currency can only be in foreign currency and not RTGS dollars.”</w:t>
      </w:r>
    </w:p>
    <w:p w14:paraId="5859ACED" w14:textId="1758FA83" w:rsidR="00935AF3" w:rsidRDefault="00571AF5" w:rsidP="00571AF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20B5B">
        <w:rPr>
          <w:rFonts w:ascii="Times New Roman" w:hAnsi="Times New Roman" w:cs="Times New Roman"/>
          <w:sz w:val="24"/>
          <w:szCs w:val="24"/>
        </w:rPr>
        <w:t>7</w:t>
      </w:r>
      <w:r w:rsidR="007B4EFB">
        <w:rPr>
          <w:rFonts w:ascii="Times New Roman" w:hAnsi="Times New Roman" w:cs="Times New Roman"/>
          <w:sz w:val="24"/>
          <w:szCs w:val="24"/>
        </w:rPr>
        <w:t>4</w:t>
      </w:r>
      <w:r w:rsidR="00D12DF1">
        <w:rPr>
          <w:rFonts w:ascii="Times New Roman" w:hAnsi="Times New Roman" w:cs="Times New Roman"/>
          <w:sz w:val="24"/>
          <w:szCs w:val="24"/>
        </w:rPr>
        <w:t>]</w:t>
      </w:r>
      <w:r>
        <w:rPr>
          <w:rFonts w:ascii="Times New Roman" w:hAnsi="Times New Roman" w:cs="Times New Roman"/>
          <w:sz w:val="24"/>
          <w:szCs w:val="24"/>
        </w:rPr>
        <w:t xml:space="preserve"> </w:t>
      </w:r>
      <w:r w:rsidR="003A7A6A">
        <w:rPr>
          <w:rFonts w:ascii="Times New Roman" w:hAnsi="Times New Roman" w:cs="Times New Roman"/>
          <w:sz w:val="24"/>
          <w:szCs w:val="24"/>
        </w:rPr>
        <w:t xml:space="preserve">Had this claim been </w:t>
      </w:r>
      <w:r w:rsidR="005F05DA">
        <w:rPr>
          <w:rFonts w:ascii="Times New Roman" w:hAnsi="Times New Roman" w:cs="Times New Roman"/>
          <w:sz w:val="24"/>
          <w:szCs w:val="24"/>
        </w:rPr>
        <w:t xml:space="preserve">as </w:t>
      </w:r>
      <w:r w:rsidR="003A7A6A">
        <w:rPr>
          <w:rFonts w:ascii="Times New Roman" w:hAnsi="Times New Roman" w:cs="Times New Roman"/>
          <w:sz w:val="24"/>
          <w:szCs w:val="24"/>
        </w:rPr>
        <w:t xml:space="preserve">against Tel-One, the aforegoing conclusions </w:t>
      </w:r>
      <w:r w:rsidR="003C6AC5">
        <w:rPr>
          <w:rFonts w:ascii="Times New Roman" w:hAnsi="Times New Roman" w:cs="Times New Roman"/>
          <w:sz w:val="24"/>
          <w:szCs w:val="24"/>
        </w:rPr>
        <w:t xml:space="preserve">might quite likely </w:t>
      </w:r>
      <w:r w:rsidR="00720B5B">
        <w:rPr>
          <w:rFonts w:ascii="Times New Roman" w:hAnsi="Times New Roman" w:cs="Times New Roman"/>
          <w:sz w:val="24"/>
          <w:szCs w:val="24"/>
        </w:rPr>
        <w:t xml:space="preserve">have </w:t>
      </w:r>
      <w:r w:rsidR="005F05DA">
        <w:rPr>
          <w:rFonts w:ascii="Times New Roman" w:hAnsi="Times New Roman" w:cs="Times New Roman"/>
          <w:sz w:val="24"/>
          <w:szCs w:val="24"/>
        </w:rPr>
        <w:t>disposed of it.</w:t>
      </w:r>
      <w:r w:rsidR="003A7A6A">
        <w:rPr>
          <w:rFonts w:ascii="Times New Roman" w:hAnsi="Times New Roman" w:cs="Times New Roman"/>
          <w:sz w:val="24"/>
          <w:szCs w:val="24"/>
        </w:rPr>
        <w:t xml:space="preserve"> But the </w:t>
      </w:r>
      <w:r w:rsidR="00935AF3">
        <w:rPr>
          <w:rFonts w:ascii="Times New Roman" w:hAnsi="Times New Roman" w:cs="Times New Roman"/>
          <w:sz w:val="24"/>
          <w:szCs w:val="24"/>
        </w:rPr>
        <w:t xml:space="preserve">present claim </w:t>
      </w:r>
      <w:r w:rsidR="003A7A6A">
        <w:rPr>
          <w:rFonts w:ascii="Times New Roman" w:hAnsi="Times New Roman" w:cs="Times New Roman"/>
          <w:sz w:val="24"/>
          <w:szCs w:val="24"/>
        </w:rPr>
        <w:t xml:space="preserve">is </w:t>
      </w:r>
      <w:r w:rsidR="005F05DA">
        <w:rPr>
          <w:rFonts w:ascii="Times New Roman" w:hAnsi="Times New Roman" w:cs="Times New Roman"/>
          <w:sz w:val="24"/>
          <w:szCs w:val="24"/>
        </w:rPr>
        <w:t xml:space="preserve">against Nedbank. It is </w:t>
      </w:r>
      <w:r w:rsidR="003A7A6A">
        <w:rPr>
          <w:rFonts w:ascii="Times New Roman" w:hAnsi="Times New Roman" w:cs="Times New Roman"/>
          <w:sz w:val="24"/>
          <w:szCs w:val="24"/>
        </w:rPr>
        <w:t xml:space="preserve">predicated on </w:t>
      </w:r>
      <w:r w:rsidR="003C6AC5">
        <w:rPr>
          <w:rFonts w:ascii="Times New Roman" w:hAnsi="Times New Roman" w:cs="Times New Roman"/>
          <w:sz w:val="24"/>
          <w:szCs w:val="24"/>
        </w:rPr>
        <w:t xml:space="preserve">the </w:t>
      </w:r>
      <w:r w:rsidR="003A7A6A">
        <w:rPr>
          <w:rFonts w:ascii="Times New Roman" w:hAnsi="Times New Roman" w:cs="Times New Roman"/>
          <w:sz w:val="24"/>
          <w:szCs w:val="24"/>
        </w:rPr>
        <w:t>money reposed in a bank</w:t>
      </w:r>
      <w:r w:rsidR="00935AF3">
        <w:rPr>
          <w:rFonts w:ascii="Times New Roman" w:hAnsi="Times New Roman" w:cs="Times New Roman"/>
          <w:sz w:val="24"/>
          <w:szCs w:val="24"/>
        </w:rPr>
        <w:t xml:space="preserve"> on </w:t>
      </w:r>
      <w:r w:rsidR="003C6AC5">
        <w:rPr>
          <w:rFonts w:ascii="Times New Roman" w:hAnsi="Times New Roman" w:cs="Times New Roman"/>
          <w:sz w:val="24"/>
          <w:szCs w:val="24"/>
        </w:rPr>
        <w:t xml:space="preserve">the basis of </w:t>
      </w:r>
      <w:r w:rsidR="00935AF3">
        <w:rPr>
          <w:rFonts w:ascii="Times New Roman" w:hAnsi="Times New Roman" w:cs="Times New Roman"/>
          <w:sz w:val="24"/>
          <w:szCs w:val="24"/>
        </w:rPr>
        <w:t>arrangement</w:t>
      </w:r>
      <w:r w:rsidR="008B446B">
        <w:rPr>
          <w:rFonts w:ascii="Times New Roman" w:hAnsi="Times New Roman" w:cs="Times New Roman"/>
          <w:sz w:val="24"/>
          <w:szCs w:val="24"/>
        </w:rPr>
        <w:t xml:space="preserve">s between the parties. But </w:t>
      </w:r>
      <w:r w:rsidR="00892DF7">
        <w:rPr>
          <w:rFonts w:ascii="Times New Roman" w:hAnsi="Times New Roman" w:cs="Times New Roman"/>
          <w:sz w:val="24"/>
          <w:szCs w:val="24"/>
        </w:rPr>
        <w:t>as already</w:t>
      </w:r>
      <w:r w:rsidR="005A7A32">
        <w:rPr>
          <w:rFonts w:ascii="Times New Roman" w:hAnsi="Times New Roman" w:cs="Times New Roman"/>
          <w:sz w:val="24"/>
          <w:szCs w:val="24"/>
        </w:rPr>
        <w:t xml:space="preserve"> </w:t>
      </w:r>
      <w:r w:rsidR="00125AEB">
        <w:rPr>
          <w:rFonts w:ascii="Times New Roman" w:hAnsi="Times New Roman" w:cs="Times New Roman"/>
          <w:sz w:val="24"/>
          <w:szCs w:val="24"/>
        </w:rPr>
        <w:t xml:space="preserve">asked and </w:t>
      </w:r>
      <w:r w:rsidR="005A7A32">
        <w:rPr>
          <w:rFonts w:ascii="Times New Roman" w:hAnsi="Times New Roman" w:cs="Times New Roman"/>
          <w:sz w:val="24"/>
          <w:szCs w:val="24"/>
        </w:rPr>
        <w:t xml:space="preserve">answered above; - the court </w:t>
      </w:r>
      <w:r w:rsidR="008B446B">
        <w:rPr>
          <w:rFonts w:ascii="Times New Roman" w:hAnsi="Times New Roman" w:cs="Times New Roman"/>
          <w:sz w:val="24"/>
          <w:szCs w:val="24"/>
        </w:rPr>
        <w:t xml:space="preserve">was </w:t>
      </w:r>
      <w:r w:rsidR="00892DF7">
        <w:rPr>
          <w:rFonts w:ascii="Times New Roman" w:hAnsi="Times New Roman" w:cs="Times New Roman"/>
          <w:sz w:val="24"/>
          <w:szCs w:val="24"/>
        </w:rPr>
        <w:t>not presented</w:t>
      </w:r>
      <w:r w:rsidR="005A7A32">
        <w:rPr>
          <w:rFonts w:ascii="Times New Roman" w:hAnsi="Times New Roman" w:cs="Times New Roman"/>
          <w:sz w:val="24"/>
          <w:szCs w:val="24"/>
        </w:rPr>
        <w:t xml:space="preserve"> with </w:t>
      </w:r>
      <w:r w:rsidR="00895A4F">
        <w:rPr>
          <w:rFonts w:ascii="Times New Roman" w:hAnsi="Times New Roman" w:cs="Times New Roman"/>
          <w:sz w:val="24"/>
          <w:szCs w:val="24"/>
        </w:rPr>
        <w:t xml:space="preserve">sufficient </w:t>
      </w:r>
      <w:r w:rsidR="00895A4F" w:rsidRPr="00895A4F">
        <w:rPr>
          <w:rFonts w:ascii="Times New Roman" w:hAnsi="Times New Roman" w:cs="Times New Roman"/>
          <w:i/>
          <w:iCs/>
          <w:sz w:val="24"/>
          <w:szCs w:val="24"/>
        </w:rPr>
        <w:t>factual circumstances</w:t>
      </w:r>
      <w:r w:rsidR="00895A4F">
        <w:rPr>
          <w:rFonts w:ascii="Times New Roman" w:hAnsi="Times New Roman" w:cs="Times New Roman"/>
          <w:sz w:val="24"/>
          <w:szCs w:val="24"/>
        </w:rPr>
        <w:t xml:space="preserve"> and </w:t>
      </w:r>
      <w:r w:rsidR="00895A4F" w:rsidRPr="00895A4F">
        <w:rPr>
          <w:rFonts w:ascii="Times New Roman" w:hAnsi="Times New Roman" w:cs="Times New Roman"/>
          <w:i/>
          <w:iCs/>
          <w:sz w:val="24"/>
          <w:szCs w:val="24"/>
        </w:rPr>
        <w:t>material substance</w:t>
      </w:r>
      <w:r w:rsidR="00895A4F">
        <w:rPr>
          <w:rFonts w:ascii="Times New Roman" w:hAnsi="Times New Roman" w:cs="Times New Roman"/>
          <w:sz w:val="24"/>
          <w:szCs w:val="24"/>
        </w:rPr>
        <w:t xml:space="preserve"> to enable the </w:t>
      </w:r>
      <w:r w:rsidR="0098286F">
        <w:rPr>
          <w:rFonts w:ascii="Times New Roman" w:hAnsi="Times New Roman" w:cs="Times New Roman"/>
          <w:sz w:val="24"/>
          <w:szCs w:val="24"/>
        </w:rPr>
        <w:t xml:space="preserve">ascertainment of </w:t>
      </w:r>
      <w:r w:rsidR="00895A4F">
        <w:rPr>
          <w:rFonts w:ascii="Times New Roman" w:hAnsi="Times New Roman" w:cs="Times New Roman"/>
          <w:sz w:val="24"/>
          <w:szCs w:val="24"/>
        </w:rPr>
        <w:t xml:space="preserve">the </w:t>
      </w:r>
      <w:r w:rsidR="00895A4F" w:rsidRPr="00895A4F">
        <w:rPr>
          <w:rFonts w:ascii="Times New Roman" w:hAnsi="Times New Roman" w:cs="Times New Roman"/>
          <w:i/>
          <w:iCs/>
          <w:sz w:val="24"/>
          <w:szCs w:val="24"/>
        </w:rPr>
        <w:t>nature of the transaction</w:t>
      </w:r>
      <w:r w:rsidR="00895A4F">
        <w:rPr>
          <w:rFonts w:ascii="Times New Roman" w:hAnsi="Times New Roman" w:cs="Times New Roman"/>
          <w:sz w:val="24"/>
          <w:szCs w:val="24"/>
        </w:rPr>
        <w:t xml:space="preserve"> between the </w:t>
      </w:r>
      <w:r w:rsidR="00892DF7">
        <w:rPr>
          <w:rFonts w:ascii="Times New Roman" w:hAnsi="Times New Roman" w:cs="Times New Roman"/>
          <w:sz w:val="24"/>
          <w:szCs w:val="24"/>
        </w:rPr>
        <w:t xml:space="preserve">parties.  Additionally, there is nothing to </w:t>
      </w:r>
      <w:r w:rsidR="004F4609">
        <w:rPr>
          <w:rFonts w:ascii="Times New Roman" w:hAnsi="Times New Roman" w:cs="Times New Roman"/>
          <w:sz w:val="24"/>
          <w:szCs w:val="24"/>
        </w:rPr>
        <w:t xml:space="preserve">offset </w:t>
      </w:r>
      <w:r w:rsidR="00892DF7">
        <w:rPr>
          <w:rFonts w:ascii="Times New Roman" w:hAnsi="Times New Roman" w:cs="Times New Roman"/>
          <w:sz w:val="24"/>
          <w:szCs w:val="24"/>
        </w:rPr>
        <w:t xml:space="preserve">the conclusion that the debt herein is not </w:t>
      </w:r>
      <w:r w:rsidR="004F4609">
        <w:rPr>
          <w:rFonts w:ascii="Times New Roman" w:hAnsi="Times New Roman" w:cs="Times New Roman"/>
          <w:sz w:val="24"/>
          <w:szCs w:val="24"/>
        </w:rPr>
        <w:t xml:space="preserve">at all </w:t>
      </w:r>
      <w:r w:rsidR="00892DF7">
        <w:rPr>
          <w:rFonts w:ascii="Times New Roman" w:hAnsi="Times New Roman" w:cs="Times New Roman"/>
          <w:sz w:val="24"/>
          <w:szCs w:val="24"/>
        </w:rPr>
        <w:t>denominated in foreign currency.</w:t>
      </w:r>
      <w:r w:rsidR="00895A4F">
        <w:rPr>
          <w:rFonts w:ascii="Times New Roman" w:hAnsi="Times New Roman" w:cs="Times New Roman"/>
          <w:sz w:val="24"/>
          <w:szCs w:val="24"/>
        </w:rPr>
        <w:t xml:space="preserve"> </w:t>
      </w:r>
    </w:p>
    <w:p w14:paraId="0962E68F" w14:textId="77777777" w:rsidR="00901D12" w:rsidRPr="009552C3" w:rsidRDefault="00901D12" w:rsidP="00C11859">
      <w:pPr>
        <w:spacing w:line="360" w:lineRule="auto"/>
        <w:jc w:val="both"/>
        <w:rPr>
          <w:rFonts w:ascii="Times New Roman" w:hAnsi="Times New Roman" w:cs="Times New Roman"/>
          <w:sz w:val="24"/>
          <w:szCs w:val="24"/>
        </w:rPr>
      </w:pPr>
      <w:r w:rsidRPr="009552C3">
        <w:rPr>
          <w:rFonts w:ascii="Times New Roman" w:hAnsi="Times New Roman" w:cs="Times New Roman"/>
          <w:sz w:val="24"/>
          <w:szCs w:val="24"/>
        </w:rPr>
        <w:t>DISPOSITION</w:t>
      </w:r>
    </w:p>
    <w:p w14:paraId="04B7DC57" w14:textId="384C6146" w:rsidR="00C11859" w:rsidRDefault="00C11859" w:rsidP="00C11859">
      <w:pPr>
        <w:spacing w:line="360" w:lineRule="auto"/>
        <w:jc w:val="both"/>
        <w:rPr>
          <w:rFonts w:ascii="Times New Roman" w:hAnsi="Times New Roman" w:cs="Times New Roman"/>
          <w:sz w:val="24"/>
          <w:szCs w:val="24"/>
        </w:rPr>
      </w:pPr>
      <w:r w:rsidRPr="009552C3">
        <w:rPr>
          <w:rFonts w:ascii="Times New Roman" w:hAnsi="Times New Roman" w:cs="Times New Roman"/>
          <w:sz w:val="24"/>
          <w:szCs w:val="24"/>
        </w:rPr>
        <w:t>[</w:t>
      </w:r>
      <w:r w:rsidR="00720B5B">
        <w:rPr>
          <w:rFonts w:ascii="Times New Roman" w:hAnsi="Times New Roman" w:cs="Times New Roman"/>
          <w:sz w:val="24"/>
          <w:szCs w:val="24"/>
        </w:rPr>
        <w:t>7</w:t>
      </w:r>
      <w:r w:rsidR="007B4EFB">
        <w:rPr>
          <w:rFonts w:ascii="Times New Roman" w:hAnsi="Times New Roman" w:cs="Times New Roman"/>
          <w:sz w:val="24"/>
          <w:szCs w:val="24"/>
        </w:rPr>
        <w:t>5</w:t>
      </w:r>
      <w:r w:rsidRPr="009552C3">
        <w:rPr>
          <w:rFonts w:ascii="Times New Roman" w:hAnsi="Times New Roman" w:cs="Times New Roman"/>
          <w:sz w:val="24"/>
          <w:szCs w:val="24"/>
        </w:rPr>
        <w:t xml:space="preserve">] </w:t>
      </w:r>
      <w:r w:rsidR="0098286F">
        <w:rPr>
          <w:rFonts w:ascii="Times New Roman" w:hAnsi="Times New Roman" w:cs="Times New Roman"/>
          <w:sz w:val="24"/>
          <w:szCs w:val="24"/>
        </w:rPr>
        <w:t>In saying so,</w:t>
      </w:r>
      <w:r w:rsidR="009552C3" w:rsidRPr="009552C3">
        <w:rPr>
          <w:rFonts w:ascii="Times New Roman" w:hAnsi="Times New Roman" w:cs="Times New Roman"/>
          <w:sz w:val="24"/>
          <w:szCs w:val="24"/>
        </w:rPr>
        <w:t xml:space="preserve"> it</w:t>
      </w:r>
      <w:r w:rsidRPr="009552C3">
        <w:rPr>
          <w:rFonts w:ascii="Times New Roman" w:hAnsi="Times New Roman" w:cs="Times New Roman"/>
          <w:sz w:val="24"/>
          <w:szCs w:val="24"/>
        </w:rPr>
        <w:t xml:space="preserve"> must </w:t>
      </w:r>
      <w:r w:rsidR="005A7A32" w:rsidRPr="009552C3">
        <w:rPr>
          <w:rFonts w:ascii="Times New Roman" w:hAnsi="Times New Roman" w:cs="Times New Roman"/>
          <w:sz w:val="24"/>
          <w:szCs w:val="24"/>
        </w:rPr>
        <w:t xml:space="preserve">again </w:t>
      </w:r>
      <w:r w:rsidRPr="009552C3">
        <w:rPr>
          <w:rFonts w:ascii="Times New Roman" w:hAnsi="Times New Roman" w:cs="Times New Roman"/>
          <w:sz w:val="24"/>
          <w:szCs w:val="24"/>
        </w:rPr>
        <w:t xml:space="preserve">be </w:t>
      </w:r>
      <w:r w:rsidR="0098286F" w:rsidRPr="009552C3">
        <w:rPr>
          <w:rFonts w:ascii="Times New Roman" w:hAnsi="Times New Roman" w:cs="Times New Roman"/>
          <w:sz w:val="24"/>
          <w:szCs w:val="24"/>
        </w:rPr>
        <w:t>recognised, as</w:t>
      </w:r>
      <w:r w:rsidR="0098286F">
        <w:rPr>
          <w:rFonts w:ascii="Times New Roman" w:hAnsi="Times New Roman" w:cs="Times New Roman"/>
          <w:sz w:val="24"/>
          <w:szCs w:val="24"/>
        </w:rPr>
        <w:t xml:space="preserve"> observed by Professor Madhuku, </w:t>
      </w:r>
      <w:r w:rsidRPr="009552C3">
        <w:rPr>
          <w:rFonts w:ascii="Times New Roman" w:hAnsi="Times New Roman" w:cs="Times New Roman"/>
          <w:sz w:val="24"/>
          <w:szCs w:val="24"/>
        </w:rPr>
        <w:t>that indeed, banks go beyond the</w:t>
      </w:r>
      <w:r>
        <w:rPr>
          <w:rFonts w:ascii="Times New Roman" w:hAnsi="Times New Roman" w:cs="Times New Roman"/>
          <w:sz w:val="24"/>
          <w:szCs w:val="24"/>
        </w:rPr>
        <w:t xml:space="preserve"> traditional or classic function as mere deposit </w:t>
      </w:r>
      <w:r w:rsidR="009552C3">
        <w:rPr>
          <w:rFonts w:ascii="Times New Roman" w:hAnsi="Times New Roman" w:cs="Times New Roman"/>
          <w:sz w:val="24"/>
          <w:szCs w:val="24"/>
        </w:rPr>
        <w:t>takers. [ see paragraph [</w:t>
      </w:r>
      <w:r w:rsidR="00125AEB">
        <w:rPr>
          <w:rFonts w:ascii="Times New Roman" w:hAnsi="Times New Roman" w:cs="Times New Roman"/>
          <w:sz w:val="24"/>
          <w:szCs w:val="24"/>
        </w:rPr>
        <w:t>55]</w:t>
      </w:r>
      <w:r w:rsidR="009552C3">
        <w:rPr>
          <w:rFonts w:ascii="Times New Roman" w:hAnsi="Times New Roman" w:cs="Times New Roman"/>
          <w:sz w:val="24"/>
          <w:szCs w:val="24"/>
        </w:rPr>
        <w:t xml:space="preserve"> </w:t>
      </w:r>
      <w:r w:rsidR="00125AEB">
        <w:rPr>
          <w:rFonts w:ascii="Times New Roman" w:hAnsi="Times New Roman" w:cs="Times New Roman"/>
          <w:sz w:val="24"/>
          <w:szCs w:val="24"/>
        </w:rPr>
        <w:t>above].</w:t>
      </w:r>
      <w:r>
        <w:rPr>
          <w:rFonts w:ascii="Times New Roman" w:hAnsi="Times New Roman" w:cs="Times New Roman"/>
          <w:sz w:val="24"/>
          <w:szCs w:val="24"/>
        </w:rPr>
        <w:t xml:space="preserve"> </w:t>
      </w:r>
      <w:r w:rsidRPr="005F05DA">
        <w:rPr>
          <w:rFonts w:ascii="Times New Roman" w:hAnsi="Times New Roman" w:cs="Times New Roman"/>
          <w:sz w:val="24"/>
          <w:szCs w:val="24"/>
        </w:rPr>
        <w:t>Section 7 (1) of the Banking Act [ Chapter 24:20] lists no less than 14 types of banking products and services. And paragraph</w:t>
      </w:r>
      <w:r>
        <w:rPr>
          <w:rFonts w:ascii="Times New Roman" w:hAnsi="Times New Roman" w:cs="Times New Roman"/>
          <w:sz w:val="24"/>
          <w:szCs w:val="24"/>
        </w:rPr>
        <w:t xml:space="preserve"> 4.1 of Directive RT 120/18, as a ready example, adverted to some of these and stated that; -</w:t>
      </w:r>
    </w:p>
    <w:p w14:paraId="406F3101" w14:textId="3A9E3B4A" w:rsidR="00C11859" w:rsidRDefault="00C11859" w:rsidP="009552C3">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“Authorised Dealers [ namely banks] are advised that, high value payments should be processed using other forms of payments such as Letters of Credit, documentary credits and others”.</w:t>
      </w:r>
    </w:p>
    <w:p w14:paraId="03D4E14A" w14:textId="27653D02" w:rsidR="00C11859" w:rsidRDefault="00C11859" w:rsidP="00571AF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Each of these arrangements presumably carry special terms, conditions as well as fees and charges for raising them. It was therefore imperative, coming to the escrow account under focus, for the terms between Nedbank and Magic Software to be explicitly set out before the court. The paucity </w:t>
      </w:r>
      <w:r w:rsidR="00720B5B">
        <w:rPr>
          <w:rFonts w:ascii="Times New Roman" w:hAnsi="Times New Roman" w:cs="Times New Roman"/>
          <w:sz w:val="24"/>
          <w:szCs w:val="24"/>
        </w:rPr>
        <w:t xml:space="preserve">characterising </w:t>
      </w:r>
      <w:r>
        <w:rPr>
          <w:rFonts w:ascii="Times New Roman" w:hAnsi="Times New Roman" w:cs="Times New Roman"/>
          <w:sz w:val="24"/>
          <w:szCs w:val="24"/>
        </w:rPr>
        <w:t>the two emails filed of record rendered them too shaky a pair of legs to convey the full terms and conditions of the contract.</w:t>
      </w:r>
    </w:p>
    <w:p w14:paraId="09AE5B9C" w14:textId="2FF213D1" w:rsidR="00597324" w:rsidRDefault="00CB66C2" w:rsidP="005973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0B5B">
        <w:rPr>
          <w:rFonts w:ascii="Times New Roman" w:hAnsi="Times New Roman" w:cs="Times New Roman"/>
          <w:sz w:val="24"/>
          <w:szCs w:val="24"/>
        </w:rPr>
        <w:t>75</w:t>
      </w:r>
      <w:r w:rsidR="000311AF">
        <w:rPr>
          <w:rFonts w:ascii="Times New Roman" w:hAnsi="Times New Roman" w:cs="Times New Roman"/>
          <w:sz w:val="24"/>
          <w:szCs w:val="24"/>
        </w:rPr>
        <w:t>]</w:t>
      </w:r>
      <w:r>
        <w:rPr>
          <w:rFonts w:ascii="Times New Roman" w:hAnsi="Times New Roman" w:cs="Times New Roman"/>
          <w:sz w:val="24"/>
          <w:szCs w:val="24"/>
        </w:rPr>
        <w:t xml:space="preserve"> In that respect, the court was handicapped in the dual task of conducting </w:t>
      </w:r>
      <w:r w:rsidR="00B260B2">
        <w:rPr>
          <w:rFonts w:ascii="Times New Roman" w:hAnsi="Times New Roman" w:cs="Times New Roman"/>
          <w:sz w:val="24"/>
          <w:szCs w:val="24"/>
        </w:rPr>
        <w:t>(i) the wider considerations triggered by a declaratory claim and</w:t>
      </w:r>
      <w:r w:rsidR="0098286F">
        <w:rPr>
          <w:rFonts w:ascii="Times New Roman" w:hAnsi="Times New Roman" w:cs="Times New Roman"/>
          <w:sz w:val="24"/>
          <w:szCs w:val="24"/>
        </w:rPr>
        <w:t>,</w:t>
      </w:r>
      <w:r w:rsidR="00B260B2">
        <w:rPr>
          <w:rFonts w:ascii="Times New Roman" w:hAnsi="Times New Roman" w:cs="Times New Roman"/>
          <w:sz w:val="24"/>
          <w:szCs w:val="24"/>
        </w:rPr>
        <w:t xml:space="preserve"> (ii) the similarly wider sweep necessitated by section 44C (2) (b).</w:t>
      </w:r>
      <w:r>
        <w:rPr>
          <w:rFonts w:ascii="Times New Roman" w:hAnsi="Times New Roman" w:cs="Times New Roman"/>
          <w:sz w:val="24"/>
          <w:szCs w:val="24"/>
        </w:rPr>
        <w:t xml:space="preserve"> </w:t>
      </w:r>
      <w:r w:rsidR="000311AF">
        <w:rPr>
          <w:rFonts w:ascii="Times New Roman" w:hAnsi="Times New Roman" w:cs="Times New Roman"/>
          <w:sz w:val="24"/>
          <w:szCs w:val="24"/>
        </w:rPr>
        <w:t xml:space="preserve"> On</w:t>
      </w:r>
      <w:r w:rsidR="008C4AB9">
        <w:rPr>
          <w:rFonts w:ascii="Times New Roman" w:hAnsi="Times New Roman" w:cs="Times New Roman"/>
          <w:sz w:val="24"/>
          <w:szCs w:val="24"/>
        </w:rPr>
        <w:t xml:space="preserve"> that</w:t>
      </w:r>
      <w:r w:rsidR="00571AF5">
        <w:rPr>
          <w:rFonts w:ascii="Times New Roman" w:hAnsi="Times New Roman" w:cs="Times New Roman"/>
          <w:sz w:val="24"/>
          <w:szCs w:val="24"/>
        </w:rPr>
        <w:t xml:space="preserve"> basis, </w:t>
      </w:r>
      <w:r w:rsidR="004F4609">
        <w:rPr>
          <w:rFonts w:ascii="Times New Roman" w:hAnsi="Times New Roman" w:cs="Times New Roman"/>
          <w:sz w:val="24"/>
          <w:szCs w:val="24"/>
        </w:rPr>
        <w:t xml:space="preserve">no </w:t>
      </w:r>
      <w:r w:rsidR="00571AF5">
        <w:rPr>
          <w:rFonts w:ascii="Times New Roman" w:hAnsi="Times New Roman" w:cs="Times New Roman"/>
          <w:sz w:val="24"/>
          <w:szCs w:val="24"/>
        </w:rPr>
        <w:t xml:space="preserve">case has been properly established to </w:t>
      </w:r>
      <w:r w:rsidR="00AB4DA0">
        <w:rPr>
          <w:rFonts w:ascii="Times New Roman" w:hAnsi="Times New Roman" w:cs="Times New Roman"/>
          <w:sz w:val="24"/>
          <w:szCs w:val="24"/>
        </w:rPr>
        <w:t xml:space="preserve">warrant </w:t>
      </w:r>
      <w:r w:rsidR="00571AF5">
        <w:rPr>
          <w:rFonts w:ascii="Times New Roman" w:hAnsi="Times New Roman" w:cs="Times New Roman"/>
          <w:sz w:val="24"/>
          <w:szCs w:val="24"/>
        </w:rPr>
        <w:t xml:space="preserve">the discretionary intervention of the court </w:t>
      </w:r>
      <w:r w:rsidR="004F4609">
        <w:rPr>
          <w:rFonts w:ascii="Times New Roman" w:hAnsi="Times New Roman" w:cs="Times New Roman"/>
          <w:sz w:val="24"/>
          <w:szCs w:val="24"/>
        </w:rPr>
        <w:t xml:space="preserve">and </w:t>
      </w:r>
      <w:r>
        <w:rPr>
          <w:rFonts w:ascii="Times New Roman" w:hAnsi="Times New Roman" w:cs="Times New Roman"/>
          <w:sz w:val="24"/>
          <w:szCs w:val="24"/>
        </w:rPr>
        <w:t>assert the rights claimed by Magic</w:t>
      </w:r>
      <w:r w:rsidR="00571AF5">
        <w:rPr>
          <w:rFonts w:ascii="Times New Roman" w:hAnsi="Times New Roman" w:cs="Times New Roman"/>
          <w:sz w:val="24"/>
          <w:szCs w:val="24"/>
        </w:rPr>
        <w:t xml:space="preserve"> </w:t>
      </w:r>
      <w:r>
        <w:rPr>
          <w:rFonts w:ascii="Times New Roman" w:hAnsi="Times New Roman" w:cs="Times New Roman"/>
          <w:sz w:val="24"/>
          <w:szCs w:val="24"/>
        </w:rPr>
        <w:t>Software. The relief</w:t>
      </w:r>
      <w:r w:rsidR="00597324">
        <w:rPr>
          <w:rFonts w:ascii="Times New Roman" w:hAnsi="Times New Roman" w:cs="Times New Roman"/>
          <w:sz w:val="24"/>
          <w:szCs w:val="24"/>
        </w:rPr>
        <w:t xml:space="preserve"> sought is </w:t>
      </w:r>
      <w:r w:rsidR="004F4609">
        <w:rPr>
          <w:rFonts w:ascii="Times New Roman" w:hAnsi="Times New Roman" w:cs="Times New Roman"/>
          <w:sz w:val="24"/>
          <w:szCs w:val="24"/>
        </w:rPr>
        <w:t>unreachable,</w:t>
      </w:r>
      <w:r w:rsidR="00597324">
        <w:rPr>
          <w:rFonts w:ascii="Times New Roman" w:hAnsi="Times New Roman" w:cs="Times New Roman"/>
          <w:sz w:val="24"/>
          <w:szCs w:val="24"/>
        </w:rPr>
        <w:t xml:space="preserve"> and will thus be refused with costs</w:t>
      </w:r>
    </w:p>
    <w:p w14:paraId="58AC1006" w14:textId="3EB57E6A" w:rsidR="00F13FFC" w:rsidRDefault="00F13FFC" w:rsidP="008E65A8">
      <w:pPr>
        <w:spacing w:line="360" w:lineRule="auto"/>
        <w:jc w:val="both"/>
        <w:rPr>
          <w:rFonts w:ascii="Times New Roman" w:hAnsi="Times New Roman" w:cs="Times New Roman"/>
          <w:sz w:val="24"/>
          <w:szCs w:val="24"/>
        </w:rPr>
      </w:pPr>
      <w:bookmarkStart w:id="4" w:name="_GoBack"/>
      <w:bookmarkEnd w:id="4"/>
      <w:r>
        <w:rPr>
          <w:rFonts w:ascii="Times New Roman" w:hAnsi="Times New Roman" w:cs="Times New Roman"/>
          <w:sz w:val="24"/>
          <w:szCs w:val="24"/>
        </w:rPr>
        <w:t>It is therefore ordered; -</w:t>
      </w:r>
    </w:p>
    <w:p w14:paraId="42F3F4CD" w14:textId="27BAA012" w:rsidR="00F13FFC" w:rsidRPr="00F13FFC" w:rsidRDefault="00F13FFC" w:rsidP="00F13FFC">
      <w:pPr>
        <w:pStyle w:val="ListParagraph"/>
        <w:numPr>
          <w:ilvl w:val="0"/>
          <w:numId w:val="5"/>
        </w:numPr>
        <w:spacing w:line="360" w:lineRule="auto"/>
        <w:jc w:val="both"/>
        <w:rPr>
          <w:rFonts w:ascii="Times New Roman" w:hAnsi="Times New Roman" w:cs="Times New Roman"/>
          <w:sz w:val="24"/>
          <w:szCs w:val="24"/>
        </w:rPr>
      </w:pPr>
      <w:r w:rsidRPr="00F13FFC">
        <w:rPr>
          <w:rFonts w:ascii="Times New Roman" w:hAnsi="Times New Roman" w:cs="Times New Roman"/>
          <w:sz w:val="24"/>
          <w:szCs w:val="24"/>
        </w:rPr>
        <w:t>That the application  be and is hereby dismissed with costs.</w:t>
      </w:r>
    </w:p>
    <w:p w14:paraId="076C1D94" w14:textId="77777777" w:rsidR="00F13FFC" w:rsidRDefault="00F13FFC" w:rsidP="008E65A8">
      <w:pPr>
        <w:spacing w:line="360" w:lineRule="auto"/>
        <w:jc w:val="both"/>
        <w:rPr>
          <w:rFonts w:ascii="Times New Roman" w:hAnsi="Times New Roman" w:cs="Times New Roman"/>
          <w:sz w:val="24"/>
          <w:szCs w:val="24"/>
        </w:rPr>
      </w:pPr>
    </w:p>
    <w:p w14:paraId="6B7DD940" w14:textId="789776C2" w:rsidR="00F13FFC" w:rsidRPr="00F13FFC" w:rsidRDefault="00F13FFC" w:rsidP="00F13FFC">
      <w:pPr>
        <w:pStyle w:val="NoSpacing"/>
        <w:rPr>
          <w:rFonts w:ascii="Times New Roman" w:hAnsi="Times New Roman" w:cs="Times New Roman"/>
          <w:sz w:val="24"/>
          <w:szCs w:val="24"/>
        </w:rPr>
      </w:pPr>
      <w:r w:rsidRPr="00F13FFC">
        <w:rPr>
          <w:rFonts w:ascii="Times New Roman" w:hAnsi="Times New Roman" w:cs="Times New Roman"/>
          <w:i/>
          <w:iCs/>
          <w:sz w:val="24"/>
          <w:szCs w:val="24"/>
        </w:rPr>
        <w:t>Manokore and Partners</w:t>
      </w:r>
      <w:r w:rsidRPr="00F13FFC">
        <w:rPr>
          <w:rFonts w:ascii="Times New Roman" w:hAnsi="Times New Roman" w:cs="Times New Roman"/>
          <w:sz w:val="24"/>
          <w:szCs w:val="24"/>
        </w:rPr>
        <w:t>-applicant`s legal practitioners</w:t>
      </w:r>
    </w:p>
    <w:p w14:paraId="427E5C75" w14:textId="6B057F53" w:rsidR="00F13FFC" w:rsidRDefault="00F13FFC" w:rsidP="00F13FFC">
      <w:pPr>
        <w:pStyle w:val="NoSpacing"/>
        <w:rPr>
          <w:rFonts w:ascii="Times New Roman" w:hAnsi="Times New Roman" w:cs="Times New Roman"/>
          <w:sz w:val="24"/>
          <w:szCs w:val="24"/>
        </w:rPr>
      </w:pPr>
      <w:r w:rsidRPr="00F13FFC">
        <w:rPr>
          <w:rFonts w:ascii="Times New Roman" w:hAnsi="Times New Roman" w:cs="Times New Roman"/>
          <w:i/>
          <w:iCs/>
          <w:sz w:val="24"/>
          <w:szCs w:val="24"/>
        </w:rPr>
        <w:t>Scanlen and Holderness</w:t>
      </w:r>
      <w:r w:rsidRPr="00F13FFC">
        <w:rPr>
          <w:rFonts w:ascii="Times New Roman" w:hAnsi="Times New Roman" w:cs="Times New Roman"/>
          <w:sz w:val="24"/>
          <w:szCs w:val="24"/>
        </w:rPr>
        <w:t>-respondent`s legal practitioners.</w:t>
      </w:r>
    </w:p>
    <w:p w14:paraId="166CB3AE" w14:textId="7BAB271B" w:rsidR="000311AF" w:rsidRDefault="000311AF" w:rsidP="00F13FF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05F9C26D" w14:textId="4921CE3E" w:rsidR="000311AF" w:rsidRPr="000311AF" w:rsidRDefault="000311AF" w:rsidP="00F13FFC">
      <w:pPr>
        <w:pStyle w:val="NoSpacing"/>
        <w:rPr>
          <w:rFonts w:ascii="Times New Roman" w:hAnsi="Times New Roman" w:cs="Times New Roman"/>
          <w:b/>
          <w:bCs/>
          <w:sz w:val="16"/>
          <w:szCs w:val="16"/>
        </w:rPr>
      </w:pPr>
      <w:r>
        <w:rPr>
          <w:rFonts w:ascii="Times New Roman" w:hAnsi="Times New Roman" w:cs="Times New Roman"/>
          <w:sz w:val="24"/>
          <w:szCs w:val="24"/>
        </w:rPr>
        <w:t xml:space="preserve">                                                                                        </w:t>
      </w:r>
      <w:r w:rsidRPr="000311AF">
        <w:rPr>
          <w:rFonts w:ascii="Times New Roman" w:hAnsi="Times New Roman" w:cs="Times New Roman"/>
          <w:b/>
          <w:bCs/>
          <w:sz w:val="16"/>
          <w:szCs w:val="16"/>
        </w:rPr>
        <w:t>[CHILIMBE J___26/6/24]</w:t>
      </w:r>
    </w:p>
    <w:p w14:paraId="047589B6" w14:textId="20134FAA" w:rsidR="006165E9" w:rsidRDefault="00DC2816" w:rsidP="00DC2816">
      <w:pPr>
        <w:tabs>
          <w:tab w:val="left" w:pos="501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47817FE5" w14:textId="77777777" w:rsidR="006165E9" w:rsidRDefault="006165E9" w:rsidP="008E65A8">
      <w:pPr>
        <w:spacing w:line="360" w:lineRule="auto"/>
        <w:jc w:val="both"/>
        <w:rPr>
          <w:rFonts w:ascii="Times New Roman" w:hAnsi="Times New Roman" w:cs="Times New Roman"/>
          <w:sz w:val="24"/>
          <w:szCs w:val="24"/>
        </w:rPr>
      </w:pPr>
    </w:p>
    <w:sectPr w:rsidR="006165E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F22B5" w14:textId="77777777" w:rsidR="00A62AFE" w:rsidRDefault="00A62AFE" w:rsidP="00352F43">
      <w:pPr>
        <w:spacing w:after="0" w:line="240" w:lineRule="auto"/>
      </w:pPr>
      <w:r>
        <w:separator/>
      </w:r>
    </w:p>
  </w:endnote>
  <w:endnote w:type="continuationSeparator" w:id="0">
    <w:p w14:paraId="66ACFE05" w14:textId="77777777" w:rsidR="00A62AFE" w:rsidRDefault="00A62AFE" w:rsidP="00352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6C5E4" w14:textId="77777777" w:rsidR="00A62AFE" w:rsidRDefault="00A62AFE" w:rsidP="00352F43">
      <w:pPr>
        <w:spacing w:after="0" w:line="240" w:lineRule="auto"/>
      </w:pPr>
      <w:r>
        <w:separator/>
      </w:r>
    </w:p>
  </w:footnote>
  <w:footnote w:type="continuationSeparator" w:id="0">
    <w:p w14:paraId="7DA422B6" w14:textId="77777777" w:rsidR="00A62AFE" w:rsidRDefault="00A62AFE" w:rsidP="00352F43">
      <w:pPr>
        <w:spacing w:after="0" w:line="240" w:lineRule="auto"/>
      </w:pPr>
      <w:r>
        <w:continuationSeparator/>
      </w:r>
    </w:p>
  </w:footnote>
  <w:footnote w:id="1">
    <w:p w14:paraId="356F3125" w14:textId="4E7EBAA2" w:rsidR="001543C4" w:rsidRDefault="001543C4">
      <w:pPr>
        <w:pStyle w:val="FootnoteText"/>
      </w:pPr>
      <w:r>
        <w:rPr>
          <w:rStyle w:val="FootnoteReference"/>
        </w:rPr>
        <w:footnoteRef/>
      </w:r>
      <w:r>
        <w:t xml:space="preserve"> Paragraph 1.1 of respondent`s heads of argument at page 125 of the record.</w:t>
      </w:r>
    </w:p>
  </w:footnote>
  <w:footnote w:id="2">
    <w:p w14:paraId="0019227B" w14:textId="525BB255" w:rsidR="00881E9A" w:rsidRDefault="00881E9A">
      <w:pPr>
        <w:pStyle w:val="FootnoteText"/>
      </w:pPr>
      <w:r>
        <w:rPr>
          <w:rStyle w:val="FootnoteReference"/>
        </w:rPr>
        <w:footnoteRef/>
      </w:r>
      <w:r>
        <w:t xml:space="preserve"> The Supreme Court relied on a number of foreign decisions herein. Likewise, reference to China Shougang necessarily took the survey to other foreign decisions. </w:t>
      </w:r>
    </w:p>
  </w:footnote>
  <w:footnote w:id="3">
    <w:p w14:paraId="3EF82F57" w14:textId="6315C9DF" w:rsidR="006466F1" w:rsidRDefault="006466F1">
      <w:pPr>
        <w:pStyle w:val="FootnoteText"/>
      </w:pPr>
      <w:r>
        <w:rPr>
          <w:rStyle w:val="FootnoteReference"/>
        </w:rPr>
        <w:footnoteRef/>
      </w:r>
      <w:r>
        <w:t xml:space="preserve"> See page 45 of 1999 (1) ZLR 41 (S)</w:t>
      </w:r>
    </w:p>
  </w:footnote>
  <w:footnote w:id="4">
    <w:p w14:paraId="55071EB7" w14:textId="37ED40D5" w:rsidR="00397D26" w:rsidRDefault="00397D26">
      <w:pPr>
        <w:pStyle w:val="FootnoteText"/>
      </w:pPr>
      <w:r>
        <w:rPr>
          <w:rStyle w:val="FootnoteReference"/>
        </w:rPr>
        <w:footnoteRef/>
      </w:r>
      <w:r>
        <w:t xml:space="preserve"> Paragraph 2 of Chipo Masawi`s opposing affidavit at page 79 of the record.</w:t>
      </w:r>
    </w:p>
  </w:footnote>
  <w:footnote w:id="5">
    <w:p w14:paraId="30283325" w14:textId="1D188D85" w:rsidR="005922B6" w:rsidRDefault="005922B6">
      <w:pPr>
        <w:pStyle w:val="FootnoteText"/>
      </w:pPr>
      <w:r>
        <w:rPr>
          <w:rStyle w:val="FootnoteReference"/>
        </w:rPr>
        <w:footnoteRef/>
      </w:r>
      <w:r>
        <w:t xml:space="preserve"> Cited with approval in </w:t>
      </w:r>
      <w:r w:rsidRPr="005922B6">
        <w:rPr>
          <w:i/>
          <w:iCs/>
        </w:rPr>
        <w:t>Standard Chartered v China Shougang</w:t>
      </w:r>
      <w:r>
        <w:t xml:space="preserve"> (supra)</w:t>
      </w:r>
    </w:p>
  </w:footnote>
  <w:footnote w:id="6">
    <w:p w14:paraId="3C93F094" w14:textId="37D6FC9C" w:rsidR="00E0257E" w:rsidRDefault="00E0257E" w:rsidP="00B613BF">
      <w:pPr>
        <w:spacing w:line="360" w:lineRule="auto"/>
        <w:jc w:val="both"/>
      </w:pPr>
      <w:r>
        <w:rPr>
          <w:rStyle w:val="FootnoteReference"/>
        </w:rPr>
        <w:footnoteRef/>
      </w:r>
      <w:r>
        <w:t xml:space="preserve"> </w:t>
      </w:r>
      <w:r w:rsidRPr="00E0257E">
        <w:rPr>
          <w:rFonts w:cstheme="minorHAnsi"/>
          <w:i/>
          <w:iCs/>
          <w:sz w:val="20"/>
          <w:szCs w:val="20"/>
        </w:rPr>
        <w:t>Bank of New South Wales v Laing</w:t>
      </w:r>
      <w:r w:rsidRPr="00E0257E">
        <w:rPr>
          <w:rFonts w:cstheme="minorHAnsi"/>
          <w:sz w:val="20"/>
          <w:szCs w:val="20"/>
        </w:rPr>
        <w:t xml:space="preserve"> [1954] A.C 135</w:t>
      </w:r>
    </w:p>
  </w:footnote>
  <w:footnote w:id="7">
    <w:p w14:paraId="36D56845" w14:textId="09AA2890" w:rsidR="00F46D23" w:rsidRDefault="00F46D23">
      <w:pPr>
        <w:pStyle w:val="FootnoteText"/>
      </w:pPr>
      <w:r>
        <w:rPr>
          <w:rStyle w:val="FootnoteReference"/>
        </w:rPr>
        <w:footnoteRef/>
      </w:r>
      <w:r>
        <w:t xml:space="preserve"> Paragraph 13 of Chaimovsky`s founding affidavit at page 6 of the record.</w:t>
      </w:r>
    </w:p>
  </w:footnote>
  <w:footnote w:id="8">
    <w:p w14:paraId="04E147FA" w14:textId="77098213" w:rsidR="006706BD" w:rsidRDefault="006706BD">
      <w:pPr>
        <w:pStyle w:val="FootnoteText"/>
      </w:pPr>
      <w:r>
        <w:rPr>
          <w:rStyle w:val="FootnoteReference"/>
        </w:rPr>
        <w:footnoteRef/>
      </w:r>
      <w:r>
        <w:t xml:space="preserve"> See </w:t>
      </w:r>
      <w:r w:rsidRPr="007D6AD0">
        <w:rPr>
          <w:i/>
          <w:iCs/>
        </w:rPr>
        <w:t>Redmond v Allied Irish Bank Plc</w:t>
      </w:r>
      <w:r>
        <w:t xml:space="preserve"> [1987] F.L.R 307.</w:t>
      </w:r>
    </w:p>
  </w:footnote>
  <w:footnote w:id="9">
    <w:p w14:paraId="0AE66C6B" w14:textId="48D2A8D8" w:rsidR="00554069" w:rsidRDefault="00554069" w:rsidP="0011289F">
      <w:pPr>
        <w:pStyle w:val="FootnoteText"/>
        <w:jc w:val="both"/>
      </w:pPr>
      <w:r>
        <w:rPr>
          <w:rStyle w:val="FootnoteReference"/>
        </w:rPr>
        <w:footnoteRef/>
      </w:r>
      <w:r>
        <w:t xml:space="preserve"> Before doing it is necessary to dispense of a point </w:t>
      </w:r>
      <w:r w:rsidR="0011289F">
        <w:t>(not</w:t>
      </w:r>
      <w:r>
        <w:t xml:space="preserve"> pursued by Adv </w:t>
      </w:r>
      <w:r w:rsidRPr="0011289F">
        <w:rPr>
          <w:i/>
          <w:iCs/>
        </w:rPr>
        <w:t xml:space="preserve">Magwaliba </w:t>
      </w:r>
      <w:r>
        <w:t>but stated in the heads of argument</w:t>
      </w:r>
      <w:r w:rsidR="0011289F">
        <w:t>)</w:t>
      </w:r>
      <w:r>
        <w:t xml:space="preserve"> </w:t>
      </w:r>
      <w:r w:rsidR="007D6AD0">
        <w:t>that declaratory</w:t>
      </w:r>
      <w:r w:rsidR="0011289F">
        <w:t xml:space="preserve"> relie</w:t>
      </w:r>
      <w:r w:rsidR="00A8694E">
        <w:t>f</w:t>
      </w:r>
      <w:r w:rsidR="0011289F">
        <w:t xml:space="preserve"> is not subject to prescription as held in </w:t>
      </w:r>
      <w:r w:rsidR="0011289F" w:rsidRPr="0011289F">
        <w:rPr>
          <w:i/>
          <w:iCs/>
        </w:rPr>
        <w:t>Ndlovu v Ndlovu &amp; Anor</w:t>
      </w:r>
      <w:r w:rsidR="0011289F">
        <w:t xml:space="preserve"> HH 18-13. This court has </w:t>
      </w:r>
      <w:r w:rsidR="007D6AD0">
        <w:t xml:space="preserve">since </w:t>
      </w:r>
      <w:r w:rsidR="0011289F">
        <w:t xml:space="preserve">clarified the position in a number of subsequent decisions to the effect that access to declaratory relief is subject to the operation of prescription. See </w:t>
      </w:r>
      <w:r w:rsidR="0011289F" w:rsidRPr="0011289F">
        <w:rPr>
          <w:i/>
          <w:iCs/>
        </w:rPr>
        <w:t>Nguluwe &amp; Anor v Dewa &amp; Ors</w:t>
      </w:r>
      <w:r w:rsidR="0011289F">
        <w:t xml:space="preserve"> HH 387-23.  </w:t>
      </w:r>
    </w:p>
  </w:footnote>
  <w:footnote w:id="10">
    <w:p w14:paraId="4B295B7F" w14:textId="45149A7E" w:rsidR="004A250B" w:rsidRDefault="004A250B">
      <w:pPr>
        <w:pStyle w:val="FootnoteText"/>
      </w:pPr>
      <w:r>
        <w:rPr>
          <w:rStyle w:val="FootnoteReference"/>
        </w:rPr>
        <w:footnoteRef/>
      </w:r>
      <w:r>
        <w:t xml:space="preserve"> “</w:t>
      </w:r>
      <w:r w:rsidRPr="004A250B">
        <w:rPr>
          <w:i/>
          <w:iCs/>
        </w:rPr>
        <w:t>Banking Law and Public Policy: Recent Developments in Zimbabwean Law</w:t>
      </w:r>
      <w:r>
        <w:t xml:space="preserve">”-L. Madhuku, </w:t>
      </w:r>
      <w:r w:rsidRPr="004A250B">
        <w:rPr>
          <w:u w:val="single"/>
        </w:rPr>
        <w:t>Zimbabwe Law Review,1997 Vol 14</w:t>
      </w:r>
      <w:r>
        <w:t>, at page 226.</w:t>
      </w:r>
    </w:p>
  </w:footnote>
  <w:footnote w:id="11">
    <w:p w14:paraId="531AF41E" w14:textId="17D9D52E" w:rsidR="003A7A6A" w:rsidRPr="003A7A6A" w:rsidRDefault="003A7A6A">
      <w:pPr>
        <w:pStyle w:val="FootnoteText"/>
        <w:rPr>
          <w:rFonts w:cstheme="minorHAnsi"/>
        </w:rPr>
      </w:pPr>
      <w:r>
        <w:rPr>
          <w:rStyle w:val="FootnoteReference"/>
        </w:rPr>
        <w:footnoteRef/>
      </w:r>
      <w:r>
        <w:t xml:space="preserve">  See </w:t>
      </w:r>
      <w:r w:rsidRPr="003A7A6A">
        <w:rPr>
          <w:rFonts w:cstheme="minorHAnsi"/>
          <w:i/>
          <w:iCs/>
        </w:rPr>
        <w:t xml:space="preserve">Mushayakurara v Zimbabwe Leaf Tobacco Company </w:t>
      </w:r>
      <w:r w:rsidRPr="00895A4F">
        <w:rPr>
          <w:rFonts w:cstheme="minorHAnsi"/>
        </w:rPr>
        <w:t>SC 108-21 and</w:t>
      </w:r>
      <w:r>
        <w:rPr>
          <w:rFonts w:cstheme="minorHAnsi"/>
          <w:i/>
          <w:iCs/>
        </w:rPr>
        <w:t xml:space="preserve"> </w:t>
      </w:r>
      <w:r w:rsidRPr="00895A4F">
        <w:rPr>
          <w:i/>
          <w:iCs/>
        </w:rPr>
        <w:t>Zimbabwe Leaf Tobacco (Private) Limited v Patricia Vengesayi &amp; Anor</w:t>
      </w:r>
      <w:r>
        <w:t xml:space="preserve"> SC 149/21.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016031"/>
      <w:docPartObj>
        <w:docPartGallery w:val="Page Numbers (Top of Page)"/>
        <w:docPartUnique/>
      </w:docPartObj>
    </w:sdtPr>
    <w:sdtEndPr>
      <w:rPr>
        <w:noProof/>
      </w:rPr>
    </w:sdtEndPr>
    <w:sdtContent>
      <w:p w14:paraId="3DB625BA" w14:textId="638735F7" w:rsidR="00352F43" w:rsidRDefault="00352F43" w:rsidP="00352F43">
        <w:pPr>
          <w:pStyle w:val="Header"/>
          <w:jc w:val="right"/>
          <w:rPr>
            <w:noProof/>
          </w:rPr>
        </w:pPr>
        <w:r>
          <w:fldChar w:fldCharType="begin"/>
        </w:r>
        <w:r>
          <w:instrText xml:space="preserve"> PAGE   \* MERGEFORMAT </w:instrText>
        </w:r>
        <w:r>
          <w:fldChar w:fldCharType="separate"/>
        </w:r>
        <w:r w:rsidR="00972857">
          <w:rPr>
            <w:noProof/>
          </w:rPr>
          <w:t>19</w:t>
        </w:r>
        <w:r>
          <w:rPr>
            <w:noProof/>
          </w:rPr>
          <w:fldChar w:fldCharType="end"/>
        </w:r>
      </w:p>
      <w:p w14:paraId="2899D347" w14:textId="5D697592" w:rsidR="00D21E51" w:rsidRDefault="00D21E51" w:rsidP="00352F43">
        <w:pPr>
          <w:pStyle w:val="Header"/>
          <w:jc w:val="right"/>
          <w:rPr>
            <w:noProof/>
          </w:rPr>
        </w:pPr>
        <w:r>
          <w:rPr>
            <w:noProof/>
          </w:rPr>
          <w:t>HH 274-24</w:t>
        </w:r>
      </w:p>
      <w:p w14:paraId="31D0544E" w14:textId="7CD2CD62" w:rsidR="00D21E51" w:rsidRDefault="00D21E51" w:rsidP="00352F43">
        <w:pPr>
          <w:pStyle w:val="Header"/>
          <w:jc w:val="right"/>
          <w:rPr>
            <w:noProof/>
          </w:rPr>
        </w:pPr>
        <w:r>
          <w:rPr>
            <w:noProof/>
          </w:rPr>
          <w:t>HCH 2710/22</w:t>
        </w:r>
      </w:p>
      <w:p w14:paraId="7B0B287F" w14:textId="0084BE05" w:rsidR="00352F43" w:rsidRDefault="00A62AFE" w:rsidP="00352F43">
        <w:pPr>
          <w:pStyle w:val="Header"/>
          <w:rPr>
            <w:noProof/>
          </w:rPr>
        </w:pPr>
      </w:p>
    </w:sdtContent>
  </w:sdt>
  <w:p w14:paraId="7459096D" w14:textId="77777777" w:rsidR="00352F43" w:rsidRDefault="00352F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3443"/>
    <w:multiLevelType w:val="hybridMultilevel"/>
    <w:tmpl w:val="FFAAE1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9F1EC8"/>
    <w:multiLevelType w:val="hybridMultilevel"/>
    <w:tmpl w:val="1138FD06"/>
    <w:lvl w:ilvl="0" w:tplc="3009001B">
      <w:start w:val="1"/>
      <w:numFmt w:val="lowerRoman"/>
      <w:lvlText w:val="%1."/>
      <w:lvlJc w:val="righ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2" w15:restartNumberingAfterBreak="0">
    <w:nsid w:val="2F191DE7"/>
    <w:multiLevelType w:val="hybridMultilevel"/>
    <w:tmpl w:val="B39633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EFE653E"/>
    <w:multiLevelType w:val="hybridMultilevel"/>
    <w:tmpl w:val="DBA858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482184"/>
    <w:multiLevelType w:val="hybridMultilevel"/>
    <w:tmpl w:val="68EEF0F4"/>
    <w:lvl w:ilvl="0" w:tplc="08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F43"/>
    <w:rsid w:val="00000CE5"/>
    <w:rsid w:val="0002264F"/>
    <w:rsid w:val="00023969"/>
    <w:rsid w:val="000311AF"/>
    <w:rsid w:val="0006143F"/>
    <w:rsid w:val="00061E0E"/>
    <w:rsid w:val="00081544"/>
    <w:rsid w:val="000A72E9"/>
    <w:rsid w:val="000B7021"/>
    <w:rsid w:val="000C4924"/>
    <w:rsid w:val="000D084F"/>
    <w:rsid w:val="000F3A4E"/>
    <w:rsid w:val="000F4E1E"/>
    <w:rsid w:val="000F7F0C"/>
    <w:rsid w:val="0010306C"/>
    <w:rsid w:val="001046FE"/>
    <w:rsid w:val="0011289F"/>
    <w:rsid w:val="001224C6"/>
    <w:rsid w:val="00125AEB"/>
    <w:rsid w:val="00126C5D"/>
    <w:rsid w:val="00132B74"/>
    <w:rsid w:val="00136649"/>
    <w:rsid w:val="00144DCC"/>
    <w:rsid w:val="001543C4"/>
    <w:rsid w:val="00166D52"/>
    <w:rsid w:val="00184CE1"/>
    <w:rsid w:val="00185E47"/>
    <w:rsid w:val="001D6AFB"/>
    <w:rsid w:val="001F75D9"/>
    <w:rsid w:val="00200B8A"/>
    <w:rsid w:val="0021621A"/>
    <w:rsid w:val="00222BF2"/>
    <w:rsid w:val="0025012A"/>
    <w:rsid w:val="0025620D"/>
    <w:rsid w:val="00262A34"/>
    <w:rsid w:val="0027011B"/>
    <w:rsid w:val="00284CA9"/>
    <w:rsid w:val="002A2D7A"/>
    <w:rsid w:val="002B39D7"/>
    <w:rsid w:val="002C537A"/>
    <w:rsid w:val="002E73F5"/>
    <w:rsid w:val="002F6DF8"/>
    <w:rsid w:val="00300CB9"/>
    <w:rsid w:val="00303A0C"/>
    <w:rsid w:val="00303F63"/>
    <w:rsid w:val="003108D8"/>
    <w:rsid w:val="00313CFE"/>
    <w:rsid w:val="003242F6"/>
    <w:rsid w:val="00324C0A"/>
    <w:rsid w:val="00352F43"/>
    <w:rsid w:val="00373BDE"/>
    <w:rsid w:val="003816E9"/>
    <w:rsid w:val="00384AEA"/>
    <w:rsid w:val="00397D26"/>
    <w:rsid w:val="003A663A"/>
    <w:rsid w:val="003A6BD0"/>
    <w:rsid w:val="003A7A6A"/>
    <w:rsid w:val="003B3587"/>
    <w:rsid w:val="003B4902"/>
    <w:rsid w:val="003C2B2D"/>
    <w:rsid w:val="003C6AC5"/>
    <w:rsid w:val="003E0D25"/>
    <w:rsid w:val="003E0ED1"/>
    <w:rsid w:val="003E1FED"/>
    <w:rsid w:val="003F495C"/>
    <w:rsid w:val="004146BA"/>
    <w:rsid w:val="0045234E"/>
    <w:rsid w:val="004657E7"/>
    <w:rsid w:val="004A250B"/>
    <w:rsid w:val="004B534D"/>
    <w:rsid w:val="004D2E71"/>
    <w:rsid w:val="004E70E6"/>
    <w:rsid w:val="004F4609"/>
    <w:rsid w:val="004F53C5"/>
    <w:rsid w:val="004F58A8"/>
    <w:rsid w:val="004F63CC"/>
    <w:rsid w:val="005062FC"/>
    <w:rsid w:val="00506AFB"/>
    <w:rsid w:val="005219FD"/>
    <w:rsid w:val="00533625"/>
    <w:rsid w:val="005418B5"/>
    <w:rsid w:val="00547828"/>
    <w:rsid w:val="00551DCA"/>
    <w:rsid w:val="00554069"/>
    <w:rsid w:val="005629AF"/>
    <w:rsid w:val="0056721A"/>
    <w:rsid w:val="00571AF5"/>
    <w:rsid w:val="0058378B"/>
    <w:rsid w:val="005922B6"/>
    <w:rsid w:val="00593A22"/>
    <w:rsid w:val="00597324"/>
    <w:rsid w:val="005A7A32"/>
    <w:rsid w:val="005B0CCA"/>
    <w:rsid w:val="005B1D0F"/>
    <w:rsid w:val="005C6901"/>
    <w:rsid w:val="005E4141"/>
    <w:rsid w:val="005E44C6"/>
    <w:rsid w:val="005E61CA"/>
    <w:rsid w:val="005F05DA"/>
    <w:rsid w:val="005F5C7C"/>
    <w:rsid w:val="005F7FC8"/>
    <w:rsid w:val="006131EF"/>
    <w:rsid w:val="006165E9"/>
    <w:rsid w:val="006466F1"/>
    <w:rsid w:val="0064675F"/>
    <w:rsid w:val="0065426E"/>
    <w:rsid w:val="00656B94"/>
    <w:rsid w:val="00656F9B"/>
    <w:rsid w:val="006578B1"/>
    <w:rsid w:val="006706BD"/>
    <w:rsid w:val="0067550E"/>
    <w:rsid w:val="00692297"/>
    <w:rsid w:val="006A1958"/>
    <w:rsid w:val="006A6379"/>
    <w:rsid w:val="006B3BEE"/>
    <w:rsid w:val="006C72D2"/>
    <w:rsid w:val="006D6B3A"/>
    <w:rsid w:val="006E3942"/>
    <w:rsid w:val="006F55FB"/>
    <w:rsid w:val="006F6875"/>
    <w:rsid w:val="00704D32"/>
    <w:rsid w:val="00720B5B"/>
    <w:rsid w:val="00743640"/>
    <w:rsid w:val="00750779"/>
    <w:rsid w:val="00752628"/>
    <w:rsid w:val="007533E3"/>
    <w:rsid w:val="00755A1B"/>
    <w:rsid w:val="0076319D"/>
    <w:rsid w:val="0077339D"/>
    <w:rsid w:val="00773FD9"/>
    <w:rsid w:val="00776766"/>
    <w:rsid w:val="00782E49"/>
    <w:rsid w:val="00783DDB"/>
    <w:rsid w:val="00784338"/>
    <w:rsid w:val="00785F21"/>
    <w:rsid w:val="0079466F"/>
    <w:rsid w:val="007B4EFB"/>
    <w:rsid w:val="007D3F49"/>
    <w:rsid w:val="007D6AD0"/>
    <w:rsid w:val="007F12D8"/>
    <w:rsid w:val="007F7BAE"/>
    <w:rsid w:val="00802664"/>
    <w:rsid w:val="008056E7"/>
    <w:rsid w:val="00814EB4"/>
    <w:rsid w:val="0082494F"/>
    <w:rsid w:val="00833A1B"/>
    <w:rsid w:val="008634F1"/>
    <w:rsid w:val="00881E9A"/>
    <w:rsid w:val="00883FC8"/>
    <w:rsid w:val="0088532A"/>
    <w:rsid w:val="00892DF7"/>
    <w:rsid w:val="00895A4F"/>
    <w:rsid w:val="008B04A7"/>
    <w:rsid w:val="008B446B"/>
    <w:rsid w:val="008C07FA"/>
    <w:rsid w:val="008C267C"/>
    <w:rsid w:val="008C4AB9"/>
    <w:rsid w:val="008D0471"/>
    <w:rsid w:val="008D67D8"/>
    <w:rsid w:val="008E2A42"/>
    <w:rsid w:val="008E3F52"/>
    <w:rsid w:val="008E4378"/>
    <w:rsid w:val="008E65A8"/>
    <w:rsid w:val="008E7312"/>
    <w:rsid w:val="0090049C"/>
    <w:rsid w:val="00901D12"/>
    <w:rsid w:val="00903D1C"/>
    <w:rsid w:val="009125DF"/>
    <w:rsid w:val="00915306"/>
    <w:rsid w:val="00935AF3"/>
    <w:rsid w:val="00936F19"/>
    <w:rsid w:val="0094047F"/>
    <w:rsid w:val="00940A0F"/>
    <w:rsid w:val="00942FF4"/>
    <w:rsid w:val="00946F05"/>
    <w:rsid w:val="009510D4"/>
    <w:rsid w:val="00952D41"/>
    <w:rsid w:val="009552C3"/>
    <w:rsid w:val="00955441"/>
    <w:rsid w:val="009571F4"/>
    <w:rsid w:val="00972077"/>
    <w:rsid w:val="00972857"/>
    <w:rsid w:val="00976863"/>
    <w:rsid w:val="0098286F"/>
    <w:rsid w:val="009A7188"/>
    <w:rsid w:val="009B064A"/>
    <w:rsid w:val="009B2721"/>
    <w:rsid w:val="009B36D9"/>
    <w:rsid w:val="009C7FB7"/>
    <w:rsid w:val="009E022A"/>
    <w:rsid w:val="009E6AD2"/>
    <w:rsid w:val="00A207E8"/>
    <w:rsid w:val="00A32551"/>
    <w:rsid w:val="00A40A39"/>
    <w:rsid w:val="00A50138"/>
    <w:rsid w:val="00A62130"/>
    <w:rsid w:val="00A62AFE"/>
    <w:rsid w:val="00A63975"/>
    <w:rsid w:val="00A8694E"/>
    <w:rsid w:val="00AA0A2B"/>
    <w:rsid w:val="00AB22AB"/>
    <w:rsid w:val="00AB4DA0"/>
    <w:rsid w:val="00AB6849"/>
    <w:rsid w:val="00AB6AD0"/>
    <w:rsid w:val="00AB6D02"/>
    <w:rsid w:val="00AC0EAB"/>
    <w:rsid w:val="00AC3DA6"/>
    <w:rsid w:val="00B260B2"/>
    <w:rsid w:val="00B467DC"/>
    <w:rsid w:val="00B53D79"/>
    <w:rsid w:val="00B57E53"/>
    <w:rsid w:val="00B613BF"/>
    <w:rsid w:val="00B62B3D"/>
    <w:rsid w:val="00B7007A"/>
    <w:rsid w:val="00B81C2B"/>
    <w:rsid w:val="00B90DBB"/>
    <w:rsid w:val="00B9411B"/>
    <w:rsid w:val="00BC35F4"/>
    <w:rsid w:val="00BD3638"/>
    <w:rsid w:val="00BD5B7B"/>
    <w:rsid w:val="00BE0CA0"/>
    <w:rsid w:val="00BF177C"/>
    <w:rsid w:val="00C03B41"/>
    <w:rsid w:val="00C059D2"/>
    <w:rsid w:val="00C11859"/>
    <w:rsid w:val="00C219AC"/>
    <w:rsid w:val="00C24364"/>
    <w:rsid w:val="00C31D89"/>
    <w:rsid w:val="00C3658D"/>
    <w:rsid w:val="00C36F1A"/>
    <w:rsid w:val="00C6387D"/>
    <w:rsid w:val="00C83800"/>
    <w:rsid w:val="00C97B59"/>
    <w:rsid w:val="00CB66C2"/>
    <w:rsid w:val="00CE71B7"/>
    <w:rsid w:val="00CF6C4D"/>
    <w:rsid w:val="00D02D18"/>
    <w:rsid w:val="00D0451C"/>
    <w:rsid w:val="00D12DF1"/>
    <w:rsid w:val="00D14CF2"/>
    <w:rsid w:val="00D21E51"/>
    <w:rsid w:val="00D33251"/>
    <w:rsid w:val="00D47890"/>
    <w:rsid w:val="00D605D3"/>
    <w:rsid w:val="00D86754"/>
    <w:rsid w:val="00D9019D"/>
    <w:rsid w:val="00D91E37"/>
    <w:rsid w:val="00D92F6A"/>
    <w:rsid w:val="00DB0EA4"/>
    <w:rsid w:val="00DB4D68"/>
    <w:rsid w:val="00DC1BB4"/>
    <w:rsid w:val="00DC2816"/>
    <w:rsid w:val="00DD6D4E"/>
    <w:rsid w:val="00DE7588"/>
    <w:rsid w:val="00E0257E"/>
    <w:rsid w:val="00E25987"/>
    <w:rsid w:val="00E26DAA"/>
    <w:rsid w:val="00E33E3F"/>
    <w:rsid w:val="00E55E1B"/>
    <w:rsid w:val="00E973B9"/>
    <w:rsid w:val="00EA4323"/>
    <w:rsid w:val="00EB3628"/>
    <w:rsid w:val="00EF384D"/>
    <w:rsid w:val="00F01019"/>
    <w:rsid w:val="00F01C62"/>
    <w:rsid w:val="00F10D93"/>
    <w:rsid w:val="00F120D5"/>
    <w:rsid w:val="00F13FFC"/>
    <w:rsid w:val="00F32BE3"/>
    <w:rsid w:val="00F40179"/>
    <w:rsid w:val="00F450DA"/>
    <w:rsid w:val="00F46307"/>
    <w:rsid w:val="00F46D23"/>
    <w:rsid w:val="00F51449"/>
    <w:rsid w:val="00F66B2B"/>
    <w:rsid w:val="00F75C78"/>
    <w:rsid w:val="00F947DD"/>
    <w:rsid w:val="00FA3B6E"/>
    <w:rsid w:val="00FB752A"/>
    <w:rsid w:val="00FD2FB3"/>
    <w:rsid w:val="00FE6EAC"/>
    <w:rsid w:val="00FF1548"/>
    <w:rsid w:val="00FF5F46"/>
    <w:rsid w:val="00FF64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30E66"/>
  <w15:docId w15:val="{75F4AE78-FAFC-4D57-94FA-08E8AFD2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F43"/>
  </w:style>
  <w:style w:type="paragraph" w:styleId="Footer">
    <w:name w:val="footer"/>
    <w:basedOn w:val="Normal"/>
    <w:link w:val="FooterChar"/>
    <w:uiPriority w:val="99"/>
    <w:unhideWhenUsed/>
    <w:rsid w:val="00352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F43"/>
  </w:style>
  <w:style w:type="paragraph" w:styleId="NoSpacing">
    <w:name w:val="No Spacing"/>
    <w:uiPriority w:val="1"/>
    <w:qFormat/>
    <w:rsid w:val="008E65A8"/>
    <w:pPr>
      <w:spacing w:after="0" w:line="240" w:lineRule="auto"/>
    </w:pPr>
  </w:style>
  <w:style w:type="paragraph" w:styleId="ListParagraph">
    <w:name w:val="List Paragraph"/>
    <w:basedOn w:val="Normal"/>
    <w:uiPriority w:val="34"/>
    <w:qFormat/>
    <w:rsid w:val="008E65A8"/>
    <w:pPr>
      <w:ind w:left="720"/>
      <w:contextualSpacing/>
    </w:pPr>
  </w:style>
  <w:style w:type="paragraph" w:styleId="FootnoteText">
    <w:name w:val="footnote text"/>
    <w:basedOn w:val="Normal"/>
    <w:link w:val="FootnoteTextChar"/>
    <w:uiPriority w:val="99"/>
    <w:semiHidden/>
    <w:unhideWhenUsed/>
    <w:rsid w:val="001543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43C4"/>
    <w:rPr>
      <w:sz w:val="20"/>
      <w:szCs w:val="20"/>
    </w:rPr>
  </w:style>
  <w:style w:type="character" w:styleId="FootnoteReference">
    <w:name w:val="footnote reference"/>
    <w:basedOn w:val="DefaultParagraphFont"/>
    <w:uiPriority w:val="99"/>
    <w:semiHidden/>
    <w:unhideWhenUsed/>
    <w:rsid w:val="001543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6372</Words>
  <Characters>36327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2024-06-29T09:43:00Z</cp:lastPrinted>
  <dcterms:created xsi:type="dcterms:W3CDTF">2024-07-05T08:30:00Z</dcterms:created>
  <dcterms:modified xsi:type="dcterms:W3CDTF">2024-07-05T08:30:00Z</dcterms:modified>
</cp:coreProperties>
</file>