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C75" w:rsidRPr="00206A30" w:rsidRDefault="00B80C75" w:rsidP="00B80C75">
      <w:pPr>
        <w:spacing w:line="360" w:lineRule="auto"/>
        <w:jc w:val="both"/>
        <w:rPr>
          <w:rFonts w:cs="Tahoma"/>
          <w:b/>
        </w:rPr>
      </w:pPr>
      <w:proofErr w:type="gramStart"/>
      <w:r w:rsidRPr="00206A30">
        <w:rPr>
          <w:rFonts w:cs="Tahoma"/>
          <w:b/>
        </w:rPr>
        <w:t>IN THE</w:t>
      </w:r>
      <w:r w:rsidR="00951996">
        <w:rPr>
          <w:rFonts w:cs="Tahoma"/>
          <w:b/>
        </w:rPr>
        <w:t xml:space="preserve"> LABOUR COURT OF ZIMBABWE      </w:t>
      </w:r>
      <w:r w:rsidRPr="00206A30">
        <w:rPr>
          <w:rFonts w:cs="Tahoma"/>
          <w:b/>
        </w:rPr>
        <w:t>JUDGMENT NO.</w:t>
      </w:r>
      <w:proofErr w:type="gramEnd"/>
      <w:r w:rsidRPr="00206A30">
        <w:rPr>
          <w:rFonts w:cs="Tahoma"/>
          <w:b/>
        </w:rPr>
        <w:t xml:space="preserve"> LC/H/</w:t>
      </w:r>
      <w:r w:rsidR="00951996">
        <w:rPr>
          <w:rFonts w:cs="Tahoma"/>
          <w:b/>
        </w:rPr>
        <w:t>450</w:t>
      </w:r>
      <w:r w:rsidRPr="00206A30">
        <w:rPr>
          <w:rFonts w:cs="Tahoma"/>
          <w:b/>
        </w:rPr>
        <w:t>/2016</w:t>
      </w:r>
    </w:p>
    <w:p w:rsidR="00B80C75" w:rsidRPr="00206A30" w:rsidRDefault="00B80C75" w:rsidP="00B80C75">
      <w:pPr>
        <w:spacing w:line="360" w:lineRule="auto"/>
        <w:jc w:val="both"/>
        <w:rPr>
          <w:rFonts w:cs="Tahoma"/>
          <w:b/>
        </w:rPr>
      </w:pPr>
      <w:r w:rsidRPr="00206A30">
        <w:rPr>
          <w:rFonts w:cs="Tahoma"/>
          <w:b/>
        </w:rPr>
        <w:t xml:space="preserve">HARARE, 8 </w:t>
      </w:r>
      <w:r w:rsidR="00EC2ACD" w:rsidRPr="00206A30">
        <w:rPr>
          <w:rFonts w:cs="Tahoma"/>
          <w:b/>
        </w:rPr>
        <w:t>JUNE 2016</w:t>
      </w:r>
      <w:r w:rsidR="00EC2ACD" w:rsidRPr="00206A30">
        <w:rPr>
          <w:rFonts w:cs="Tahoma"/>
          <w:b/>
        </w:rPr>
        <w:tab/>
      </w:r>
      <w:r w:rsidR="00EC2ACD" w:rsidRPr="00206A30">
        <w:rPr>
          <w:rFonts w:cs="Tahoma"/>
          <w:b/>
        </w:rPr>
        <w:tab/>
      </w:r>
      <w:r w:rsidR="00EC2ACD" w:rsidRPr="00206A30">
        <w:rPr>
          <w:rFonts w:cs="Tahoma"/>
          <w:b/>
        </w:rPr>
        <w:tab/>
      </w:r>
      <w:r w:rsidR="00EC2ACD" w:rsidRPr="00206A30">
        <w:rPr>
          <w:rFonts w:cs="Tahoma"/>
          <w:b/>
        </w:rPr>
        <w:tab/>
      </w:r>
      <w:r w:rsidR="00EC2ACD" w:rsidRPr="00206A30">
        <w:rPr>
          <w:rFonts w:cs="Tahoma"/>
          <w:b/>
        </w:rPr>
        <w:tab/>
        <w:t xml:space="preserve">    </w:t>
      </w:r>
      <w:r w:rsidR="00951996">
        <w:rPr>
          <w:rFonts w:cs="Tahoma"/>
          <w:b/>
        </w:rPr>
        <w:t xml:space="preserve"> </w:t>
      </w:r>
      <w:bookmarkStart w:id="0" w:name="_GoBack"/>
      <w:bookmarkEnd w:id="0"/>
      <w:r w:rsidRPr="00206A30">
        <w:rPr>
          <w:rFonts w:cs="Tahoma"/>
          <w:b/>
        </w:rPr>
        <w:t>CASE NO. LC/</w:t>
      </w:r>
      <w:r w:rsidR="00EC2ACD" w:rsidRPr="00206A30">
        <w:rPr>
          <w:rFonts w:cs="Tahoma"/>
          <w:b/>
        </w:rPr>
        <w:t>H/821/14</w:t>
      </w:r>
    </w:p>
    <w:p w:rsidR="00B80C75" w:rsidRPr="00206A30" w:rsidRDefault="00B80C75" w:rsidP="00B80C75">
      <w:pPr>
        <w:spacing w:line="360" w:lineRule="auto"/>
        <w:jc w:val="both"/>
        <w:rPr>
          <w:rFonts w:cs="Tahoma"/>
          <w:b/>
        </w:rPr>
      </w:pPr>
      <w:r w:rsidRPr="00206A30">
        <w:rPr>
          <w:rFonts w:cs="Tahoma"/>
          <w:b/>
        </w:rPr>
        <w:t xml:space="preserve">AND, </w:t>
      </w:r>
      <w:r w:rsidR="00407365">
        <w:rPr>
          <w:rFonts w:cs="Tahoma"/>
          <w:b/>
        </w:rPr>
        <w:t xml:space="preserve">22 JULY </w:t>
      </w:r>
      <w:r w:rsidRPr="00206A30">
        <w:rPr>
          <w:rFonts w:cs="Tahoma"/>
          <w:b/>
        </w:rPr>
        <w:t>2016</w:t>
      </w:r>
    </w:p>
    <w:p w:rsidR="00B80C75" w:rsidRPr="00206A30" w:rsidRDefault="00B80C75" w:rsidP="00B80C75">
      <w:pPr>
        <w:spacing w:line="360" w:lineRule="auto"/>
        <w:jc w:val="both"/>
        <w:rPr>
          <w:rFonts w:cs="Tahoma"/>
        </w:rPr>
      </w:pPr>
      <w:r w:rsidRPr="00206A30">
        <w:rPr>
          <w:rFonts w:cs="Tahoma"/>
        </w:rPr>
        <w:t>In the matter between:-</w:t>
      </w:r>
    </w:p>
    <w:p w:rsidR="00B80C75" w:rsidRPr="00206A30" w:rsidRDefault="00B80C75" w:rsidP="00B80C75">
      <w:pPr>
        <w:spacing w:line="360" w:lineRule="auto"/>
        <w:jc w:val="both"/>
        <w:rPr>
          <w:rFonts w:cs="Tahoma"/>
        </w:rPr>
      </w:pPr>
    </w:p>
    <w:p w:rsidR="00B80C75" w:rsidRPr="00206A30" w:rsidRDefault="0088252B" w:rsidP="00B80C75">
      <w:pPr>
        <w:spacing w:line="360" w:lineRule="auto"/>
        <w:jc w:val="both"/>
        <w:rPr>
          <w:rFonts w:cs="Tahoma"/>
          <w:b/>
        </w:rPr>
      </w:pPr>
      <w:r w:rsidRPr="00206A30">
        <w:rPr>
          <w:rFonts w:cs="Tahoma"/>
          <w:b/>
        </w:rPr>
        <w:t>DION MAGAVHANA</w:t>
      </w:r>
      <w:r w:rsidR="00A4537D" w:rsidRPr="00206A30">
        <w:rPr>
          <w:rFonts w:cs="Tahoma"/>
          <w:b/>
        </w:rPr>
        <w:tab/>
      </w:r>
      <w:r w:rsidR="00D15FAD" w:rsidRPr="00206A30">
        <w:rPr>
          <w:rFonts w:cs="Tahoma"/>
          <w:b/>
        </w:rPr>
        <w:tab/>
      </w:r>
      <w:r w:rsidR="00D15FAD" w:rsidRPr="00206A30">
        <w:rPr>
          <w:rFonts w:cs="Tahoma"/>
          <w:b/>
        </w:rPr>
        <w:tab/>
      </w:r>
      <w:r w:rsidRPr="00206A30">
        <w:rPr>
          <w:rFonts w:cs="Tahoma"/>
          <w:b/>
        </w:rPr>
        <w:tab/>
      </w:r>
      <w:r w:rsidRPr="00206A30">
        <w:rPr>
          <w:rFonts w:cs="Tahoma"/>
          <w:b/>
        </w:rPr>
        <w:tab/>
      </w:r>
      <w:r w:rsidRPr="00206A30">
        <w:rPr>
          <w:rFonts w:cs="Tahoma"/>
          <w:b/>
        </w:rPr>
        <w:tab/>
        <w:t>App</w:t>
      </w:r>
      <w:r w:rsidR="00D15FAD" w:rsidRPr="00206A30">
        <w:rPr>
          <w:rFonts w:cs="Tahoma"/>
          <w:b/>
        </w:rPr>
        <w:t>ellant</w:t>
      </w:r>
    </w:p>
    <w:p w:rsidR="00B80C75" w:rsidRPr="00206A30" w:rsidRDefault="00B80C75" w:rsidP="00B80C75">
      <w:pPr>
        <w:tabs>
          <w:tab w:val="left" w:pos="1995"/>
        </w:tabs>
        <w:spacing w:line="360" w:lineRule="auto"/>
        <w:jc w:val="both"/>
        <w:outlineLvl w:val="0"/>
        <w:rPr>
          <w:rFonts w:cs="Tahoma"/>
        </w:rPr>
      </w:pPr>
      <w:r w:rsidRPr="00206A30">
        <w:rPr>
          <w:rFonts w:cs="Tahoma"/>
        </w:rPr>
        <w:t>And</w:t>
      </w:r>
      <w:r w:rsidRPr="00206A30">
        <w:rPr>
          <w:rFonts w:cs="Tahoma"/>
        </w:rPr>
        <w:tab/>
      </w:r>
    </w:p>
    <w:p w:rsidR="00B80C75" w:rsidRPr="00206A30" w:rsidRDefault="00D15FAD" w:rsidP="00B80C75">
      <w:pPr>
        <w:spacing w:line="360" w:lineRule="auto"/>
        <w:jc w:val="both"/>
        <w:rPr>
          <w:rFonts w:cs="Tahoma"/>
          <w:b/>
        </w:rPr>
      </w:pPr>
      <w:r w:rsidRPr="00206A30">
        <w:rPr>
          <w:rFonts w:cs="Tahoma"/>
          <w:b/>
        </w:rPr>
        <w:t>PUBLIC SERVICE COMMISSION</w:t>
      </w:r>
      <w:r w:rsidRPr="00206A30">
        <w:rPr>
          <w:rFonts w:cs="Tahoma"/>
          <w:b/>
        </w:rPr>
        <w:tab/>
      </w:r>
      <w:r w:rsidR="00B80C75" w:rsidRPr="00206A30">
        <w:rPr>
          <w:rFonts w:cs="Tahoma"/>
          <w:b/>
        </w:rPr>
        <w:tab/>
      </w:r>
      <w:r w:rsidR="00B80C75" w:rsidRPr="00206A30">
        <w:rPr>
          <w:rFonts w:cs="Tahoma"/>
          <w:b/>
        </w:rPr>
        <w:tab/>
      </w:r>
      <w:r w:rsidR="00B80C75" w:rsidRPr="00206A30">
        <w:rPr>
          <w:rFonts w:cs="Tahoma"/>
          <w:b/>
        </w:rPr>
        <w:tab/>
        <w:t>Respondent</w:t>
      </w:r>
    </w:p>
    <w:p w:rsidR="00B80C75" w:rsidRPr="00206A30" w:rsidRDefault="00B80C75" w:rsidP="00B80C75">
      <w:pPr>
        <w:spacing w:line="360" w:lineRule="auto"/>
        <w:jc w:val="both"/>
        <w:rPr>
          <w:rFonts w:cs="Tahoma"/>
          <w:b/>
        </w:rPr>
      </w:pPr>
    </w:p>
    <w:p w:rsidR="00B80C75" w:rsidRPr="00206A30" w:rsidRDefault="00B80C75" w:rsidP="00B80C75">
      <w:pPr>
        <w:spacing w:line="360" w:lineRule="auto"/>
        <w:jc w:val="both"/>
        <w:outlineLvl w:val="0"/>
        <w:rPr>
          <w:rFonts w:cs="Tahoma"/>
        </w:rPr>
      </w:pPr>
      <w:r w:rsidRPr="00206A30">
        <w:rPr>
          <w:rFonts w:cs="Tahoma"/>
        </w:rPr>
        <w:t xml:space="preserve">Before Honourable Murasi, J                             </w:t>
      </w:r>
    </w:p>
    <w:p w:rsidR="00B80C75" w:rsidRPr="00206A30" w:rsidRDefault="00B80C75" w:rsidP="00B80C75">
      <w:pPr>
        <w:spacing w:line="360" w:lineRule="auto"/>
        <w:jc w:val="both"/>
        <w:rPr>
          <w:rFonts w:cs="Tahoma"/>
        </w:rPr>
      </w:pPr>
      <w:r w:rsidRPr="00206A30">
        <w:rPr>
          <w:rFonts w:cs="Tahoma"/>
        </w:rPr>
        <w:tab/>
      </w:r>
      <w:r w:rsidRPr="00206A30">
        <w:rPr>
          <w:rFonts w:cs="Tahoma"/>
        </w:rPr>
        <w:tab/>
      </w:r>
      <w:r w:rsidRPr="00206A30">
        <w:rPr>
          <w:rFonts w:cs="Tahoma"/>
        </w:rPr>
        <w:tab/>
      </w:r>
    </w:p>
    <w:p w:rsidR="00B80C75" w:rsidRPr="00206A30" w:rsidRDefault="00B80C75" w:rsidP="00B80C75">
      <w:pPr>
        <w:spacing w:line="360" w:lineRule="auto"/>
        <w:jc w:val="both"/>
        <w:rPr>
          <w:rFonts w:cs="Tahoma"/>
          <w:b/>
        </w:rPr>
      </w:pPr>
      <w:r w:rsidRPr="00206A30">
        <w:rPr>
          <w:rFonts w:cs="Tahoma"/>
          <w:b/>
        </w:rPr>
        <w:t>For App</w:t>
      </w:r>
      <w:r w:rsidR="00D15FAD" w:rsidRPr="00206A30">
        <w:rPr>
          <w:rFonts w:cs="Tahoma"/>
          <w:b/>
        </w:rPr>
        <w:t>ellant</w:t>
      </w:r>
      <w:r w:rsidR="00D15FAD" w:rsidRPr="00206A30">
        <w:rPr>
          <w:rFonts w:cs="Tahoma"/>
          <w:b/>
        </w:rPr>
        <w:tab/>
        <w:t>Mr M. Mazani (Legal Practitioner)</w:t>
      </w:r>
      <w:r w:rsidRPr="00206A30">
        <w:rPr>
          <w:rFonts w:cs="Tahoma"/>
          <w:b/>
        </w:rPr>
        <w:tab/>
      </w:r>
    </w:p>
    <w:p w:rsidR="00B80C75" w:rsidRPr="00206A30" w:rsidRDefault="00B80C75" w:rsidP="00B80C75">
      <w:pPr>
        <w:spacing w:line="360" w:lineRule="auto"/>
        <w:jc w:val="both"/>
        <w:rPr>
          <w:rFonts w:cs="Tahoma"/>
          <w:b/>
        </w:rPr>
      </w:pPr>
      <w:r w:rsidRPr="00206A30">
        <w:rPr>
          <w:rFonts w:cs="Tahoma"/>
          <w:b/>
        </w:rPr>
        <w:t>For Respondent</w:t>
      </w:r>
      <w:r w:rsidR="00D15FAD" w:rsidRPr="00206A30">
        <w:rPr>
          <w:rFonts w:cs="Tahoma"/>
          <w:b/>
        </w:rPr>
        <w:tab/>
        <w:t>Ms T. Musangwa (Legal Officer)</w:t>
      </w:r>
      <w:r w:rsidRPr="00206A30">
        <w:rPr>
          <w:rFonts w:cs="Tahoma"/>
          <w:b/>
        </w:rPr>
        <w:tab/>
      </w:r>
    </w:p>
    <w:p w:rsidR="00B80C75" w:rsidRPr="00206A30" w:rsidRDefault="00B80C75" w:rsidP="00B80C75">
      <w:pPr>
        <w:spacing w:line="360" w:lineRule="auto"/>
        <w:jc w:val="both"/>
        <w:rPr>
          <w:rFonts w:cs="Tahoma"/>
          <w:b/>
        </w:rPr>
      </w:pPr>
    </w:p>
    <w:p w:rsidR="00B80C75" w:rsidRPr="00206A30" w:rsidRDefault="00B80C75" w:rsidP="00B80C75">
      <w:pPr>
        <w:jc w:val="both"/>
        <w:rPr>
          <w:rFonts w:cs="Tahoma"/>
          <w:b/>
        </w:rPr>
      </w:pPr>
    </w:p>
    <w:p w:rsidR="00B80C75" w:rsidRPr="00206A30" w:rsidRDefault="00B80C75" w:rsidP="00B80C75">
      <w:pPr>
        <w:spacing w:line="360" w:lineRule="auto"/>
        <w:jc w:val="both"/>
        <w:outlineLvl w:val="0"/>
        <w:rPr>
          <w:rFonts w:cs="Tahoma"/>
          <w:b/>
        </w:rPr>
      </w:pPr>
      <w:r w:rsidRPr="00206A30">
        <w:rPr>
          <w:rFonts w:cs="Tahoma"/>
          <w:b/>
        </w:rPr>
        <w:t>MURASI J:</w:t>
      </w:r>
    </w:p>
    <w:p w:rsidR="00B80C75" w:rsidRPr="00206A30" w:rsidRDefault="00B80C75" w:rsidP="00B80C75">
      <w:pPr>
        <w:rPr>
          <w:rFonts w:cs="Tahoma"/>
        </w:rPr>
      </w:pPr>
    </w:p>
    <w:p w:rsidR="00C2563F" w:rsidRDefault="004E24A6" w:rsidP="00D54D40">
      <w:pPr>
        <w:spacing w:line="360" w:lineRule="auto"/>
        <w:jc w:val="both"/>
        <w:rPr>
          <w:rFonts w:cs="Tahoma"/>
        </w:rPr>
      </w:pPr>
      <w:r w:rsidRPr="00206A30">
        <w:rPr>
          <w:rFonts w:cs="Tahoma"/>
        </w:rPr>
        <w:tab/>
        <w:t>Appellant was employed as a teacher by the Respondent.  Following allegations of misconduct, he was brought before a Disciplinary Committee which f</w:t>
      </w:r>
      <w:r w:rsidR="00AA67B0">
        <w:rPr>
          <w:rFonts w:cs="Tahoma"/>
        </w:rPr>
        <w:t>ound him guilty and recommended</w:t>
      </w:r>
      <w:r w:rsidRPr="00206A30">
        <w:rPr>
          <w:rFonts w:cs="Tahoma"/>
        </w:rPr>
        <w:t xml:space="preserve"> his dismissal.  Appellant is dissatisfied with the decision and has approached</w:t>
      </w:r>
      <w:r w:rsidR="00C2563F" w:rsidRPr="00206A30">
        <w:rPr>
          <w:rFonts w:cs="Tahoma"/>
        </w:rPr>
        <w:t xml:space="preserve"> this Court for relief.</w:t>
      </w:r>
    </w:p>
    <w:p w:rsidR="005577CC" w:rsidRPr="00206A30" w:rsidRDefault="005577CC" w:rsidP="005577CC">
      <w:pPr>
        <w:jc w:val="both"/>
        <w:rPr>
          <w:rFonts w:cs="Tahoma"/>
        </w:rPr>
      </w:pPr>
    </w:p>
    <w:p w:rsidR="00975450" w:rsidRDefault="00975450" w:rsidP="00D54D40">
      <w:pPr>
        <w:spacing w:line="360" w:lineRule="auto"/>
        <w:jc w:val="both"/>
        <w:rPr>
          <w:rFonts w:cs="Tahoma"/>
        </w:rPr>
      </w:pPr>
      <w:r w:rsidRPr="00206A30">
        <w:rPr>
          <w:rFonts w:cs="Tahoma"/>
        </w:rPr>
        <w:tab/>
        <w:t>Appellant avers that no evidence was addressed to show that he had stolen the book</w:t>
      </w:r>
      <w:r w:rsidR="00AA67B0">
        <w:rPr>
          <w:rFonts w:cs="Tahoma"/>
        </w:rPr>
        <w:t>s</w:t>
      </w:r>
      <w:r w:rsidRPr="00206A30">
        <w:rPr>
          <w:rFonts w:cs="Tahoma"/>
        </w:rPr>
        <w:t xml:space="preserve"> in question.  It was further alleged that the Headmaster had been called to testify and indeed had </w:t>
      </w:r>
      <w:r w:rsidR="00ED7A90" w:rsidRPr="00206A30">
        <w:rPr>
          <w:rFonts w:cs="Tahoma"/>
        </w:rPr>
        <w:t xml:space="preserve">confirmed that no books were missing from the school.  Appellant further submitted that the plea of guilty he had tendered at the </w:t>
      </w:r>
      <w:r w:rsidR="00232BA4" w:rsidRPr="00206A30">
        <w:rPr>
          <w:rFonts w:cs="Tahoma"/>
        </w:rPr>
        <w:t xml:space="preserve">Magistrates’ Court had been the result of undue pressure from both the police and the </w:t>
      </w:r>
      <w:r w:rsidR="0039252C" w:rsidRPr="00206A30">
        <w:rPr>
          <w:rFonts w:cs="Tahoma"/>
        </w:rPr>
        <w:t>education</w:t>
      </w:r>
      <w:r w:rsidR="00F349E7" w:rsidRPr="00206A30">
        <w:rPr>
          <w:rFonts w:cs="Tahoma"/>
        </w:rPr>
        <w:t xml:space="preserve"> officials</w:t>
      </w:r>
      <w:r w:rsidR="00232BA4" w:rsidRPr="00206A30">
        <w:rPr>
          <w:rFonts w:cs="Tahoma"/>
        </w:rPr>
        <w:t xml:space="preserve"> </w:t>
      </w:r>
      <w:r w:rsidR="00AC3267" w:rsidRPr="00206A30">
        <w:rPr>
          <w:rFonts w:cs="Tahoma"/>
        </w:rPr>
        <w:t>involved in the investigation.</w:t>
      </w:r>
    </w:p>
    <w:p w:rsidR="005577CC" w:rsidRPr="00206A30" w:rsidRDefault="005577CC" w:rsidP="00EF0E85">
      <w:pPr>
        <w:jc w:val="both"/>
        <w:rPr>
          <w:rFonts w:cs="Tahoma"/>
        </w:rPr>
      </w:pPr>
    </w:p>
    <w:p w:rsidR="00D9141C" w:rsidRDefault="00AC3267" w:rsidP="00AC3267">
      <w:pPr>
        <w:spacing w:line="360" w:lineRule="auto"/>
        <w:ind w:firstLine="720"/>
        <w:jc w:val="both"/>
        <w:rPr>
          <w:rFonts w:cs="Tahoma"/>
        </w:rPr>
      </w:pPr>
      <w:r w:rsidRPr="00206A30">
        <w:rPr>
          <w:rFonts w:cs="Tahoma"/>
        </w:rPr>
        <w:t xml:space="preserve">There was no response filed by the respondent.  </w:t>
      </w:r>
      <w:r w:rsidRPr="00AA67B0">
        <w:rPr>
          <w:rFonts w:cs="Tahoma"/>
          <w:i/>
        </w:rPr>
        <w:t>Ms Musangwa</w:t>
      </w:r>
      <w:r w:rsidRPr="00206A30">
        <w:rPr>
          <w:rFonts w:cs="Tahoma"/>
        </w:rPr>
        <w:t xml:space="preserve">, who appeared for the respondent was at pains to explain why </w:t>
      </w:r>
      <w:r w:rsidR="00E5435A" w:rsidRPr="00206A30">
        <w:rPr>
          <w:rFonts w:cs="Tahoma"/>
        </w:rPr>
        <w:t>no response was filed.  She stated that the reason was that</w:t>
      </w:r>
      <w:r w:rsidR="00BC78A3" w:rsidRPr="00206A30">
        <w:rPr>
          <w:rFonts w:cs="Tahoma"/>
        </w:rPr>
        <w:t xml:space="preserve"> when the instructions were received at their offices on 20 October 2014, there was no reference number on the documents.  She </w:t>
      </w:r>
      <w:r w:rsidR="00BC78A3" w:rsidRPr="00206A30">
        <w:rPr>
          <w:rFonts w:cs="Tahoma"/>
        </w:rPr>
        <w:lastRenderedPageBreak/>
        <w:t xml:space="preserve">further alleged that </w:t>
      </w:r>
      <w:proofErr w:type="gramStart"/>
      <w:r w:rsidR="00BC78A3" w:rsidRPr="00206A30">
        <w:rPr>
          <w:rFonts w:cs="Tahoma"/>
        </w:rPr>
        <w:t>a</w:t>
      </w:r>
      <w:proofErr w:type="gramEnd"/>
      <w:r w:rsidR="00BC78A3" w:rsidRPr="00206A30">
        <w:rPr>
          <w:rFonts w:cs="Tahoma"/>
        </w:rPr>
        <w:t xml:space="preserve"> </w:t>
      </w:r>
      <w:proofErr w:type="spellStart"/>
      <w:r w:rsidR="00BC78A3" w:rsidRPr="00AA67B0">
        <w:rPr>
          <w:rFonts w:cs="Tahoma"/>
          <w:i/>
        </w:rPr>
        <w:t>Ms</w:t>
      </w:r>
      <w:proofErr w:type="spellEnd"/>
      <w:r w:rsidR="00BC78A3" w:rsidRPr="00AA67B0">
        <w:rPr>
          <w:rFonts w:cs="Tahoma"/>
          <w:i/>
        </w:rPr>
        <w:t xml:space="preserve"> </w:t>
      </w:r>
      <w:proofErr w:type="spellStart"/>
      <w:r w:rsidR="00BC78A3" w:rsidRPr="00AA67B0">
        <w:rPr>
          <w:rFonts w:cs="Tahoma"/>
          <w:i/>
        </w:rPr>
        <w:t>Ndlovu</w:t>
      </w:r>
      <w:proofErr w:type="spellEnd"/>
      <w:r w:rsidR="00BC78A3" w:rsidRPr="00206A30">
        <w:rPr>
          <w:rFonts w:cs="Tahoma"/>
        </w:rPr>
        <w:t xml:space="preserve"> </w:t>
      </w:r>
      <w:r w:rsidR="00AA67B0">
        <w:rPr>
          <w:rFonts w:cs="Tahoma"/>
        </w:rPr>
        <w:t xml:space="preserve">who </w:t>
      </w:r>
      <w:r w:rsidR="00BC78A3" w:rsidRPr="00206A30">
        <w:rPr>
          <w:rFonts w:cs="Tahoma"/>
        </w:rPr>
        <w:t xml:space="preserve">has </w:t>
      </w:r>
      <w:r w:rsidR="00DD76EB" w:rsidRPr="00206A30">
        <w:rPr>
          <w:rFonts w:cs="Tahoma"/>
        </w:rPr>
        <w:t>since</w:t>
      </w:r>
      <w:r w:rsidR="00BC78A3" w:rsidRPr="00206A30">
        <w:rPr>
          <w:rFonts w:cs="Tahoma"/>
        </w:rPr>
        <w:t xml:space="preserve"> left the office had handled the matter and she does not know why the response was not filed.  When asked by the Court as to why the Registrar had not been approached when they</w:t>
      </w:r>
      <w:r w:rsidR="00422F52" w:rsidRPr="00206A30">
        <w:rPr>
          <w:rFonts w:cs="Tahoma"/>
        </w:rPr>
        <w:t xml:space="preserve"> </w:t>
      </w:r>
      <w:r w:rsidR="00C84F74" w:rsidRPr="00206A30">
        <w:rPr>
          <w:rFonts w:cs="Tahoma"/>
        </w:rPr>
        <w:t>found out that no C</w:t>
      </w:r>
      <w:r w:rsidR="00422F52" w:rsidRPr="00206A30">
        <w:rPr>
          <w:rFonts w:cs="Tahoma"/>
        </w:rPr>
        <w:t>ase Number</w:t>
      </w:r>
      <w:r w:rsidR="00401369" w:rsidRPr="00206A30">
        <w:rPr>
          <w:rFonts w:cs="Tahoma"/>
        </w:rPr>
        <w:t xml:space="preserve"> was reflected on the documents, she was unable to give a response.  The Court further</w:t>
      </w:r>
      <w:r w:rsidR="004A3946" w:rsidRPr="00206A30">
        <w:rPr>
          <w:rFonts w:cs="Tahoma"/>
        </w:rPr>
        <w:t xml:space="preserve"> noted that respondent’s Counsel did not attempt to make any application for condonation for late filing of the response.  It is trite that in such</w:t>
      </w:r>
      <w:r w:rsidR="0084374D" w:rsidRPr="00206A30">
        <w:rPr>
          <w:rFonts w:cs="Tahoma"/>
        </w:rPr>
        <w:t xml:space="preserve"> cases where a litigant applies for the disc</w:t>
      </w:r>
      <w:r w:rsidR="005D0C7C">
        <w:rPr>
          <w:rFonts w:cs="Tahoma"/>
        </w:rPr>
        <w:t>retion of the Court to condone a</w:t>
      </w:r>
      <w:r w:rsidR="0084374D" w:rsidRPr="00206A30">
        <w:rPr>
          <w:rFonts w:cs="Tahoma"/>
        </w:rPr>
        <w:t>n infraction</w:t>
      </w:r>
      <w:r w:rsidR="005A17A4" w:rsidRPr="00206A30">
        <w:rPr>
          <w:rFonts w:cs="Tahoma"/>
        </w:rPr>
        <w:t xml:space="preserve"> </w:t>
      </w:r>
      <w:r w:rsidR="00913419" w:rsidRPr="00206A30">
        <w:rPr>
          <w:rFonts w:cs="Tahoma"/>
        </w:rPr>
        <w:t>of</w:t>
      </w:r>
      <w:r w:rsidR="005A17A4" w:rsidRPr="00206A30">
        <w:rPr>
          <w:rFonts w:cs="Tahoma"/>
        </w:rPr>
        <w:t xml:space="preserve"> Rules of the Court, </w:t>
      </w:r>
      <w:r w:rsidR="00E717B4" w:rsidRPr="00206A30">
        <w:rPr>
          <w:rFonts w:cs="Tahoma"/>
        </w:rPr>
        <w:t xml:space="preserve">candidness </w:t>
      </w:r>
      <w:r w:rsidR="00B143F0">
        <w:rPr>
          <w:rFonts w:cs="Tahoma"/>
        </w:rPr>
        <w:t xml:space="preserve">is </w:t>
      </w:r>
      <w:r w:rsidR="00E717B4" w:rsidRPr="00206A30">
        <w:rPr>
          <w:rFonts w:cs="Tahoma"/>
        </w:rPr>
        <w:t>of</w:t>
      </w:r>
      <w:r w:rsidR="00C85F43" w:rsidRPr="00206A30">
        <w:rPr>
          <w:rFonts w:cs="Tahoma"/>
        </w:rPr>
        <w:t xml:space="preserve"> prime importance.  It is </w:t>
      </w:r>
      <w:r w:rsidR="00724B24" w:rsidRPr="00206A30">
        <w:rPr>
          <w:rFonts w:cs="Tahoma"/>
        </w:rPr>
        <w:t xml:space="preserve">clear that the explanations tendered by respondent’s Counsel are deficient </w:t>
      </w:r>
      <w:r w:rsidR="00CF6816" w:rsidRPr="00206A30">
        <w:rPr>
          <w:rFonts w:cs="Tahoma"/>
        </w:rPr>
        <w:t xml:space="preserve">in that ingredient.  The explanation vacillates from the absence of a case number to the fact that the matter was not properly handled by a former employee.  In fact no </w:t>
      </w:r>
      <w:r w:rsidR="00497215" w:rsidRPr="00206A30">
        <w:rPr>
          <w:rFonts w:cs="Tahoma"/>
        </w:rPr>
        <w:t>explanation</w:t>
      </w:r>
      <w:r w:rsidR="00CF6816" w:rsidRPr="00206A30">
        <w:rPr>
          <w:rFonts w:cs="Tahoma"/>
        </w:rPr>
        <w:t xml:space="preserve"> has been </w:t>
      </w:r>
      <w:r w:rsidR="0076109C" w:rsidRPr="00206A30">
        <w:rPr>
          <w:rFonts w:cs="Tahoma"/>
        </w:rPr>
        <w:t>tendered for the non-filing of the response.  In</w:t>
      </w:r>
      <w:r w:rsidR="009D1CDA">
        <w:rPr>
          <w:rFonts w:cs="Tahoma"/>
        </w:rPr>
        <w:t xml:space="preserve"> </w:t>
      </w:r>
      <w:r w:rsidR="009D1CDA" w:rsidRPr="003A4E54">
        <w:rPr>
          <w:rFonts w:cs="Tahoma"/>
          <w:i/>
        </w:rPr>
        <w:t>KM Auctions (Pvt) Ltd</w:t>
      </w:r>
      <w:r w:rsidR="009D1CDA">
        <w:rPr>
          <w:rFonts w:cs="Tahoma"/>
        </w:rPr>
        <w:t xml:space="preserve"> </w:t>
      </w:r>
      <w:r w:rsidR="008E3A67">
        <w:rPr>
          <w:rFonts w:cs="Tahoma"/>
        </w:rPr>
        <w:t xml:space="preserve">vs </w:t>
      </w:r>
      <w:r w:rsidR="008E3A67" w:rsidRPr="003A4E54">
        <w:rPr>
          <w:rFonts w:cs="Tahoma"/>
          <w:i/>
        </w:rPr>
        <w:t>Samuel and Another</w:t>
      </w:r>
      <w:r w:rsidR="008E3A67">
        <w:rPr>
          <w:rFonts w:cs="Tahoma"/>
        </w:rPr>
        <w:t xml:space="preserve"> S 15/12, GOWORA AJA (as she then was)</w:t>
      </w:r>
      <w:r w:rsidR="0076109C" w:rsidRPr="00206A30">
        <w:rPr>
          <w:rFonts w:cs="Tahoma"/>
        </w:rPr>
        <w:t xml:space="preserve"> </w:t>
      </w:r>
      <w:r w:rsidR="00766B90">
        <w:rPr>
          <w:rFonts w:cs="Tahoma"/>
        </w:rPr>
        <w:t xml:space="preserve">had </w:t>
      </w:r>
      <w:proofErr w:type="gramStart"/>
      <w:r w:rsidR="00766B90">
        <w:rPr>
          <w:rFonts w:cs="Tahoma"/>
        </w:rPr>
        <w:t>occasion</w:t>
      </w:r>
      <w:proofErr w:type="gramEnd"/>
      <w:r w:rsidR="00766B90">
        <w:rPr>
          <w:rFonts w:cs="Tahoma"/>
        </w:rPr>
        <w:t xml:space="preserve"> to deal with the is</w:t>
      </w:r>
      <w:r w:rsidR="00B143F0">
        <w:rPr>
          <w:rFonts w:cs="Tahoma"/>
        </w:rPr>
        <w:t xml:space="preserve">sue of non-compliance with the </w:t>
      </w:r>
      <w:r w:rsidR="00766B90">
        <w:rPr>
          <w:rFonts w:cs="Tahoma"/>
        </w:rPr>
        <w:t xml:space="preserve">rules of the Court.  It was held in that case that negligence or </w:t>
      </w:r>
      <w:r w:rsidR="0098226D">
        <w:rPr>
          <w:rFonts w:cs="Tahoma"/>
        </w:rPr>
        <w:t>lack of</w:t>
      </w:r>
      <w:r w:rsidR="00766B90">
        <w:rPr>
          <w:rFonts w:cs="Tahoma"/>
        </w:rPr>
        <w:t xml:space="preserve"> attention </w:t>
      </w:r>
      <w:r w:rsidR="003D2F26">
        <w:rPr>
          <w:rFonts w:cs="Tahoma"/>
        </w:rPr>
        <w:t xml:space="preserve">to detail on the part of a legal practitioner could not be an explanation that the court </w:t>
      </w:r>
      <w:r w:rsidR="00EF64E6">
        <w:rPr>
          <w:rFonts w:cs="Tahoma"/>
        </w:rPr>
        <w:t>should find satisfactory.  It was further</w:t>
      </w:r>
      <w:r w:rsidR="00B20C59">
        <w:rPr>
          <w:rFonts w:cs="Tahoma"/>
        </w:rPr>
        <w:t xml:space="preserve"> held that there was a limit beyond which a litigant could not escape the results of the </w:t>
      </w:r>
      <w:r w:rsidR="00B143F0">
        <w:rPr>
          <w:rFonts w:cs="Tahoma"/>
        </w:rPr>
        <w:t>lawyer’s</w:t>
      </w:r>
      <w:r w:rsidR="00B20C59">
        <w:rPr>
          <w:rFonts w:cs="Tahoma"/>
        </w:rPr>
        <w:t xml:space="preserve"> lack of</w:t>
      </w:r>
      <w:r w:rsidR="00A97024">
        <w:rPr>
          <w:rFonts w:cs="Tahoma"/>
        </w:rPr>
        <w:t xml:space="preserve"> </w:t>
      </w:r>
      <w:r w:rsidR="00511651">
        <w:rPr>
          <w:rFonts w:cs="Tahoma"/>
        </w:rPr>
        <w:t>diligence or the insuffici</w:t>
      </w:r>
      <w:r w:rsidR="00B1585B">
        <w:rPr>
          <w:rFonts w:cs="Tahoma"/>
        </w:rPr>
        <w:t xml:space="preserve">ency of the explanation tendered as to hold otherwise would have a disastrous effect upon the observance of the rules of the court.  </w:t>
      </w:r>
      <w:r w:rsidR="00B1585B" w:rsidRPr="00B24292">
        <w:rPr>
          <w:rFonts w:cs="Tahoma"/>
          <w:i/>
        </w:rPr>
        <w:t>In casu</w:t>
      </w:r>
      <w:r w:rsidR="00B1585B">
        <w:rPr>
          <w:rFonts w:cs="Tahoma"/>
        </w:rPr>
        <w:t>, respondent’s Counse</w:t>
      </w:r>
      <w:r w:rsidR="00575DBC">
        <w:rPr>
          <w:rFonts w:cs="Tahoma"/>
        </w:rPr>
        <w:t xml:space="preserve">l admitted that the instructions were received at their offices in </w:t>
      </w:r>
      <w:r w:rsidR="000F418D">
        <w:rPr>
          <w:rFonts w:cs="Tahoma"/>
        </w:rPr>
        <w:t>October</w:t>
      </w:r>
      <w:r w:rsidR="00575DBC">
        <w:rPr>
          <w:rFonts w:cs="Tahoma"/>
        </w:rPr>
        <w:t xml:space="preserve"> 2014.  Up to the date of the hearing no response was filed with </w:t>
      </w:r>
      <w:r w:rsidR="00CA3852">
        <w:rPr>
          <w:rFonts w:cs="Tahoma"/>
        </w:rPr>
        <w:t>the</w:t>
      </w:r>
      <w:r w:rsidR="00575DBC">
        <w:rPr>
          <w:rFonts w:cs="Tahoma"/>
        </w:rPr>
        <w:t xml:space="preserve"> Court.  Such a </w:t>
      </w:r>
      <w:r w:rsidR="000F418D">
        <w:rPr>
          <w:rFonts w:cs="Tahoma"/>
        </w:rPr>
        <w:t>flagrant disregard of the Rules of the Court cannot be condoned.  It is on the basis of the</w:t>
      </w:r>
      <w:r w:rsidR="00D9141C">
        <w:rPr>
          <w:rFonts w:cs="Tahoma"/>
        </w:rPr>
        <w:t xml:space="preserve"> aforestated facts that the </w:t>
      </w:r>
      <w:r w:rsidR="00467E85">
        <w:rPr>
          <w:rFonts w:cs="Tahoma"/>
        </w:rPr>
        <w:t>Court declined to uplift the bar</w:t>
      </w:r>
      <w:r w:rsidR="00D9141C">
        <w:rPr>
          <w:rFonts w:cs="Tahoma"/>
        </w:rPr>
        <w:t xml:space="preserve"> operating against the respondent.</w:t>
      </w:r>
    </w:p>
    <w:p w:rsidR="005577CC" w:rsidRDefault="005577CC" w:rsidP="005577CC">
      <w:pPr>
        <w:ind w:firstLine="720"/>
        <w:jc w:val="both"/>
        <w:rPr>
          <w:rFonts w:cs="Tahoma"/>
        </w:rPr>
      </w:pPr>
    </w:p>
    <w:p w:rsidR="00C736FB" w:rsidRDefault="005577CC" w:rsidP="00AC3267">
      <w:pPr>
        <w:spacing w:line="360" w:lineRule="auto"/>
        <w:ind w:firstLine="720"/>
        <w:jc w:val="both"/>
        <w:rPr>
          <w:rFonts w:cs="Tahoma"/>
        </w:rPr>
      </w:pPr>
      <w:r>
        <w:rPr>
          <w:rFonts w:cs="Tahoma"/>
        </w:rPr>
        <w:t>The Court will now turn to the merits of the case.  At the beginning of the hearing the charge was p</w:t>
      </w:r>
      <w:r w:rsidR="00C736FB">
        <w:rPr>
          <w:rFonts w:cs="Tahoma"/>
        </w:rPr>
        <w:t>referred against the appellant.  It was stated thus:</w:t>
      </w:r>
    </w:p>
    <w:p w:rsidR="00C736FB" w:rsidRDefault="00C736FB" w:rsidP="0011789E">
      <w:pPr>
        <w:ind w:firstLine="720"/>
        <w:jc w:val="both"/>
        <w:rPr>
          <w:rFonts w:cs="Tahoma"/>
        </w:rPr>
      </w:pPr>
    </w:p>
    <w:p w:rsidR="00AC3267" w:rsidRDefault="00C736FB" w:rsidP="0011789E">
      <w:pPr>
        <w:spacing w:line="276" w:lineRule="auto"/>
        <w:ind w:left="720"/>
        <w:jc w:val="both"/>
        <w:rPr>
          <w:rFonts w:cs="Tahoma"/>
        </w:rPr>
      </w:pPr>
      <w:r w:rsidRPr="0011789E">
        <w:rPr>
          <w:rFonts w:cs="Tahoma"/>
          <w:sz w:val="22"/>
          <w:szCs w:val="22"/>
        </w:rPr>
        <w:t xml:space="preserve">“The ground on which the charge was based are that </w:t>
      </w:r>
      <w:r w:rsidRPr="0011789E">
        <w:rPr>
          <w:rFonts w:cs="Tahoma"/>
          <w:sz w:val="22"/>
          <w:szCs w:val="22"/>
          <w:u w:val="single"/>
        </w:rPr>
        <w:t xml:space="preserve">he </w:t>
      </w:r>
      <w:r w:rsidR="00467E85">
        <w:rPr>
          <w:rFonts w:cs="Tahoma"/>
          <w:sz w:val="22"/>
          <w:szCs w:val="22"/>
          <w:u w:val="single"/>
        </w:rPr>
        <w:t>stole</w:t>
      </w:r>
      <w:r w:rsidRPr="0011789E">
        <w:rPr>
          <w:rFonts w:cs="Tahoma"/>
          <w:sz w:val="22"/>
          <w:szCs w:val="22"/>
        </w:rPr>
        <w:t xml:space="preserve"> three (3) </w:t>
      </w:r>
      <w:r w:rsidR="006C068B" w:rsidRPr="0011789E">
        <w:rPr>
          <w:rFonts w:cs="Tahoma"/>
          <w:sz w:val="22"/>
          <w:szCs w:val="22"/>
        </w:rPr>
        <w:t>Education Transaction Fund (ETF) Grade 7 Step in Pindukai text</w:t>
      </w:r>
      <w:r w:rsidR="00D9141C" w:rsidRPr="0011789E">
        <w:rPr>
          <w:rFonts w:cs="Tahoma"/>
          <w:sz w:val="22"/>
          <w:szCs w:val="22"/>
        </w:rPr>
        <w:t xml:space="preserve"> </w:t>
      </w:r>
      <w:r w:rsidR="003E07CF" w:rsidRPr="0011789E">
        <w:rPr>
          <w:rFonts w:cs="Tahoma"/>
          <w:sz w:val="22"/>
          <w:szCs w:val="22"/>
        </w:rPr>
        <w:t xml:space="preserve">books </w:t>
      </w:r>
      <w:r w:rsidR="003E07CF" w:rsidRPr="0011789E">
        <w:rPr>
          <w:rFonts w:cs="Tahoma"/>
          <w:sz w:val="22"/>
          <w:szCs w:val="22"/>
          <w:u w:val="single"/>
        </w:rPr>
        <w:t>from a source</w:t>
      </w:r>
      <w:r w:rsidR="003E07CF" w:rsidRPr="0011789E">
        <w:rPr>
          <w:rFonts w:cs="Tahoma"/>
          <w:sz w:val="22"/>
          <w:szCs w:val="22"/>
        </w:rPr>
        <w:t xml:space="preserve"> </w:t>
      </w:r>
      <w:r w:rsidR="003E07CF" w:rsidRPr="0011789E">
        <w:rPr>
          <w:rFonts w:cs="Tahoma"/>
          <w:sz w:val="22"/>
          <w:szCs w:val="22"/>
          <w:u w:val="single"/>
        </w:rPr>
        <w:t>best known to himself</w:t>
      </w:r>
      <w:r w:rsidR="003E07CF" w:rsidRPr="0011789E">
        <w:rPr>
          <w:rFonts w:cs="Tahoma"/>
          <w:sz w:val="22"/>
          <w:szCs w:val="22"/>
        </w:rPr>
        <w:t>”</w:t>
      </w:r>
      <w:r w:rsidR="003E07CF">
        <w:rPr>
          <w:rFonts w:cs="Tahoma"/>
        </w:rPr>
        <w:t xml:space="preserve"> (own emphasis)</w:t>
      </w:r>
      <w:r w:rsidR="000F418D">
        <w:rPr>
          <w:rFonts w:cs="Tahoma"/>
        </w:rPr>
        <w:t xml:space="preserve"> </w:t>
      </w:r>
    </w:p>
    <w:p w:rsidR="00C91BC7" w:rsidRDefault="00C91BC7" w:rsidP="00AC3267">
      <w:pPr>
        <w:spacing w:line="360" w:lineRule="auto"/>
        <w:ind w:firstLine="720"/>
        <w:jc w:val="both"/>
        <w:rPr>
          <w:rFonts w:cs="Tahoma"/>
        </w:rPr>
      </w:pPr>
    </w:p>
    <w:p w:rsidR="00C91BC7" w:rsidRDefault="00C91BC7" w:rsidP="00AC3267">
      <w:pPr>
        <w:spacing w:line="360" w:lineRule="auto"/>
        <w:ind w:firstLine="720"/>
        <w:jc w:val="both"/>
        <w:rPr>
          <w:rFonts w:cs="Tahoma"/>
        </w:rPr>
      </w:pPr>
      <w:r>
        <w:rPr>
          <w:rFonts w:cs="Tahoma"/>
        </w:rPr>
        <w:lastRenderedPageBreak/>
        <w:t>The Disciplinary Committee did not know from whom th</w:t>
      </w:r>
      <w:r w:rsidR="00396105">
        <w:rPr>
          <w:rFonts w:cs="Tahoma"/>
        </w:rPr>
        <w:t xml:space="preserve">e books were stolen.  The </w:t>
      </w:r>
      <w:r w:rsidR="008C4E5E">
        <w:rPr>
          <w:rFonts w:cs="Tahoma"/>
        </w:rPr>
        <w:t>complainant</w:t>
      </w:r>
      <w:r>
        <w:rPr>
          <w:rFonts w:cs="Tahoma"/>
        </w:rPr>
        <w:t xml:space="preserve"> was said to be known</w:t>
      </w:r>
      <w:r w:rsidR="00396105">
        <w:rPr>
          <w:rFonts w:cs="Tahoma"/>
        </w:rPr>
        <w:t xml:space="preserve"> to the appellant.  Was the charge of theft appropriate in the </w:t>
      </w:r>
      <w:r w:rsidR="0062776F">
        <w:rPr>
          <w:rFonts w:cs="Tahoma"/>
        </w:rPr>
        <w:t>circumstances?</w:t>
      </w:r>
      <w:r w:rsidR="00A429D9">
        <w:rPr>
          <w:rFonts w:cs="Tahoma"/>
        </w:rPr>
        <w:t xml:space="preserve"> I will leave this issue and proceed to the hearing itself.  The appellant stated in the hearing that he bought the books from a </w:t>
      </w:r>
      <w:r w:rsidR="00EF0E85">
        <w:rPr>
          <w:rFonts w:cs="Tahoma"/>
        </w:rPr>
        <w:t>vendor</w:t>
      </w:r>
      <w:r w:rsidR="00A429D9">
        <w:rPr>
          <w:rFonts w:cs="Tahoma"/>
        </w:rPr>
        <w:t>.</w:t>
      </w:r>
      <w:r w:rsidR="00BE5E03">
        <w:rPr>
          <w:rFonts w:cs="Tahoma"/>
        </w:rPr>
        <w:t xml:space="preserve"> One </w:t>
      </w:r>
      <w:r w:rsidR="00BE5E03" w:rsidRPr="00BF21A5">
        <w:rPr>
          <w:rFonts w:cs="Tahoma"/>
          <w:i/>
        </w:rPr>
        <w:t xml:space="preserve">Mhuriro </w:t>
      </w:r>
      <w:r w:rsidR="00BE5E03">
        <w:rPr>
          <w:rFonts w:cs="Tahoma"/>
        </w:rPr>
        <w:t xml:space="preserve">makes the following observation: </w:t>
      </w:r>
    </w:p>
    <w:p w:rsidR="00BE5E03" w:rsidRDefault="00BE5E03" w:rsidP="0011789E">
      <w:pPr>
        <w:ind w:firstLine="720"/>
        <w:jc w:val="both"/>
        <w:rPr>
          <w:rFonts w:cs="Tahoma"/>
        </w:rPr>
      </w:pPr>
    </w:p>
    <w:p w:rsidR="00BE5E03" w:rsidRPr="0011789E" w:rsidRDefault="00BE5E03" w:rsidP="00AC3267">
      <w:pPr>
        <w:spacing w:line="360" w:lineRule="auto"/>
        <w:ind w:firstLine="720"/>
        <w:jc w:val="both"/>
        <w:rPr>
          <w:rFonts w:cs="Tahoma"/>
          <w:sz w:val="22"/>
          <w:szCs w:val="22"/>
        </w:rPr>
      </w:pPr>
      <w:r w:rsidRPr="0011789E">
        <w:rPr>
          <w:rFonts w:cs="Tahoma"/>
          <w:sz w:val="22"/>
          <w:szCs w:val="22"/>
        </w:rPr>
        <w:t xml:space="preserve">“It is an offence to buy books from the street </w:t>
      </w:r>
      <w:r w:rsidR="0009116B" w:rsidRPr="0011789E">
        <w:rPr>
          <w:rFonts w:cs="Tahoma"/>
          <w:sz w:val="22"/>
          <w:szCs w:val="22"/>
        </w:rPr>
        <w:t>with</w:t>
      </w:r>
      <w:r w:rsidR="00BF21A5">
        <w:rPr>
          <w:rFonts w:cs="Tahoma"/>
          <w:sz w:val="22"/>
          <w:szCs w:val="22"/>
        </w:rPr>
        <w:t xml:space="preserve"> a</w:t>
      </w:r>
      <w:r w:rsidR="0009116B" w:rsidRPr="0011789E">
        <w:rPr>
          <w:rFonts w:cs="Tahoma"/>
          <w:sz w:val="22"/>
          <w:szCs w:val="22"/>
        </w:rPr>
        <w:t xml:space="preserve"> logo</w:t>
      </w:r>
      <w:r w:rsidR="001102AE" w:rsidRPr="0011789E">
        <w:rPr>
          <w:rFonts w:cs="Tahoma"/>
          <w:sz w:val="22"/>
          <w:szCs w:val="22"/>
        </w:rPr>
        <w:t>.”</w:t>
      </w:r>
    </w:p>
    <w:p w:rsidR="001102AE" w:rsidRDefault="001102AE" w:rsidP="0011789E">
      <w:pPr>
        <w:ind w:firstLine="720"/>
        <w:jc w:val="both"/>
        <w:rPr>
          <w:rFonts w:cs="Tahoma"/>
        </w:rPr>
      </w:pPr>
    </w:p>
    <w:p w:rsidR="001102AE" w:rsidRDefault="006557B5" w:rsidP="00AC3267">
      <w:pPr>
        <w:spacing w:line="360" w:lineRule="auto"/>
        <w:ind w:firstLine="720"/>
        <w:jc w:val="both"/>
        <w:rPr>
          <w:rFonts w:cs="Tahoma"/>
        </w:rPr>
      </w:pPr>
      <w:r>
        <w:rPr>
          <w:rFonts w:cs="Tahoma"/>
        </w:rPr>
        <w:t xml:space="preserve">It is not clear on what legal basis this statement was made.  The Disciplinary </w:t>
      </w:r>
      <w:r w:rsidR="000E5096">
        <w:rPr>
          <w:rFonts w:cs="Tahoma"/>
        </w:rPr>
        <w:t xml:space="preserve">Committee member seems to come up with his own opinion and makes it a law during the course of </w:t>
      </w:r>
      <w:r w:rsidR="00E2274F">
        <w:rPr>
          <w:rFonts w:cs="Tahoma"/>
        </w:rPr>
        <w:t xml:space="preserve">the hearing.  Before appellant’s Headmaster was called in, one </w:t>
      </w:r>
      <w:r w:rsidR="00CC1084" w:rsidRPr="00BF21A5">
        <w:rPr>
          <w:rFonts w:cs="Tahoma"/>
          <w:i/>
        </w:rPr>
        <w:t>Karuma</w:t>
      </w:r>
      <w:r w:rsidR="00CC1084">
        <w:rPr>
          <w:rFonts w:cs="Tahoma"/>
        </w:rPr>
        <w:t xml:space="preserve"> makes the following observation:</w:t>
      </w:r>
    </w:p>
    <w:p w:rsidR="00BB6B08" w:rsidRDefault="00BB6B08" w:rsidP="0011789E">
      <w:pPr>
        <w:ind w:firstLine="720"/>
        <w:jc w:val="both"/>
        <w:rPr>
          <w:rFonts w:cs="Tahoma"/>
        </w:rPr>
      </w:pPr>
    </w:p>
    <w:p w:rsidR="00BB6B08" w:rsidRPr="0011789E" w:rsidRDefault="00BB6B08" w:rsidP="0011789E">
      <w:pPr>
        <w:spacing w:line="276" w:lineRule="auto"/>
        <w:ind w:left="720"/>
        <w:jc w:val="both"/>
        <w:rPr>
          <w:rFonts w:cs="Tahoma"/>
          <w:sz w:val="22"/>
          <w:szCs w:val="22"/>
        </w:rPr>
      </w:pPr>
      <w:r w:rsidRPr="0011789E">
        <w:rPr>
          <w:rFonts w:cs="Tahoma"/>
          <w:sz w:val="22"/>
          <w:szCs w:val="22"/>
        </w:rPr>
        <w:t xml:space="preserve">“It is not material that Grasslands </w:t>
      </w:r>
      <w:r w:rsidR="00393DE6" w:rsidRPr="0011789E">
        <w:rPr>
          <w:rFonts w:cs="Tahoma"/>
          <w:sz w:val="22"/>
          <w:szCs w:val="22"/>
        </w:rPr>
        <w:t>Primary does not have missing books.  We were accounting for ETF books nationally.”</w:t>
      </w:r>
    </w:p>
    <w:p w:rsidR="00393DE6" w:rsidRDefault="00393DE6" w:rsidP="0011789E">
      <w:pPr>
        <w:ind w:firstLine="720"/>
        <w:jc w:val="both"/>
        <w:rPr>
          <w:rFonts w:cs="Tahoma"/>
        </w:rPr>
      </w:pPr>
    </w:p>
    <w:p w:rsidR="00393DE6" w:rsidRDefault="00A428D8" w:rsidP="00AC3267">
      <w:pPr>
        <w:spacing w:line="360" w:lineRule="auto"/>
        <w:ind w:firstLine="720"/>
        <w:jc w:val="both"/>
        <w:rPr>
          <w:rFonts w:cs="Tahoma"/>
        </w:rPr>
      </w:pPr>
      <w:r>
        <w:rPr>
          <w:rFonts w:cs="Tahoma"/>
        </w:rPr>
        <w:t>It is clear that the appellant was not being charged with theft from the school where he worked.  It therefore boggles the mind as to why the Headm</w:t>
      </w:r>
      <w:r w:rsidR="00461A93">
        <w:rPr>
          <w:rFonts w:cs="Tahoma"/>
        </w:rPr>
        <w:t xml:space="preserve">aster had to be called to testify.  The Headmaster stated that </w:t>
      </w:r>
      <w:r w:rsidR="00F62323">
        <w:rPr>
          <w:rFonts w:cs="Tahoma"/>
        </w:rPr>
        <w:t xml:space="preserve">no books were stolen from the school.  What </w:t>
      </w:r>
      <w:proofErr w:type="gramStart"/>
      <w:r w:rsidR="00CA3852">
        <w:rPr>
          <w:rFonts w:cs="Tahoma"/>
        </w:rPr>
        <w:t>become</w:t>
      </w:r>
      <w:r w:rsidR="00634C59">
        <w:rPr>
          <w:rFonts w:cs="Tahoma"/>
        </w:rPr>
        <w:t>s</w:t>
      </w:r>
      <w:proofErr w:type="gramEnd"/>
      <w:r w:rsidR="00F62323">
        <w:rPr>
          <w:rFonts w:cs="Tahoma"/>
        </w:rPr>
        <w:t xml:space="preserve"> worrying are the comments by the Chairman when the Headmaster was giving evidence.  He states thus:</w:t>
      </w:r>
    </w:p>
    <w:p w:rsidR="00A27854" w:rsidRDefault="00A27854" w:rsidP="0011789E">
      <w:pPr>
        <w:ind w:firstLine="720"/>
        <w:jc w:val="both"/>
        <w:rPr>
          <w:rFonts w:cs="Tahoma"/>
        </w:rPr>
      </w:pPr>
    </w:p>
    <w:p w:rsidR="00A27854" w:rsidRDefault="00DD4245" w:rsidP="0011789E">
      <w:pPr>
        <w:spacing w:line="276" w:lineRule="auto"/>
        <w:ind w:left="720"/>
        <w:jc w:val="both"/>
        <w:rPr>
          <w:rFonts w:cs="Tahoma"/>
        </w:rPr>
      </w:pPr>
      <w:r w:rsidRPr="0011789E">
        <w:rPr>
          <w:rFonts w:cs="Tahoma"/>
          <w:sz w:val="22"/>
          <w:szCs w:val="22"/>
        </w:rPr>
        <w:t>“There must be connivance</w:t>
      </w:r>
      <w:r w:rsidR="0009116B" w:rsidRPr="0011789E">
        <w:rPr>
          <w:rFonts w:cs="Tahoma"/>
          <w:sz w:val="22"/>
          <w:szCs w:val="22"/>
        </w:rPr>
        <w:t xml:space="preserve">.  In your report you used </w:t>
      </w:r>
      <w:r w:rsidR="009E1FE9" w:rsidRPr="0011789E">
        <w:rPr>
          <w:rFonts w:cs="Tahoma"/>
          <w:sz w:val="22"/>
          <w:szCs w:val="22"/>
        </w:rPr>
        <w:t xml:space="preserve">the lawyer’s defence instead of the teacher’s response.  </w:t>
      </w:r>
      <w:r w:rsidR="009E1FE9" w:rsidRPr="0011789E">
        <w:rPr>
          <w:rFonts w:cs="Tahoma"/>
          <w:sz w:val="22"/>
          <w:szCs w:val="22"/>
          <w:u w:val="single"/>
        </w:rPr>
        <w:t>The DEO must be told to charge the Head for connivance with the teacher</w:t>
      </w:r>
      <w:r w:rsidR="009E1FE9" w:rsidRPr="0011789E">
        <w:rPr>
          <w:rFonts w:cs="Tahoma"/>
          <w:sz w:val="22"/>
          <w:szCs w:val="22"/>
        </w:rPr>
        <w:t>.”</w:t>
      </w:r>
      <w:r w:rsidR="009E1FE9">
        <w:rPr>
          <w:rFonts w:cs="Tahoma"/>
        </w:rPr>
        <w:t xml:space="preserve"> </w:t>
      </w:r>
      <w:r w:rsidR="00960001">
        <w:rPr>
          <w:rFonts w:cs="Tahoma"/>
        </w:rPr>
        <w:t>(own emphasis)</w:t>
      </w:r>
    </w:p>
    <w:p w:rsidR="00960001" w:rsidRDefault="00960001" w:rsidP="0011789E">
      <w:pPr>
        <w:ind w:firstLine="720"/>
        <w:jc w:val="both"/>
        <w:rPr>
          <w:rFonts w:cs="Tahoma"/>
        </w:rPr>
      </w:pPr>
    </w:p>
    <w:p w:rsidR="00960001" w:rsidRDefault="006374C4" w:rsidP="00AC3267">
      <w:pPr>
        <w:spacing w:line="360" w:lineRule="auto"/>
        <w:ind w:firstLine="720"/>
        <w:jc w:val="both"/>
        <w:rPr>
          <w:rFonts w:cs="Tahoma"/>
        </w:rPr>
      </w:pPr>
      <w:r>
        <w:rPr>
          <w:rFonts w:cs="Tahoma"/>
        </w:rPr>
        <w:t>This indeed is a worrying trend where a witness is threatened for giving evide</w:t>
      </w:r>
      <w:r w:rsidR="00634C59">
        <w:rPr>
          <w:rFonts w:cs="Tahoma"/>
        </w:rPr>
        <w:t>nce which tended</w:t>
      </w:r>
      <w:r w:rsidR="005A0192">
        <w:rPr>
          <w:rFonts w:cs="Tahoma"/>
        </w:rPr>
        <w:t xml:space="preserve"> to be </w:t>
      </w:r>
      <w:r w:rsidR="003E7C5E">
        <w:rPr>
          <w:rFonts w:cs="Tahoma"/>
        </w:rPr>
        <w:t xml:space="preserve">favourable to the appellant.  The chairman further instructs the Headmaster to go and collect the books held at the Court as </w:t>
      </w:r>
      <w:r w:rsidR="00723BAB">
        <w:rPr>
          <w:rFonts w:cs="Tahoma"/>
        </w:rPr>
        <w:t>exhibits</w:t>
      </w:r>
      <w:r w:rsidR="003E7C5E">
        <w:rPr>
          <w:rFonts w:cs="Tahoma"/>
        </w:rPr>
        <w:t>:</w:t>
      </w:r>
    </w:p>
    <w:p w:rsidR="006C11CC" w:rsidRDefault="006C11CC" w:rsidP="0011789E">
      <w:pPr>
        <w:ind w:firstLine="720"/>
        <w:jc w:val="both"/>
        <w:rPr>
          <w:rFonts w:cs="Tahoma"/>
        </w:rPr>
      </w:pPr>
    </w:p>
    <w:p w:rsidR="006C11CC" w:rsidRPr="0011789E" w:rsidRDefault="006C11CC" w:rsidP="00AC3267">
      <w:pPr>
        <w:spacing w:line="360" w:lineRule="auto"/>
        <w:ind w:firstLine="720"/>
        <w:jc w:val="both"/>
        <w:rPr>
          <w:rFonts w:cs="Tahoma"/>
          <w:sz w:val="22"/>
          <w:szCs w:val="22"/>
        </w:rPr>
      </w:pPr>
      <w:r w:rsidRPr="0011789E">
        <w:rPr>
          <w:rFonts w:cs="Tahoma"/>
          <w:sz w:val="22"/>
          <w:szCs w:val="22"/>
        </w:rPr>
        <w:t>“You have to follow up on the books.  These are school</w:t>
      </w:r>
      <w:r w:rsidR="00723BAB" w:rsidRPr="0011789E">
        <w:rPr>
          <w:rFonts w:cs="Tahoma"/>
          <w:sz w:val="22"/>
          <w:szCs w:val="22"/>
        </w:rPr>
        <w:t xml:space="preserve"> property.”</w:t>
      </w:r>
    </w:p>
    <w:p w:rsidR="00723BAB" w:rsidRDefault="00723BAB" w:rsidP="0011789E">
      <w:pPr>
        <w:ind w:firstLine="720"/>
        <w:jc w:val="both"/>
        <w:rPr>
          <w:rFonts w:cs="Tahoma"/>
        </w:rPr>
      </w:pPr>
    </w:p>
    <w:p w:rsidR="00723BAB" w:rsidRDefault="00A93B1B" w:rsidP="00AC3267">
      <w:pPr>
        <w:spacing w:line="360" w:lineRule="auto"/>
        <w:ind w:firstLine="720"/>
        <w:jc w:val="both"/>
        <w:rPr>
          <w:rFonts w:cs="Tahoma"/>
        </w:rPr>
      </w:pPr>
      <w:r>
        <w:rPr>
          <w:rFonts w:cs="Tahoma"/>
        </w:rPr>
        <w:t>This statement and instruction</w:t>
      </w:r>
      <w:r w:rsidR="00723BAB">
        <w:rPr>
          <w:rFonts w:cs="Tahoma"/>
        </w:rPr>
        <w:t xml:space="preserve"> are given by the Chairman despite the</w:t>
      </w:r>
      <w:r w:rsidR="0004040A">
        <w:rPr>
          <w:rFonts w:cs="Tahoma"/>
        </w:rPr>
        <w:t xml:space="preserve"> fact that the Headmaster had given his evidence to the effect that the books did not belong to the school.  The Disciplinary Committee thereafter proceeded to find </w:t>
      </w:r>
      <w:r w:rsidR="00064182">
        <w:rPr>
          <w:rFonts w:cs="Tahoma"/>
        </w:rPr>
        <w:t xml:space="preserve">the </w:t>
      </w:r>
      <w:r w:rsidR="00064182">
        <w:rPr>
          <w:rFonts w:cs="Tahoma"/>
        </w:rPr>
        <w:lastRenderedPageBreak/>
        <w:t>appellant</w:t>
      </w:r>
      <w:r w:rsidR="00F85D9C">
        <w:rPr>
          <w:rFonts w:cs="Tahoma"/>
        </w:rPr>
        <w:t xml:space="preserve"> guilty stating that he had failed to call his witnesses.  The appellant had clearly informed the panel </w:t>
      </w:r>
      <w:r w:rsidR="00B43831">
        <w:rPr>
          <w:rFonts w:cs="Tahoma"/>
        </w:rPr>
        <w:t>that witnesses had refused</w:t>
      </w:r>
      <w:r w:rsidR="00F847F3">
        <w:rPr>
          <w:rFonts w:cs="Tahoma"/>
        </w:rPr>
        <w:t xml:space="preserve"> to come and testify.</w:t>
      </w:r>
    </w:p>
    <w:p w:rsidR="00F847F3" w:rsidRDefault="00F847F3" w:rsidP="0011789E">
      <w:pPr>
        <w:ind w:firstLine="720"/>
        <w:jc w:val="both"/>
        <w:rPr>
          <w:rFonts w:cs="Tahoma"/>
        </w:rPr>
      </w:pPr>
    </w:p>
    <w:p w:rsidR="00CF15EB" w:rsidRDefault="00F847F3" w:rsidP="00E5626B">
      <w:pPr>
        <w:spacing w:line="360" w:lineRule="auto"/>
        <w:ind w:firstLine="720"/>
        <w:jc w:val="both"/>
        <w:rPr>
          <w:rFonts w:cs="Tahoma"/>
        </w:rPr>
      </w:pPr>
      <w:r>
        <w:rPr>
          <w:rFonts w:cs="Tahoma"/>
        </w:rPr>
        <w:t>In the premises can be said that the charges against the appellant had been proved on a balance of probabilities?</w:t>
      </w:r>
      <w:r w:rsidR="00FB06AE">
        <w:rPr>
          <w:rFonts w:cs="Tahoma"/>
        </w:rPr>
        <w:t xml:space="preserve">  It has been held that it is not a mere conjecture or slight probability that will suffice.  The probability must be of sufficient force to raise a reasonable presumption in favour </w:t>
      </w:r>
      <w:r w:rsidR="00D72A35">
        <w:rPr>
          <w:rFonts w:cs="Tahoma"/>
        </w:rPr>
        <w:t xml:space="preserve">of the party who relies on it.  It must be of sufficient weight to throw the </w:t>
      </w:r>
      <w:r w:rsidR="00D72A35" w:rsidRPr="007A33D2">
        <w:rPr>
          <w:rFonts w:cs="Tahoma"/>
          <w:i/>
        </w:rPr>
        <w:t>onus</w:t>
      </w:r>
      <w:r w:rsidR="00D72A35">
        <w:rPr>
          <w:rFonts w:cs="Tahoma"/>
        </w:rPr>
        <w:t xml:space="preserve"> on the other side to rebut it.  The appellant was charged with theft.  No </w:t>
      </w:r>
      <w:r w:rsidR="00835990">
        <w:rPr>
          <w:rFonts w:cs="Tahoma"/>
        </w:rPr>
        <w:t>evidence</w:t>
      </w:r>
      <w:r w:rsidR="00D72A35">
        <w:rPr>
          <w:rFonts w:cs="Tahoma"/>
        </w:rPr>
        <w:t xml:space="preserve"> was led</w:t>
      </w:r>
      <w:r w:rsidR="006D54DF">
        <w:rPr>
          <w:rFonts w:cs="Tahoma"/>
        </w:rPr>
        <w:t xml:space="preserve"> as to the fact that these books were </w:t>
      </w:r>
      <w:r w:rsidR="00BA20FD">
        <w:rPr>
          <w:rFonts w:cs="Tahoma"/>
        </w:rPr>
        <w:t xml:space="preserve">reported missing.  Appellant stated </w:t>
      </w:r>
      <w:r w:rsidR="00CA3852">
        <w:rPr>
          <w:rFonts w:cs="Tahoma"/>
        </w:rPr>
        <w:t>that</w:t>
      </w:r>
      <w:r w:rsidR="00BA20FD">
        <w:rPr>
          <w:rFonts w:cs="Tahoma"/>
        </w:rPr>
        <w:t xml:space="preserve"> </w:t>
      </w:r>
      <w:r w:rsidR="007A33D2">
        <w:rPr>
          <w:rFonts w:cs="Tahoma"/>
        </w:rPr>
        <w:t>he bought</w:t>
      </w:r>
      <w:r w:rsidR="00BA20FD">
        <w:rPr>
          <w:rFonts w:cs="Tahoma"/>
        </w:rPr>
        <w:t xml:space="preserve"> the books from a vendor and wanted to utilise</w:t>
      </w:r>
      <w:r w:rsidR="00E5626B">
        <w:rPr>
          <w:rFonts w:cs="Tahoma"/>
        </w:rPr>
        <w:t xml:space="preserve"> them for private lesson</w:t>
      </w:r>
      <w:r w:rsidR="007A33D2">
        <w:rPr>
          <w:rFonts w:cs="Tahoma"/>
        </w:rPr>
        <w:t>s</w:t>
      </w:r>
      <w:r w:rsidR="00E5626B">
        <w:rPr>
          <w:rFonts w:cs="Tahoma"/>
        </w:rPr>
        <w:t xml:space="preserve">.  This was </w:t>
      </w:r>
      <w:r w:rsidR="00E61DE7">
        <w:rPr>
          <w:rFonts w:cs="Tahoma"/>
        </w:rPr>
        <w:t xml:space="preserve">not rebutted during the course of the hearing.  As to the conviction at the </w:t>
      </w:r>
      <w:r w:rsidR="001D51F6">
        <w:rPr>
          <w:rFonts w:cs="Tahoma"/>
        </w:rPr>
        <w:t>Magistrates’ Court</w:t>
      </w:r>
      <w:r w:rsidR="00E61DE7">
        <w:rPr>
          <w:rFonts w:cs="Tahoma"/>
        </w:rPr>
        <w:t xml:space="preserve">, appellant </w:t>
      </w:r>
      <w:r w:rsidR="001D51F6">
        <w:rPr>
          <w:rFonts w:cs="Tahoma"/>
        </w:rPr>
        <w:t xml:space="preserve">explains that he was under duress </w:t>
      </w:r>
      <w:r w:rsidR="00CE4345">
        <w:rPr>
          <w:rFonts w:cs="Tahoma"/>
        </w:rPr>
        <w:t xml:space="preserve">when he tendered a plea of guilty.  The proceedings that were before the Disciplinary </w:t>
      </w:r>
      <w:r w:rsidR="00E86003">
        <w:rPr>
          <w:rFonts w:cs="Tahoma"/>
        </w:rPr>
        <w:t xml:space="preserve">Committee were of a different nature and the charges were supposed to be proved on a balance of probalities.  In my view, this </w:t>
      </w:r>
      <w:r w:rsidR="00CF15EB">
        <w:rPr>
          <w:rFonts w:cs="Tahoma"/>
        </w:rPr>
        <w:t xml:space="preserve">was not done.  </w:t>
      </w:r>
    </w:p>
    <w:p w:rsidR="00CF15EB" w:rsidRDefault="00CF15EB" w:rsidP="0011789E">
      <w:pPr>
        <w:ind w:firstLine="720"/>
        <w:jc w:val="both"/>
        <w:rPr>
          <w:rFonts w:cs="Tahoma"/>
        </w:rPr>
      </w:pPr>
    </w:p>
    <w:p w:rsidR="001A75D6" w:rsidRDefault="00CF15EB" w:rsidP="00E5626B">
      <w:pPr>
        <w:spacing w:line="360" w:lineRule="auto"/>
        <w:ind w:firstLine="720"/>
        <w:jc w:val="both"/>
        <w:rPr>
          <w:rFonts w:cs="Tahoma"/>
        </w:rPr>
      </w:pPr>
      <w:r>
        <w:rPr>
          <w:rFonts w:cs="Tahoma"/>
        </w:rPr>
        <w:t>The Disciplinary Committee clearly did not have any semblance of evidence on which t</w:t>
      </w:r>
      <w:r w:rsidR="001A75D6">
        <w:rPr>
          <w:rFonts w:cs="Tahoma"/>
        </w:rPr>
        <w:t xml:space="preserve">o convict the appellant.  I share the sentiments of GILLESPIE J in </w:t>
      </w:r>
      <w:r w:rsidR="001A75D6" w:rsidRPr="0011789E">
        <w:rPr>
          <w:rFonts w:cs="Tahoma"/>
          <w:i/>
        </w:rPr>
        <w:t>S</w:t>
      </w:r>
      <w:r w:rsidR="001A75D6">
        <w:rPr>
          <w:rFonts w:cs="Tahoma"/>
        </w:rPr>
        <w:t xml:space="preserve"> </w:t>
      </w:r>
      <w:proofErr w:type="spellStart"/>
      <w:r w:rsidR="001A75D6">
        <w:rPr>
          <w:rFonts w:cs="Tahoma"/>
        </w:rPr>
        <w:t>vs</w:t>
      </w:r>
      <w:proofErr w:type="spellEnd"/>
      <w:r w:rsidR="001A75D6">
        <w:rPr>
          <w:rFonts w:cs="Tahoma"/>
        </w:rPr>
        <w:t xml:space="preserve"> </w:t>
      </w:r>
      <w:proofErr w:type="spellStart"/>
      <w:r w:rsidR="00447449">
        <w:rPr>
          <w:rFonts w:cs="Tahoma"/>
          <w:i/>
        </w:rPr>
        <w:t>Jojo</w:t>
      </w:r>
      <w:proofErr w:type="spellEnd"/>
      <w:r w:rsidR="00447449">
        <w:rPr>
          <w:rFonts w:cs="Tahoma"/>
          <w:i/>
        </w:rPr>
        <w:t xml:space="preserve"> </w:t>
      </w:r>
      <w:proofErr w:type="spellStart"/>
      <w:r w:rsidR="00447449">
        <w:rPr>
          <w:rFonts w:cs="Tahoma"/>
          <w:i/>
        </w:rPr>
        <w:t>Mbi</w:t>
      </w:r>
      <w:r w:rsidR="001A75D6" w:rsidRPr="0011789E">
        <w:rPr>
          <w:rFonts w:cs="Tahoma"/>
          <w:i/>
        </w:rPr>
        <w:t>ri</w:t>
      </w:r>
      <w:proofErr w:type="spellEnd"/>
      <w:r w:rsidR="001A75D6">
        <w:rPr>
          <w:rFonts w:cs="Tahoma"/>
        </w:rPr>
        <w:t xml:space="preserve"> HH 239/98 where he had this to say:</w:t>
      </w:r>
    </w:p>
    <w:p w:rsidR="001A75D6" w:rsidRDefault="001A75D6" w:rsidP="0011789E">
      <w:pPr>
        <w:ind w:firstLine="720"/>
        <w:jc w:val="both"/>
        <w:rPr>
          <w:rFonts w:cs="Tahoma"/>
        </w:rPr>
      </w:pPr>
    </w:p>
    <w:p w:rsidR="00530D66" w:rsidRPr="0011789E" w:rsidRDefault="001A75D6" w:rsidP="0011789E">
      <w:pPr>
        <w:spacing w:line="360" w:lineRule="auto"/>
        <w:ind w:left="720"/>
        <w:jc w:val="both"/>
        <w:rPr>
          <w:rFonts w:cs="Tahoma"/>
          <w:sz w:val="22"/>
          <w:szCs w:val="22"/>
        </w:rPr>
      </w:pPr>
      <w:r w:rsidRPr="0011789E">
        <w:rPr>
          <w:rFonts w:cs="Tahoma"/>
          <w:sz w:val="22"/>
          <w:szCs w:val="22"/>
        </w:rPr>
        <w:t xml:space="preserve">“In my estimation this is a classic example of the court </w:t>
      </w:r>
      <w:r w:rsidR="005862EF" w:rsidRPr="0011789E">
        <w:rPr>
          <w:rFonts w:cs="Tahoma"/>
          <w:sz w:val="22"/>
          <w:szCs w:val="22"/>
        </w:rPr>
        <w:t>massaging the evidence in order to have it fit a pre-conception.  That is not the way to do things.  It should scarcely need saying that one must examine</w:t>
      </w:r>
      <w:r w:rsidR="00D35FC8" w:rsidRPr="0011789E">
        <w:rPr>
          <w:rFonts w:cs="Tahoma"/>
          <w:sz w:val="22"/>
          <w:szCs w:val="22"/>
        </w:rPr>
        <w:t xml:space="preserve"> the evidence </w:t>
      </w:r>
      <w:r w:rsidR="00AF1F1F" w:rsidRPr="0011789E">
        <w:rPr>
          <w:rFonts w:cs="Tahoma"/>
          <w:sz w:val="22"/>
          <w:szCs w:val="22"/>
        </w:rPr>
        <w:t>first</w:t>
      </w:r>
      <w:r w:rsidR="00D35FC8" w:rsidRPr="0011789E">
        <w:rPr>
          <w:rFonts w:cs="Tahoma"/>
          <w:sz w:val="22"/>
          <w:szCs w:val="22"/>
        </w:rPr>
        <w:t xml:space="preserve"> and see what it proves rather than </w:t>
      </w:r>
      <w:r w:rsidR="00AF1F1F" w:rsidRPr="0011789E">
        <w:rPr>
          <w:rFonts w:cs="Tahoma"/>
          <w:sz w:val="22"/>
          <w:szCs w:val="22"/>
        </w:rPr>
        <w:t>arriving at a pre-conception first, and see</w:t>
      </w:r>
      <w:r w:rsidR="003709E7" w:rsidRPr="0011789E">
        <w:rPr>
          <w:rFonts w:cs="Tahoma"/>
          <w:sz w:val="22"/>
          <w:szCs w:val="22"/>
        </w:rPr>
        <w:t xml:space="preserve"> whether it can, no matter how, be supported.”</w:t>
      </w:r>
    </w:p>
    <w:p w:rsidR="00530D66" w:rsidRDefault="00530D66" w:rsidP="0011789E">
      <w:pPr>
        <w:ind w:firstLine="720"/>
        <w:jc w:val="both"/>
        <w:rPr>
          <w:rFonts w:cs="Tahoma"/>
        </w:rPr>
      </w:pPr>
    </w:p>
    <w:p w:rsidR="002C784A" w:rsidRDefault="00530D66" w:rsidP="00E5626B">
      <w:pPr>
        <w:spacing w:line="360" w:lineRule="auto"/>
        <w:ind w:firstLine="720"/>
        <w:jc w:val="both"/>
        <w:rPr>
          <w:rFonts w:cs="Tahoma"/>
        </w:rPr>
      </w:pPr>
      <w:r>
        <w:rPr>
          <w:rFonts w:cs="Tahoma"/>
        </w:rPr>
        <w:t>The Headmaster at appellant’s school gave evidence to the effect that he had not even seen the alleged stolen books at the time he gave his evidence.  H</w:t>
      </w:r>
      <w:r w:rsidR="00435FD4">
        <w:rPr>
          <w:rFonts w:cs="Tahoma"/>
        </w:rPr>
        <w:t>e</w:t>
      </w:r>
      <w:r>
        <w:rPr>
          <w:rFonts w:cs="Tahoma"/>
        </w:rPr>
        <w:t xml:space="preserve"> </w:t>
      </w:r>
      <w:r w:rsidR="00435FD4">
        <w:rPr>
          <w:rFonts w:cs="Tahoma"/>
        </w:rPr>
        <w:t>was</w:t>
      </w:r>
      <w:r w:rsidR="00447449">
        <w:rPr>
          <w:rFonts w:cs="Tahoma"/>
        </w:rPr>
        <w:t xml:space="preserve"> not</w:t>
      </w:r>
      <w:r w:rsidR="00435FD4">
        <w:rPr>
          <w:rFonts w:cs="Tahoma"/>
        </w:rPr>
        <w:t xml:space="preserve"> aware what sort of books these were.  The Headmaster’s evidence was </w:t>
      </w:r>
      <w:r w:rsidR="00970866">
        <w:rPr>
          <w:rFonts w:cs="Tahoma"/>
        </w:rPr>
        <w:t>that no books were missing from his school.  No evidence was led from the Education Offices who “</w:t>
      </w:r>
      <w:r w:rsidR="00E127BE">
        <w:rPr>
          <w:rFonts w:cs="Tahoma"/>
        </w:rPr>
        <w:t>recovered” the</w:t>
      </w:r>
      <w:r w:rsidR="00970866">
        <w:rPr>
          <w:rFonts w:cs="Tahoma"/>
        </w:rPr>
        <w:t xml:space="preserve"> books</w:t>
      </w:r>
      <w:r w:rsidR="00E127BE">
        <w:rPr>
          <w:rFonts w:cs="Tahoma"/>
        </w:rPr>
        <w:t xml:space="preserve"> to show where the books were “</w:t>
      </w:r>
      <w:r w:rsidR="00970866">
        <w:rPr>
          <w:rFonts w:cs="Tahoma"/>
        </w:rPr>
        <w:t xml:space="preserve">stolen”.  I am left in no doubt that the Disciplinary Committee fell into error in convicting the </w:t>
      </w:r>
      <w:r w:rsidR="00ED55FF">
        <w:rPr>
          <w:rFonts w:cs="Tahoma"/>
        </w:rPr>
        <w:t>appellant when there was no evidence to prove the charges.  It is also clear</w:t>
      </w:r>
      <w:r w:rsidR="001C2443">
        <w:rPr>
          <w:rFonts w:cs="Tahoma"/>
        </w:rPr>
        <w:t xml:space="preserve"> that the </w:t>
      </w:r>
      <w:r w:rsidR="001C2443">
        <w:rPr>
          <w:rFonts w:cs="Tahoma"/>
        </w:rPr>
        <w:lastRenderedPageBreak/>
        <w:t xml:space="preserve">charge preferred against appellant was the wrong one from the very beginning.  A substantial wrong or miscarriage </w:t>
      </w:r>
      <w:r w:rsidR="003F3C2E">
        <w:rPr>
          <w:rFonts w:cs="Tahoma"/>
        </w:rPr>
        <w:t xml:space="preserve">of justice would be occasioned by allowing the decision of the Disciplinary Committee to </w:t>
      </w:r>
      <w:r w:rsidR="002C784A">
        <w:rPr>
          <w:rFonts w:cs="Tahoma"/>
        </w:rPr>
        <w:t>stand.</w:t>
      </w:r>
    </w:p>
    <w:p w:rsidR="002C784A" w:rsidRDefault="002C784A" w:rsidP="0011789E">
      <w:pPr>
        <w:ind w:firstLine="720"/>
        <w:jc w:val="both"/>
        <w:rPr>
          <w:rFonts w:cs="Tahoma"/>
        </w:rPr>
      </w:pPr>
    </w:p>
    <w:p w:rsidR="002C784A" w:rsidRDefault="002C784A" w:rsidP="00E5626B">
      <w:pPr>
        <w:spacing w:line="360" w:lineRule="auto"/>
        <w:ind w:firstLine="720"/>
        <w:jc w:val="both"/>
        <w:rPr>
          <w:rFonts w:cs="Tahoma"/>
        </w:rPr>
      </w:pPr>
      <w:r>
        <w:rPr>
          <w:rFonts w:cs="Tahoma"/>
        </w:rPr>
        <w:t>For the aforestated reasons the Court is of the considered view that the appeal is with merit and ought to be allowed.</w:t>
      </w:r>
    </w:p>
    <w:p w:rsidR="002C784A" w:rsidRDefault="002C784A" w:rsidP="00E5626B">
      <w:pPr>
        <w:spacing w:line="360" w:lineRule="auto"/>
        <w:ind w:firstLine="720"/>
        <w:jc w:val="both"/>
        <w:rPr>
          <w:rFonts w:cs="Tahoma"/>
        </w:rPr>
      </w:pPr>
    </w:p>
    <w:p w:rsidR="00F847F3" w:rsidRDefault="002C784A" w:rsidP="00187D1D">
      <w:pPr>
        <w:spacing w:line="360" w:lineRule="auto"/>
        <w:jc w:val="both"/>
        <w:rPr>
          <w:rFonts w:cs="Tahoma"/>
        </w:rPr>
      </w:pPr>
      <w:r>
        <w:rPr>
          <w:rFonts w:cs="Tahoma"/>
        </w:rPr>
        <w:t xml:space="preserve">The </w:t>
      </w:r>
      <w:r w:rsidR="00187D1D">
        <w:rPr>
          <w:rFonts w:cs="Tahoma"/>
        </w:rPr>
        <w:t>Court makes the following order;</w:t>
      </w:r>
      <w:r w:rsidR="00435FD4">
        <w:rPr>
          <w:rFonts w:cs="Tahoma"/>
        </w:rPr>
        <w:t xml:space="preserve"> </w:t>
      </w:r>
    </w:p>
    <w:p w:rsidR="0011789E" w:rsidRDefault="0011789E" w:rsidP="0011789E">
      <w:pPr>
        <w:jc w:val="both"/>
        <w:rPr>
          <w:rFonts w:cs="Tahoma"/>
        </w:rPr>
      </w:pPr>
    </w:p>
    <w:p w:rsidR="00187D1D" w:rsidRDefault="00187D1D" w:rsidP="00187D1D">
      <w:pPr>
        <w:pStyle w:val="ListParagraph"/>
        <w:numPr>
          <w:ilvl w:val="0"/>
          <w:numId w:val="1"/>
        </w:numPr>
        <w:spacing w:line="360" w:lineRule="auto"/>
        <w:jc w:val="both"/>
        <w:rPr>
          <w:rFonts w:cs="Tahoma"/>
        </w:rPr>
      </w:pPr>
      <w:r>
        <w:rPr>
          <w:rFonts w:cs="Tahoma"/>
        </w:rPr>
        <w:t>The appeal is allowed</w:t>
      </w:r>
      <w:r w:rsidR="00571091">
        <w:rPr>
          <w:rFonts w:cs="Tahoma"/>
        </w:rPr>
        <w:t>.</w:t>
      </w:r>
    </w:p>
    <w:p w:rsidR="00571091" w:rsidRDefault="00571091" w:rsidP="00187D1D">
      <w:pPr>
        <w:pStyle w:val="ListParagraph"/>
        <w:numPr>
          <w:ilvl w:val="0"/>
          <w:numId w:val="1"/>
        </w:numPr>
        <w:spacing w:line="360" w:lineRule="auto"/>
        <w:jc w:val="both"/>
        <w:rPr>
          <w:rFonts w:cs="Tahoma"/>
        </w:rPr>
      </w:pPr>
      <w:r>
        <w:rPr>
          <w:rFonts w:cs="Tahoma"/>
        </w:rPr>
        <w:t>The decisio</w:t>
      </w:r>
      <w:r w:rsidR="00471098">
        <w:rPr>
          <w:rFonts w:cs="Tahoma"/>
        </w:rPr>
        <w:t>n of the Disci</w:t>
      </w:r>
      <w:r w:rsidR="003C5F3B">
        <w:rPr>
          <w:rFonts w:cs="Tahoma"/>
        </w:rPr>
        <w:t xml:space="preserve">plinary Committee finding the appellant guilty and the subsequent decision of the </w:t>
      </w:r>
      <w:r w:rsidR="009C0EA1">
        <w:rPr>
          <w:rFonts w:cs="Tahoma"/>
        </w:rPr>
        <w:t>Disciplinary</w:t>
      </w:r>
      <w:r w:rsidR="003C5F3B">
        <w:rPr>
          <w:rFonts w:cs="Tahoma"/>
        </w:rPr>
        <w:t xml:space="preserve"> Authority </w:t>
      </w:r>
      <w:r w:rsidR="00C77D9B">
        <w:rPr>
          <w:rFonts w:cs="Tahoma"/>
        </w:rPr>
        <w:t>to dismiss the appellant are hereby set aside.</w:t>
      </w:r>
    </w:p>
    <w:p w:rsidR="00C77D9B" w:rsidRDefault="00C77D9B" w:rsidP="00187D1D">
      <w:pPr>
        <w:pStyle w:val="ListParagraph"/>
        <w:numPr>
          <w:ilvl w:val="0"/>
          <w:numId w:val="1"/>
        </w:numPr>
        <w:spacing w:line="360" w:lineRule="auto"/>
        <w:jc w:val="both"/>
        <w:rPr>
          <w:rFonts w:cs="Tahoma"/>
        </w:rPr>
      </w:pPr>
      <w:r>
        <w:rPr>
          <w:rFonts w:cs="Tahoma"/>
        </w:rPr>
        <w:t>The appellant is to be reinstated to his for</w:t>
      </w:r>
      <w:r w:rsidR="0096412D">
        <w:rPr>
          <w:rFonts w:cs="Tahoma"/>
        </w:rPr>
        <w:t>mer position without loss of salary and benefits, with effect from the date of dismissal.</w:t>
      </w:r>
    </w:p>
    <w:p w:rsidR="00A86FB6" w:rsidRDefault="00A86FB6" w:rsidP="00187D1D">
      <w:pPr>
        <w:pStyle w:val="ListParagraph"/>
        <w:numPr>
          <w:ilvl w:val="0"/>
          <w:numId w:val="1"/>
        </w:numPr>
        <w:spacing w:line="360" w:lineRule="auto"/>
        <w:jc w:val="both"/>
        <w:rPr>
          <w:rFonts w:cs="Tahoma"/>
        </w:rPr>
      </w:pPr>
      <w:r>
        <w:rPr>
          <w:rFonts w:cs="Tahoma"/>
        </w:rPr>
        <w:t xml:space="preserve">If reinstatement </w:t>
      </w:r>
      <w:r w:rsidR="0092178D">
        <w:rPr>
          <w:rFonts w:cs="Tahoma"/>
        </w:rPr>
        <w:t>is no longer possible, appellant</w:t>
      </w:r>
      <w:r>
        <w:rPr>
          <w:rFonts w:cs="Tahoma"/>
        </w:rPr>
        <w:t xml:space="preserve"> shall be paid damages </w:t>
      </w:r>
      <w:r w:rsidRPr="00A86FB6">
        <w:rPr>
          <w:rFonts w:cs="Tahoma"/>
          <w:i/>
        </w:rPr>
        <w:t>in lieu</w:t>
      </w:r>
      <w:r>
        <w:rPr>
          <w:rFonts w:cs="Tahoma"/>
        </w:rPr>
        <w:t xml:space="preserve"> such </w:t>
      </w:r>
      <w:r w:rsidR="00376361">
        <w:rPr>
          <w:rFonts w:cs="Tahoma"/>
        </w:rPr>
        <w:t xml:space="preserve">reinstatement the damages of which may be agreed upon by the </w:t>
      </w:r>
      <w:proofErr w:type="gramStart"/>
      <w:r w:rsidR="00376361">
        <w:rPr>
          <w:rFonts w:cs="Tahoma"/>
        </w:rPr>
        <w:t>parties</w:t>
      </w:r>
      <w:proofErr w:type="gramEnd"/>
      <w:r w:rsidR="00376361">
        <w:rPr>
          <w:rFonts w:cs="Tahoma"/>
        </w:rPr>
        <w:t xml:space="preserve"> failure of which either party may approach the Court</w:t>
      </w:r>
      <w:r w:rsidR="00111633">
        <w:rPr>
          <w:rFonts w:cs="Tahoma"/>
        </w:rPr>
        <w:t xml:space="preserve"> quantification.</w:t>
      </w:r>
    </w:p>
    <w:p w:rsidR="00111633" w:rsidRDefault="00111633" w:rsidP="00187D1D">
      <w:pPr>
        <w:pStyle w:val="ListParagraph"/>
        <w:numPr>
          <w:ilvl w:val="0"/>
          <w:numId w:val="1"/>
        </w:numPr>
        <w:spacing w:line="360" w:lineRule="auto"/>
        <w:jc w:val="both"/>
        <w:rPr>
          <w:rFonts w:cs="Tahoma"/>
        </w:rPr>
      </w:pPr>
      <w:r>
        <w:rPr>
          <w:rFonts w:cs="Tahoma"/>
        </w:rPr>
        <w:t>Each party to bear its own costs.</w:t>
      </w:r>
    </w:p>
    <w:p w:rsidR="00111633" w:rsidRDefault="00111633" w:rsidP="00111633">
      <w:pPr>
        <w:spacing w:line="360" w:lineRule="auto"/>
        <w:jc w:val="both"/>
        <w:rPr>
          <w:rFonts w:cs="Tahoma"/>
        </w:rPr>
      </w:pPr>
    </w:p>
    <w:p w:rsidR="009C629F" w:rsidRDefault="009C629F" w:rsidP="00111633">
      <w:pPr>
        <w:spacing w:line="360" w:lineRule="auto"/>
        <w:jc w:val="both"/>
        <w:rPr>
          <w:rFonts w:cs="Tahoma"/>
        </w:rPr>
      </w:pPr>
    </w:p>
    <w:p w:rsidR="00111633" w:rsidRDefault="00111633" w:rsidP="00111633">
      <w:pPr>
        <w:spacing w:line="360" w:lineRule="auto"/>
        <w:jc w:val="both"/>
        <w:rPr>
          <w:rFonts w:cs="Tahoma"/>
        </w:rPr>
      </w:pPr>
      <w:r w:rsidRPr="009C629F">
        <w:rPr>
          <w:rFonts w:cs="Tahoma"/>
          <w:i/>
        </w:rPr>
        <w:t>Mazani &amp; Associates</w:t>
      </w:r>
      <w:r>
        <w:rPr>
          <w:rFonts w:cs="Tahoma"/>
        </w:rPr>
        <w:t>, appellant’s lega</w:t>
      </w:r>
      <w:r w:rsidR="00F73C14">
        <w:rPr>
          <w:rFonts w:cs="Tahoma"/>
        </w:rPr>
        <w:t>l practitioners</w:t>
      </w:r>
    </w:p>
    <w:p w:rsidR="00F73C14" w:rsidRPr="00111633" w:rsidRDefault="00F73C14" w:rsidP="00111633">
      <w:pPr>
        <w:spacing w:line="360" w:lineRule="auto"/>
        <w:jc w:val="both"/>
        <w:rPr>
          <w:rFonts w:cs="Tahoma"/>
        </w:rPr>
      </w:pPr>
      <w:r w:rsidRPr="009C629F">
        <w:rPr>
          <w:rFonts w:cs="Tahoma"/>
          <w:i/>
        </w:rPr>
        <w:t>Civil Division of the Attorne</w:t>
      </w:r>
      <w:r w:rsidR="009C629F" w:rsidRPr="009C629F">
        <w:rPr>
          <w:rFonts w:cs="Tahoma"/>
          <w:i/>
        </w:rPr>
        <w:t>y General’s Office</w:t>
      </w:r>
      <w:r w:rsidR="009C629F">
        <w:rPr>
          <w:rFonts w:cs="Tahoma"/>
        </w:rPr>
        <w:t>, respondent’s legal practitioners</w:t>
      </w:r>
    </w:p>
    <w:p w:rsidR="00C2563F" w:rsidRPr="00206A30" w:rsidRDefault="00C2563F" w:rsidP="00C2563F">
      <w:pPr>
        <w:spacing w:line="480" w:lineRule="auto"/>
        <w:jc w:val="both"/>
        <w:rPr>
          <w:rFonts w:cs="Tahoma"/>
        </w:rPr>
      </w:pPr>
    </w:p>
    <w:sectPr w:rsidR="00C2563F" w:rsidRPr="00206A30" w:rsidSect="00C27024">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26E" w:rsidRDefault="0067326E" w:rsidP="00C27024">
      <w:r>
        <w:separator/>
      </w:r>
    </w:p>
  </w:endnote>
  <w:endnote w:type="continuationSeparator" w:id="0">
    <w:p w:rsidR="0067326E" w:rsidRDefault="0067326E" w:rsidP="00C2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992242"/>
      <w:docPartObj>
        <w:docPartGallery w:val="Page Numbers (Bottom of Page)"/>
        <w:docPartUnique/>
      </w:docPartObj>
    </w:sdtPr>
    <w:sdtEndPr>
      <w:rPr>
        <w:noProof/>
      </w:rPr>
    </w:sdtEndPr>
    <w:sdtContent>
      <w:p w:rsidR="00970866" w:rsidRDefault="00970866">
        <w:pPr>
          <w:pStyle w:val="Footer"/>
          <w:jc w:val="center"/>
        </w:pPr>
        <w:r>
          <w:fldChar w:fldCharType="begin"/>
        </w:r>
        <w:r>
          <w:instrText xml:space="preserve"> PAGE   \* MERGEFORMAT </w:instrText>
        </w:r>
        <w:r>
          <w:fldChar w:fldCharType="separate"/>
        </w:r>
        <w:r w:rsidR="00644B75">
          <w:rPr>
            <w:noProof/>
          </w:rPr>
          <w:t>5</w:t>
        </w:r>
        <w:r>
          <w:rPr>
            <w:noProof/>
          </w:rPr>
          <w:fldChar w:fldCharType="end"/>
        </w:r>
      </w:p>
    </w:sdtContent>
  </w:sdt>
  <w:p w:rsidR="00970866" w:rsidRDefault="009708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26E" w:rsidRDefault="0067326E" w:rsidP="00C27024">
      <w:r>
        <w:separator/>
      </w:r>
    </w:p>
  </w:footnote>
  <w:footnote w:type="continuationSeparator" w:id="0">
    <w:p w:rsidR="0067326E" w:rsidRDefault="0067326E" w:rsidP="00C27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866" w:rsidRPr="00F50305" w:rsidRDefault="00970866">
    <w:pPr>
      <w:pStyle w:val="Header"/>
      <w:rPr>
        <w:rFonts w:cs="Tahoma"/>
        <w:lang w:val="en-ZW"/>
      </w:rPr>
    </w:pPr>
    <w:r>
      <w:rPr>
        <w:lang w:val="en-ZW"/>
      </w:rPr>
      <w:tab/>
    </w:r>
    <w:r>
      <w:rPr>
        <w:lang w:val="en-ZW"/>
      </w:rPr>
      <w:tab/>
    </w:r>
    <w:r w:rsidRPr="00F50305">
      <w:rPr>
        <w:rFonts w:cs="Tahoma"/>
        <w:lang w:val="en-ZW"/>
      </w:rPr>
      <w:t>JUDGMENT NO. LC/H/</w:t>
    </w:r>
    <w:r w:rsidR="00F50305" w:rsidRPr="00F50305">
      <w:rPr>
        <w:rFonts w:cs="Tahoma"/>
        <w:lang w:val="en-ZW"/>
      </w:rPr>
      <w:t>450</w:t>
    </w:r>
    <w:r w:rsidRPr="00F50305">
      <w:rPr>
        <w:rFonts w:cs="Tahoma"/>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A123C"/>
    <w:multiLevelType w:val="hybridMultilevel"/>
    <w:tmpl w:val="7578D8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C75"/>
    <w:rsid w:val="000343AC"/>
    <w:rsid w:val="0004040A"/>
    <w:rsid w:val="00062FC4"/>
    <w:rsid w:val="00064182"/>
    <w:rsid w:val="0009116B"/>
    <w:rsid w:val="000918B1"/>
    <w:rsid w:val="00095E37"/>
    <w:rsid w:val="000E5096"/>
    <w:rsid w:val="000F418D"/>
    <w:rsid w:val="001102AE"/>
    <w:rsid w:val="00111633"/>
    <w:rsid w:val="0011789E"/>
    <w:rsid w:val="001822B4"/>
    <w:rsid w:val="00187D1D"/>
    <w:rsid w:val="001A75D6"/>
    <w:rsid w:val="001C2443"/>
    <w:rsid w:val="001D51F6"/>
    <w:rsid w:val="00206A30"/>
    <w:rsid w:val="00232BA4"/>
    <w:rsid w:val="002C784A"/>
    <w:rsid w:val="003709E7"/>
    <w:rsid w:val="00376361"/>
    <w:rsid w:val="0039252C"/>
    <w:rsid w:val="00393DE6"/>
    <w:rsid w:val="00396105"/>
    <w:rsid w:val="003A4E54"/>
    <w:rsid w:val="003B3A73"/>
    <w:rsid w:val="003C5F3B"/>
    <w:rsid w:val="003D2F26"/>
    <w:rsid w:val="003E07CF"/>
    <w:rsid w:val="003E7C5E"/>
    <w:rsid w:val="003F3C2E"/>
    <w:rsid w:val="00401369"/>
    <w:rsid w:val="00407365"/>
    <w:rsid w:val="00422F52"/>
    <w:rsid w:val="00435FD4"/>
    <w:rsid w:val="00447449"/>
    <w:rsid w:val="00461A93"/>
    <w:rsid w:val="00467E85"/>
    <w:rsid w:val="00471098"/>
    <w:rsid w:val="00497215"/>
    <w:rsid w:val="004A3946"/>
    <w:rsid w:val="004E24A6"/>
    <w:rsid w:val="00511651"/>
    <w:rsid w:val="00530D66"/>
    <w:rsid w:val="005577CC"/>
    <w:rsid w:val="00571091"/>
    <w:rsid w:val="00575DBC"/>
    <w:rsid w:val="005862EF"/>
    <w:rsid w:val="005A0192"/>
    <w:rsid w:val="005A17A4"/>
    <w:rsid w:val="005A2264"/>
    <w:rsid w:val="005B54E5"/>
    <w:rsid w:val="005D0C7C"/>
    <w:rsid w:val="005F3EF6"/>
    <w:rsid w:val="0062776F"/>
    <w:rsid w:val="00634C59"/>
    <w:rsid w:val="006374C4"/>
    <w:rsid w:val="00644B75"/>
    <w:rsid w:val="006557B5"/>
    <w:rsid w:val="0067326E"/>
    <w:rsid w:val="006C068B"/>
    <w:rsid w:val="006C11CC"/>
    <w:rsid w:val="006D54DF"/>
    <w:rsid w:val="00720532"/>
    <w:rsid w:val="00723BAB"/>
    <w:rsid w:val="00724B24"/>
    <w:rsid w:val="0076109C"/>
    <w:rsid w:val="00766B90"/>
    <w:rsid w:val="007A33D2"/>
    <w:rsid w:val="007E2FC6"/>
    <w:rsid w:val="00835990"/>
    <w:rsid w:val="0084374D"/>
    <w:rsid w:val="00861018"/>
    <w:rsid w:val="0088252B"/>
    <w:rsid w:val="008C4E5E"/>
    <w:rsid w:val="008E3A67"/>
    <w:rsid w:val="00913419"/>
    <w:rsid w:val="0092178D"/>
    <w:rsid w:val="00951996"/>
    <w:rsid w:val="00960001"/>
    <w:rsid w:val="0096412D"/>
    <w:rsid w:val="00970866"/>
    <w:rsid w:val="00975450"/>
    <w:rsid w:val="0098226D"/>
    <w:rsid w:val="009C0EA1"/>
    <w:rsid w:val="009C629F"/>
    <w:rsid w:val="009D1CDA"/>
    <w:rsid w:val="009E1FE9"/>
    <w:rsid w:val="00A27854"/>
    <w:rsid w:val="00A428D8"/>
    <w:rsid w:val="00A429D9"/>
    <w:rsid w:val="00A4537D"/>
    <w:rsid w:val="00A86FB6"/>
    <w:rsid w:val="00A926BA"/>
    <w:rsid w:val="00A93B1B"/>
    <w:rsid w:val="00A97024"/>
    <w:rsid w:val="00AA67B0"/>
    <w:rsid w:val="00AC3267"/>
    <w:rsid w:val="00AF1F1F"/>
    <w:rsid w:val="00B143F0"/>
    <w:rsid w:val="00B1585B"/>
    <w:rsid w:val="00B20C59"/>
    <w:rsid w:val="00B24292"/>
    <w:rsid w:val="00B40F1F"/>
    <w:rsid w:val="00B43831"/>
    <w:rsid w:val="00B77A5A"/>
    <w:rsid w:val="00B80C75"/>
    <w:rsid w:val="00BA20FD"/>
    <w:rsid w:val="00BB6B08"/>
    <w:rsid w:val="00BC78A3"/>
    <w:rsid w:val="00BE5E03"/>
    <w:rsid w:val="00BF21A5"/>
    <w:rsid w:val="00C2563F"/>
    <w:rsid w:val="00C27024"/>
    <w:rsid w:val="00C52183"/>
    <w:rsid w:val="00C736FB"/>
    <w:rsid w:val="00C77D9B"/>
    <w:rsid w:val="00C84F74"/>
    <w:rsid w:val="00C85F43"/>
    <w:rsid w:val="00C91BC7"/>
    <w:rsid w:val="00CA3852"/>
    <w:rsid w:val="00CC1084"/>
    <w:rsid w:val="00CE4345"/>
    <w:rsid w:val="00CF15EB"/>
    <w:rsid w:val="00CF6816"/>
    <w:rsid w:val="00D12E46"/>
    <w:rsid w:val="00D15FAD"/>
    <w:rsid w:val="00D35FC8"/>
    <w:rsid w:val="00D41B97"/>
    <w:rsid w:val="00D54D40"/>
    <w:rsid w:val="00D72A35"/>
    <w:rsid w:val="00D9141C"/>
    <w:rsid w:val="00DD4245"/>
    <w:rsid w:val="00DD76EB"/>
    <w:rsid w:val="00E127BE"/>
    <w:rsid w:val="00E2274F"/>
    <w:rsid w:val="00E524F7"/>
    <w:rsid w:val="00E5435A"/>
    <w:rsid w:val="00E5626B"/>
    <w:rsid w:val="00E61DE7"/>
    <w:rsid w:val="00E717B4"/>
    <w:rsid w:val="00E86003"/>
    <w:rsid w:val="00EC2ACD"/>
    <w:rsid w:val="00ED55FF"/>
    <w:rsid w:val="00ED7409"/>
    <w:rsid w:val="00ED7A90"/>
    <w:rsid w:val="00EF0E85"/>
    <w:rsid w:val="00EF64E6"/>
    <w:rsid w:val="00F24685"/>
    <w:rsid w:val="00F312D2"/>
    <w:rsid w:val="00F349E7"/>
    <w:rsid w:val="00F50305"/>
    <w:rsid w:val="00F62323"/>
    <w:rsid w:val="00F73C14"/>
    <w:rsid w:val="00F847F3"/>
    <w:rsid w:val="00F85D9C"/>
    <w:rsid w:val="00F95074"/>
    <w:rsid w:val="00FB06AE"/>
    <w:rsid w:val="00FB4B3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C7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024"/>
    <w:pPr>
      <w:tabs>
        <w:tab w:val="center" w:pos="4513"/>
        <w:tab w:val="right" w:pos="9026"/>
      </w:tabs>
    </w:pPr>
  </w:style>
  <w:style w:type="character" w:customStyle="1" w:styleId="HeaderChar">
    <w:name w:val="Header Char"/>
    <w:basedOn w:val="DefaultParagraphFont"/>
    <w:link w:val="Header"/>
    <w:uiPriority w:val="99"/>
    <w:rsid w:val="00C27024"/>
    <w:rPr>
      <w:rFonts w:ascii="Tahoma" w:eastAsia="Times New Roman" w:hAnsi="Tahoma" w:cs="Times New Roman"/>
      <w:sz w:val="24"/>
      <w:szCs w:val="24"/>
      <w:lang w:val="en-US"/>
    </w:rPr>
  </w:style>
  <w:style w:type="paragraph" w:styleId="Footer">
    <w:name w:val="footer"/>
    <w:basedOn w:val="Normal"/>
    <w:link w:val="FooterChar"/>
    <w:uiPriority w:val="99"/>
    <w:unhideWhenUsed/>
    <w:rsid w:val="00C27024"/>
    <w:pPr>
      <w:tabs>
        <w:tab w:val="center" w:pos="4513"/>
        <w:tab w:val="right" w:pos="9026"/>
      </w:tabs>
    </w:pPr>
  </w:style>
  <w:style w:type="character" w:customStyle="1" w:styleId="FooterChar">
    <w:name w:val="Footer Char"/>
    <w:basedOn w:val="DefaultParagraphFont"/>
    <w:link w:val="Footer"/>
    <w:uiPriority w:val="99"/>
    <w:rsid w:val="00C27024"/>
    <w:rPr>
      <w:rFonts w:ascii="Tahoma" w:eastAsia="Times New Roman" w:hAnsi="Tahoma" w:cs="Times New Roman"/>
      <w:sz w:val="24"/>
      <w:szCs w:val="24"/>
      <w:lang w:val="en-US"/>
    </w:rPr>
  </w:style>
  <w:style w:type="paragraph" w:styleId="ListParagraph">
    <w:name w:val="List Paragraph"/>
    <w:basedOn w:val="Normal"/>
    <w:uiPriority w:val="34"/>
    <w:qFormat/>
    <w:rsid w:val="00187D1D"/>
    <w:pPr>
      <w:ind w:left="720"/>
      <w:contextualSpacing/>
    </w:pPr>
  </w:style>
  <w:style w:type="paragraph" w:styleId="BalloonText">
    <w:name w:val="Balloon Text"/>
    <w:basedOn w:val="Normal"/>
    <w:link w:val="BalloonTextChar"/>
    <w:uiPriority w:val="99"/>
    <w:semiHidden/>
    <w:unhideWhenUsed/>
    <w:rsid w:val="00644B75"/>
    <w:rPr>
      <w:rFonts w:cs="Tahoma"/>
      <w:sz w:val="16"/>
      <w:szCs w:val="16"/>
    </w:rPr>
  </w:style>
  <w:style w:type="character" w:customStyle="1" w:styleId="BalloonTextChar">
    <w:name w:val="Balloon Text Char"/>
    <w:basedOn w:val="DefaultParagraphFont"/>
    <w:link w:val="BalloonText"/>
    <w:uiPriority w:val="99"/>
    <w:semiHidden/>
    <w:rsid w:val="00644B75"/>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C7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024"/>
    <w:pPr>
      <w:tabs>
        <w:tab w:val="center" w:pos="4513"/>
        <w:tab w:val="right" w:pos="9026"/>
      </w:tabs>
    </w:pPr>
  </w:style>
  <w:style w:type="character" w:customStyle="1" w:styleId="HeaderChar">
    <w:name w:val="Header Char"/>
    <w:basedOn w:val="DefaultParagraphFont"/>
    <w:link w:val="Header"/>
    <w:uiPriority w:val="99"/>
    <w:rsid w:val="00C27024"/>
    <w:rPr>
      <w:rFonts w:ascii="Tahoma" w:eastAsia="Times New Roman" w:hAnsi="Tahoma" w:cs="Times New Roman"/>
      <w:sz w:val="24"/>
      <w:szCs w:val="24"/>
      <w:lang w:val="en-US"/>
    </w:rPr>
  </w:style>
  <w:style w:type="paragraph" w:styleId="Footer">
    <w:name w:val="footer"/>
    <w:basedOn w:val="Normal"/>
    <w:link w:val="FooterChar"/>
    <w:uiPriority w:val="99"/>
    <w:unhideWhenUsed/>
    <w:rsid w:val="00C27024"/>
    <w:pPr>
      <w:tabs>
        <w:tab w:val="center" w:pos="4513"/>
        <w:tab w:val="right" w:pos="9026"/>
      </w:tabs>
    </w:pPr>
  </w:style>
  <w:style w:type="character" w:customStyle="1" w:styleId="FooterChar">
    <w:name w:val="Footer Char"/>
    <w:basedOn w:val="DefaultParagraphFont"/>
    <w:link w:val="Footer"/>
    <w:uiPriority w:val="99"/>
    <w:rsid w:val="00C27024"/>
    <w:rPr>
      <w:rFonts w:ascii="Tahoma" w:eastAsia="Times New Roman" w:hAnsi="Tahoma" w:cs="Times New Roman"/>
      <w:sz w:val="24"/>
      <w:szCs w:val="24"/>
      <w:lang w:val="en-US"/>
    </w:rPr>
  </w:style>
  <w:style w:type="paragraph" w:styleId="ListParagraph">
    <w:name w:val="List Paragraph"/>
    <w:basedOn w:val="Normal"/>
    <w:uiPriority w:val="34"/>
    <w:qFormat/>
    <w:rsid w:val="00187D1D"/>
    <w:pPr>
      <w:ind w:left="720"/>
      <w:contextualSpacing/>
    </w:pPr>
  </w:style>
  <w:style w:type="paragraph" w:styleId="BalloonText">
    <w:name w:val="Balloon Text"/>
    <w:basedOn w:val="Normal"/>
    <w:link w:val="BalloonTextChar"/>
    <w:uiPriority w:val="99"/>
    <w:semiHidden/>
    <w:unhideWhenUsed/>
    <w:rsid w:val="00644B75"/>
    <w:rPr>
      <w:rFonts w:cs="Tahoma"/>
      <w:sz w:val="16"/>
      <w:szCs w:val="16"/>
    </w:rPr>
  </w:style>
  <w:style w:type="character" w:customStyle="1" w:styleId="BalloonTextChar">
    <w:name w:val="Balloon Text Char"/>
    <w:basedOn w:val="DefaultParagraphFont"/>
    <w:link w:val="BalloonText"/>
    <w:uiPriority w:val="99"/>
    <w:semiHidden/>
    <w:rsid w:val="00644B7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5FDD2-FBC2-4920-A535-AEE023F6F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23</cp:revision>
  <cp:lastPrinted>2016-07-20T13:14:00Z</cp:lastPrinted>
  <dcterms:created xsi:type="dcterms:W3CDTF">2016-07-08T07:50:00Z</dcterms:created>
  <dcterms:modified xsi:type="dcterms:W3CDTF">2016-07-20T13:17:00Z</dcterms:modified>
</cp:coreProperties>
</file>