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BA" w:rsidRDefault="003A6CBA" w:rsidP="003A6CB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097B61">
        <w:rPr>
          <w:b/>
          <w:sz w:val="22"/>
          <w:szCs w:val="22"/>
        </w:rPr>
        <w:t>397</w:t>
      </w:r>
      <w:r>
        <w:rPr>
          <w:b/>
          <w:sz w:val="22"/>
          <w:szCs w:val="22"/>
        </w:rPr>
        <w:t>/2016</w:t>
      </w:r>
    </w:p>
    <w:p w:rsidR="003A6CBA" w:rsidRDefault="003A6CBA" w:rsidP="003A6CB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</w:t>
      </w:r>
      <w:r w:rsidR="006A3377">
        <w:rPr>
          <w:b/>
          <w:sz w:val="22"/>
          <w:szCs w:val="22"/>
        </w:rPr>
        <w:t>,23 MAY</w:t>
      </w:r>
      <w:r>
        <w:rPr>
          <w:b/>
          <w:sz w:val="22"/>
          <w:szCs w:val="22"/>
        </w:rPr>
        <w:t xml:space="preserve">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</w:t>
      </w:r>
      <w:r w:rsidR="006A3377">
        <w:rPr>
          <w:b/>
          <w:sz w:val="22"/>
          <w:szCs w:val="22"/>
        </w:rPr>
        <w:t>861/15</w:t>
      </w:r>
    </w:p>
    <w:p w:rsidR="003A6CBA" w:rsidRDefault="003A6CBA" w:rsidP="003A6CB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097B61">
        <w:rPr>
          <w:b/>
          <w:sz w:val="22"/>
          <w:szCs w:val="22"/>
        </w:rPr>
        <w:t>23 JUNE</w:t>
      </w:r>
      <w:bookmarkStart w:id="0" w:name="_GoBack"/>
      <w:bookmarkEnd w:id="0"/>
      <w:r>
        <w:rPr>
          <w:b/>
          <w:sz w:val="22"/>
          <w:szCs w:val="22"/>
        </w:rPr>
        <w:t xml:space="preserve"> 2016</w:t>
      </w:r>
      <w:r w:rsidR="006A3377">
        <w:rPr>
          <w:b/>
          <w:sz w:val="22"/>
          <w:szCs w:val="22"/>
        </w:rPr>
        <w:tab/>
      </w:r>
      <w:r w:rsidR="006A3377">
        <w:rPr>
          <w:b/>
          <w:sz w:val="22"/>
          <w:szCs w:val="22"/>
        </w:rPr>
        <w:tab/>
      </w:r>
      <w:r w:rsidR="006A3377">
        <w:rPr>
          <w:b/>
          <w:sz w:val="22"/>
          <w:szCs w:val="22"/>
        </w:rPr>
        <w:tab/>
      </w:r>
      <w:r w:rsidR="006A3377">
        <w:rPr>
          <w:b/>
          <w:sz w:val="22"/>
          <w:szCs w:val="22"/>
        </w:rPr>
        <w:tab/>
      </w:r>
    </w:p>
    <w:p w:rsidR="003A6CBA" w:rsidRDefault="003A6CBA" w:rsidP="003A6CBA">
      <w:pPr>
        <w:spacing w:line="360" w:lineRule="auto"/>
        <w:jc w:val="both"/>
        <w:rPr>
          <w:b/>
          <w:sz w:val="22"/>
          <w:szCs w:val="22"/>
        </w:rPr>
      </w:pPr>
    </w:p>
    <w:p w:rsidR="003A6CBA" w:rsidRDefault="003A6CBA" w:rsidP="003A6CBA">
      <w:pPr>
        <w:spacing w:line="360" w:lineRule="auto"/>
        <w:jc w:val="both"/>
      </w:pPr>
    </w:p>
    <w:p w:rsidR="003A6CBA" w:rsidRDefault="00351ED0" w:rsidP="003A6CBA">
      <w:pPr>
        <w:spacing w:line="360" w:lineRule="auto"/>
        <w:jc w:val="both"/>
        <w:rPr>
          <w:b/>
        </w:rPr>
      </w:pPr>
      <w:r>
        <w:rPr>
          <w:b/>
        </w:rPr>
        <w:t>MADINA FABRICS</w:t>
      </w:r>
      <w:r w:rsidR="003A6CBA">
        <w:rPr>
          <w:b/>
        </w:rPr>
        <w:tab/>
      </w:r>
      <w:r w:rsidR="003A6CBA">
        <w:rPr>
          <w:b/>
        </w:rPr>
        <w:tab/>
      </w:r>
      <w:r w:rsidR="003A6CBA">
        <w:rPr>
          <w:b/>
        </w:rPr>
        <w:tab/>
      </w:r>
      <w:r w:rsidR="003A6CBA">
        <w:rPr>
          <w:b/>
        </w:rPr>
        <w:tab/>
      </w:r>
      <w:r w:rsidR="003A6CBA">
        <w:rPr>
          <w:b/>
        </w:rPr>
        <w:tab/>
        <w:t>Appellant</w:t>
      </w:r>
    </w:p>
    <w:p w:rsidR="003A6CBA" w:rsidRDefault="003A6CBA" w:rsidP="003A6CBA">
      <w:pPr>
        <w:spacing w:line="360" w:lineRule="auto"/>
        <w:jc w:val="both"/>
        <w:rPr>
          <w:b/>
        </w:rPr>
      </w:pPr>
    </w:p>
    <w:p w:rsidR="003A6CBA" w:rsidRDefault="00351ED0" w:rsidP="003A6CBA">
      <w:pPr>
        <w:spacing w:line="360" w:lineRule="auto"/>
        <w:jc w:val="both"/>
        <w:rPr>
          <w:b/>
        </w:rPr>
      </w:pPr>
      <w:r>
        <w:rPr>
          <w:b/>
        </w:rPr>
        <w:t>PATSON ZIGEDE</w:t>
      </w:r>
      <w:r w:rsidR="003A6CBA">
        <w:rPr>
          <w:b/>
        </w:rPr>
        <w:tab/>
      </w:r>
      <w:r w:rsidR="003A6CBA">
        <w:rPr>
          <w:b/>
        </w:rPr>
        <w:tab/>
      </w:r>
      <w:r w:rsidR="003A6CBA">
        <w:rPr>
          <w:b/>
        </w:rPr>
        <w:tab/>
      </w:r>
      <w:r w:rsidR="003A6CBA">
        <w:rPr>
          <w:b/>
        </w:rPr>
        <w:tab/>
      </w:r>
      <w:r w:rsidR="003A6CBA">
        <w:rPr>
          <w:b/>
        </w:rPr>
        <w:tab/>
      </w:r>
      <w:r w:rsidR="003A6CBA">
        <w:rPr>
          <w:b/>
        </w:rPr>
        <w:tab/>
        <w:t xml:space="preserve">Respondent </w:t>
      </w:r>
      <w:r w:rsidR="003A6CBA">
        <w:rPr>
          <w:b/>
        </w:rPr>
        <w:tab/>
      </w:r>
    </w:p>
    <w:p w:rsidR="003A6CBA" w:rsidRDefault="003A6CBA" w:rsidP="003A6CBA">
      <w:pPr>
        <w:spacing w:line="360" w:lineRule="auto"/>
        <w:jc w:val="both"/>
        <w:rPr>
          <w:b/>
        </w:rPr>
      </w:pPr>
    </w:p>
    <w:p w:rsidR="003A6CBA" w:rsidRDefault="003A6CBA" w:rsidP="003A6CBA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3A6CBA" w:rsidRDefault="003A6CBA" w:rsidP="003A6CBA">
      <w:pPr>
        <w:spacing w:line="360" w:lineRule="auto"/>
        <w:jc w:val="both"/>
      </w:pPr>
    </w:p>
    <w:p w:rsidR="003A6CBA" w:rsidRDefault="003A6CBA" w:rsidP="003A6CBA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351ED0">
        <w:rPr>
          <w:b/>
        </w:rPr>
        <w:tab/>
      </w:r>
      <w:r w:rsidR="00351ED0">
        <w:rPr>
          <w:b/>
        </w:rPr>
        <w:tab/>
        <w:t>Mr G. Madziva, Manager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3A6CBA" w:rsidRDefault="003A6CBA" w:rsidP="003A6CBA">
      <w:pPr>
        <w:jc w:val="both"/>
        <w:rPr>
          <w:b/>
        </w:rPr>
      </w:pPr>
      <w:r>
        <w:rPr>
          <w:b/>
        </w:rPr>
        <w:tab/>
      </w:r>
    </w:p>
    <w:p w:rsidR="003A6CBA" w:rsidRDefault="003A6CBA" w:rsidP="003A6CBA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 w:rsidR="00351ED0">
        <w:rPr>
          <w:b/>
        </w:rPr>
        <w:tab/>
        <w:t>Mr P. Zigede, Respondent</w:t>
      </w:r>
      <w:r>
        <w:rPr>
          <w:b/>
        </w:rPr>
        <w:tab/>
      </w:r>
    </w:p>
    <w:p w:rsidR="003A6CBA" w:rsidRDefault="003A6CBA" w:rsidP="003A6CBA">
      <w:pPr>
        <w:spacing w:line="360" w:lineRule="auto"/>
        <w:jc w:val="both"/>
        <w:rPr>
          <w:b/>
          <w:sz w:val="28"/>
          <w:szCs w:val="28"/>
        </w:rPr>
      </w:pPr>
    </w:p>
    <w:p w:rsidR="003A6CBA" w:rsidRDefault="003A6CBA" w:rsidP="003A6CBA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5825C9" w:rsidRDefault="005825C9" w:rsidP="001C6A96">
      <w:pPr>
        <w:spacing w:line="360" w:lineRule="auto"/>
        <w:jc w:val="both"/>
      </w:pPr>
    </w:p>
    <w:p w:rsidR="001C6A96" w:rsidRDefault="000D7C97" w:rsidP="001C6A96">
      <w:pPr>
        <w:spacing w:line="360" w:lineRule="auto"/>
        <w:jc w:val="both"/>
      </w:pPr>
      <w:r>
        <w:t>On 7</w:t>
      </w:r>
      <w:r w:rsidRPr="000D7C97">
        <w:rPr>
          <w:vertAlign w:val="superscript"/>
        </w:rPr>
        <w:t>th</w:t>
      </w:r>
      <w:r>
        <w:t xml:space="preserve"> July 2015 Arbitrator R.E. </w:t>
      </w:r>
      <w:proofErr w:type="spellStart"/>
      <w:r>
        <w:t>Nhiwatiwa</w:t>
      </w:r>
      <w:proofErr w:type="spellEnd"/>
      <w:r>
        <w:t xml:space="preserve"> issued an arb</w:t>
      </w:r>
      <w:r w:rsidR="00CD2F76">
        <w:t>i</w:t>
      </w:r>
      <w:r w:rsidR="00624135">
        <w:t>tration</w:t>
      </w:r>
      <w:r w:rsidR="003D76CC">
        <w:t xml:space="preserve"> award at Harare.  He ordered Appellant to pay Respondent an amount of </w:t>
      </w:r>
      <w:r w:rsidR="003D76CC" w:rsidRPr="00E8251A">
        <w:rPr>
          <w:u w:val="single"/>
        </w:rPr>
        <w:t>$3 129.27</w:t>
      </w:r>
      <w:r w:rsidR="003D76CC">
        <w:t xml:space="preserve"> </w:t>
      </w:r>
      <w:r w:rsidR="00624135">
        <w:t>as</w:t>
      </w:r>
      <w:r w:rsidR="003D76CC">
        <w:t xml:space="preserve"> n</w:t>
      </w:r>
      <w:r w:rsidR="00624135">
        <w:t xml:space="preserve">otice pay and terminal benefits arising </w:t>
      </w:r>
      <w:r w:rsidR="003D76CC">
        <w:t>from the parties’ employment</w:t>
      </w:r>
      <w:r w:rsidR="008911DF">
        <w:t xml:space="preserve"> contract which had been terminated.  Appellant then appealed to this Court against the award.  Respondent opposed the appeal.</w:t>
      </w:r>
    </w:p>
    <w:p w:rsidR="008911DF" w:rsidRDefault="008911DF" w:rsidP="008F5A4B">
      <w:pPr>
        <w:jc w:val="both"/>
      </w:pPr>
    </w:p>
    <w:p w:rsidR="008911DF" w:rsidRDefault="008911DF" w:rsidP="001C6A96">
      <w:pPr>
        <w:spacing w:line="360" w:lineRule="auto"/>
        <w:jc w:val="both"/>
      </w:pPr>
      <w:r>
        <w:t xml:space="preserve">Appellant’s </w:t>
      </w:r>
      <w:r w:rsidR="00427774">
        <w:t>case</w:t>
      </w:r>
      <w:r>
        <w:t xml:space="preserve"> is set</w:t>
      </w:r>
      <w:r w:rsidR="00D84E30">
        <w:t xml:space="preserve"> out</w:t>
      </w:r>
      <w:r>
        <w:t xml:space="preserve"> in their Heads of Argument</w:t>
      </w:r>
      <w:r w:rsidR="00427774">
        <w:t>.  The relevant portion reads</w:t>
      </w:r>
      <w:r w:rsidR="000D4975">
        <w:t xml:space="preserve"> as follows;</w:t>
      </w:r>
    </w:p>
    <w:p w:rsidR="0027182E" w:rsidRPr="0029360B" w:rsidRDefault="0027182E" w:rsidP="008F5A4B">
      <w:pPr>
        <w:jc w:val="both"/>
        <w:rPr>
          <w:sz w:val="22"/>
          <w:szCs w:val="22"/>
        </w:rPr>
      </w:pPr>
      <w:r>
        <w:tab/>
      </w:r>
      <w:r w:rsidRPr="0029360B">
        <w:rPr>
          <w:sz w:val="22"/>
          <w:szCs w:val="22"/>
        </w:rPr>
        <w:t xml:space="preserve"> </w:t>
      </w:r>
    </w:p>
    <w:p w:rsidR="0027182E" w:rsidRPr="0029360B" w:rsidRDefault="0027182E" w:rsidP="0029360B">
      <w:pPr>
        <w:spacing w:line="276" w:lineRule="auto"/>
        <w:ind w:left="720"/>
        <w:jc w:val="both"/>
        <w:rPr>
          <w:sz w:val="22"/>
          <w:szCs w:val="22"/>
        </w:rPr>
      </w:pPr>
      <w:r w:rsidRPr="0029360B">
        <w:rPr>
          <w:sz w:val="22"/>
          <w:szCs w:val="22"/>
        </w:rPr>
        <w:t>“</w:t>
      </w:r>
      <w:r w:rsidR="0055074C" w:rsidRPr="0029360B">
        <w:rPr>
          <w:sz w:val="22"/>
          <w:szCs w:val="22"/>
        </w:rPr>
        <w:t xml:space="preserve">The disputants entered into a certificate of settlement before the </w:t>
      </w:r>
      <w:r w:rsidR="00132EDD" w:rsidRPr="0029360B">
        <w:rPr>
          <w:sz w:val="22"/>
          <w:szCs w:val="22"/>
        </w:rPr>
        <w:t>NECCS Designated Agents Mlilwana on 18 November 2014 which clearly spelt out the terms and conditions of payment as follows:</w:t>
      </w:r>
    </w:p>
    <w:p w:rsidR="00B03BED" w:rsidRPr="0029360B" w:rsidRDefault="00B03BED" w:rsidP="0029360B">
      <w:pPr>
        <w:spacing w:line="276" w:lineRule="auto"/>
        <w:jc w:val="both"/>
        <w:rPr>
          <w:sz w:val="22"/>
          <w:szCs w:val="22"/>
        </w:rPr>
      </w:pPr>
    </w:p>
    <w:p w:rsidR="00B03BED" w:rsidRPr="0029360B" w:rsidRDefault="00B03BED" w:rsidP="0029360B">
      <w:pPr>
        <w:spacing w:line="276" w:lineRule="auto"/>
        <w:ind w:left="720"/>
        <w:jc w:val="both"/>
        <w:rPr>
          <w:sz w:val="22"/>
          <w:szCs w:val="22"/>
        </w:rPr>
      </w:pPr>
      <w:r w:rsidRPr="0029360B">
        <w:rPr>
          <w:sz w:val="22"/>
          <w:szCs w:val="22"/>
        </w:rPr>
        <w:t>The employer agreed to pay complainant his ter</w:t>
      </w:r>
      <w:r w:rsidR="00E8251A" w:rsidRPr="0029360B">
        <w:rPr>
          <w:sz w:val="22"/>
          <w:szCs w:val="22"/>
        </w:rPr>
        <w:t xml:space="preserve">minal benefits amounting to </w:t>
      </w:r>
      <w:r w:rsidR="00E8251A" w:rsidRPr="0029360B">
        <w:rPr>
          <w:sz w:val="22"/>
          <w:szCs w:val="22"/>
          <w:u w:val="single"/>
        </w:rPr>
        <w:t>$1,</w:t>
      </w:r>
      <w:r w:rsidRPr="0029360B">
        <w:rPr>
          <w:sz w:val="22"/>
          <w:szCs w:val="22"/>
          <w:u w:val="single"/>
        </w:rPr>
        <w:t>426.00</w:t>
      </w:r>
      <w:r w:rsidRPr="0029360B">
        <w:rPr>
          <w:sz w:val="22"/>
          <w:szCs w:val="22"/>
        </w:rPr>
        <w:t xml:space="preserve"> </w:t>
      </w:r>
      <w:r w:rsidR="00E8251A" w:rsidRPr="0029360B">
        <w:rPr>
          <w:sz w:val="22"/>
          <w:szCs w:val="22"/>
        </w:rPr>
        <w:t>in instalments of $300</w:t>
      </w:r>
      <w:r w:rsidR="003940D7" w:rsidRPr="0029360B">
        <w:rPr>
          <w:sz w:val="22"/>
          <w:szCs w:val="22"/>
        </w:rPr>
        <w:t>.00.  The first payment of $300.</w:t>
      </w:r>
      <w:r w:rsidR="00E8251A" w:rsidRPr="0029360B">
        <w:rPr>
          <w:sz w:val="22"/>
          <w:szCs w:val="22"/>
        </w:rPr>
        <w:t>00</w:t>
      </w:r>
      <w:r w:rsidR="004F1109" w:rsidRPr="0029360B">
        <w:rPr>
          <w:sz w:val="22"/>
          <w:szCs w:val="22"/>
        </w:rPr>
        <w:t xml:space="preserve"> will be made on 25 November 2014, the complainant will be paid $300.00 monthly instalment </w:t>
      </w:r>
      <w:r w:rsidR="00AC62F3" w:rsidRPr="0029360B">
        <w:rPr>
          <w:sz w:val="22"/>
          <w:szCs w:val="22"/>
        </w:rPr>
        <w:t>until the amount is cleared.</w:t>
      </w:r>
    </w:p>
    <w:p w:rsidR="00AC62F3" w:rsidRPr="0029360B" w:rsidRDefault="00AC62F3" w:rsidP="0029360B">
      <w:pPr>
        <w:spacing w:line="276" w:lineRule="auto"/>
        <w:jc w:val="both"/>
        <w:rPr>
          <w:sz w:val="22"/>
          <w:szCs w:val="22"/>
        </w:rPr>
      </w:pPr>
    </w:p>
    <w:p w:rsidR="0029360B" w:rsidRPr="0029360B" w:rsidRDefault="00AC62F3" w:rsidP="0029360B">
      <w:pPr>
        <w:spacing w:line="276" w:lineRule="auto"/>
        <w:ind w:left="720"/>
        <w:jc w:val="both"/>
        <w:rPr>
          <w:sz w:val="22"/>
          <w:szCs w:val="22"/>
        </w:rPr>
      </w:pPr>
      <w:r w:rsidRPr="0029360B">
        <w:rPr>
          <w:sz w:val="22"/>
          <w:szCs w:val="22"/>
        </w:rPr>
        <w:lastRenderedPageBreak/>
        <w:t>However, after receiving the first payment, Respondent clandestinely re-approached the conciliator and obtained a certificate</w:t>
      </w:r>
      <w:r w:rsidR="00161744" w:rsidRPr="0029360B">
        <w:rPr>
          <w:sz w:val="22"/>
          <w:szCs w:val="22"/>
        </w:rPr>
        <w:t xml:space="preserve"> of</w:t>
      </w:r>
      <w:r w:rsidR="006446E5" w:rsidRPr="0029360B">
        <w:rPr>
          <w:sz w:val="22"/>
          <w:szCs w:val="22"/>
        </w:rPr>
        <w:t xml:space="preserve"> no settlement concerning the same matter, unbeknown to Appellant.  Appellant continued to comply with the agreement and has paid the money</w:t>
      </w:r>
      <w:r w:rsidR="0029360B" w:rsidRPr="0029360B">
        <w:rPr>
          <w:sz w:val="22"/>
          <w:szCs w:val="22"/>
        </w:rPr>
        <w:t xml:space="preserve"> owed to Respondent in full, through his representative.”</w:t>
      </w:r>
    </w:p>
    <w:p w:rsidR="0029360B" w:rsidRDefault="0029360B" w:rsidP="008F5A4B">
      <w:pPr>
        <w:jc w:val="both"/>
      </w:pPr>
    </w:p>
    <w:p w:rsidR="00AC62F3" w:rsidRDefault="0029360B" w:rsidP="001C6A96">
      <w:pPr>
        <w:spacing w:line="360" w:lineRule="auto"/>
        <w:jc w:val="both"/>
      </w:pPr>
      <w:r>
        <w:t>Filed of record is a certificate</w:t>
      </w:r>
      <w:r w:rsidR="006446E5">
        <w:t xml:space="preserve"> </w:t>
      </w:r>
      <w:r w:rsidR="00B84380">
        <w:t>of settlement dated 18</w:t>
      </w:r>
      <w:r w:rsidR="00B84380" w:rsidRPr="00B84380">
        <w:rPr>
          <w:vertAlign w:val="superscript"/>
        </w:rPr>
        <w:t>th</w:t>
      </w:r>
      <w:r w:rsidR="00B84380">
        <w:t xml:space="preserve"> November 2014.  It confirms the parties’ settlement as set out in Appellant’s submissions.  The Certificate was issued by Co</w:t>
      </w:r>
      <w:r w:rsidR="00545A39">
        <w:t xml:space="preserve">nciliator T. </w:t>
      </w:r>
      <w:proofErr w:type="spellStart"/>
      <w:r w:rsidR="00545A39">
        <w:t>Mlilwana</w:t>
      </w:r>
      <w:proofErr w:type="spellEnd"/>
      <w:r w:rsidR="00545A39">
        <w:t xml:space="preserve"> and </w:t>
      </w:r>
      <w:r w:rsidR="009A3863">
        <w:t xml:space="preserve">duly </w:t>
      </w:r>
      <w:r w:rsidR="00545A39">
        <w:t>signed by or on behalf of both parties.</w:t>
      </w:r>
    </w:p>
    <w:p w:rsidR="00545A39" w:rsidRDefault="00545A39" w:rsidP="001C6A96">
      <w:pPr>
        <w:spacing w:line="360" w:lineRule="auto"/>
        <w:jc w:val="both"/>
      </w:pPr>
    </w:p>
    <w:p w:rsidR="00545A39" w:rsidRDefault="00545A39" w:rsidP="001C6A96">
      <w:pPr>
        <w:spacing w:line="360" w:lineRule="auto"/>
        <w:jc w:val="both"/>
      </w:pPr>
      <w:r>
        <w:t>Respondent explained his resort to conciliation the second time as follows</w:t>
      </w:r>
      <w:r w:rsidR="00D87A8E">
        <w:t>;</w:t>
      </w:r>
    </w:p>
    <w:p w:rsidR="00D87A8E" w:rsidRDefault="00D87A8E" w:rsidP="00C50551">
      <w:pPr>
        <w:jc w:val="both"/>
      </w:pPr>
    </w:p>
    <w:p w:rsidR="00D87A8E" w:rsidRPr="00F3694E" w:rsidRDefault="00D87A8E" w:rsidP="00F3694E">
      <w:pPr>
        <w:spacing w:line="276" w:lineRule="auto"/>
        <w:ind w:left="720" w:hanging="720"/>
        <w:jc w:val="both"/>
        <w:rPr>
          <w:sz w:val="22"/>
          <w:szCs w:val="22"/>
        </w:rPr>
      </w:pPr>
      <w:r w:rsidRPr="00F3694E">
        <w:rPr>
          <w:sz w:val="22"/>
          <w:szCs w:val="22"/>
        </w:rPr>
        <w:t>“6.</w:t>
      </w:r>
      <w:r w:rsidRPr="00F3694E">
        <w:rPr>
          <w:sz w:val="22"/>
          <w:szCs w:val="22"/>
        </w:rPr>
        <w:tab/>
        <w:t xml:space="preserve">The Applicant only </w:t>
      </w:r>
      <w:r w:rsidR="006A5816" w:rsidRPr="00F3694E">
        <w:rPr>
          <w:sz w:val="22"/>
          <w:szCs w:val="22"/>
        </w:rPr>
        <w:t>managed to pay $300.00 in November 2015 and</w:t>
      </w:r>
      <w:r w:rsidR="009A3863">
        <w:rPr>
          <w:sz w:val="22"/>
          <w:szCs w:val="22"/>
        </w:rPr>
        <w:t>,</w:t>
      </w:r>
      <w:r w:rsidR="006A5816" w:rsidRPr="00F3694E">
        <w:rPr>
          <w:sz w:val="22"/>
          <w:szCs w:val="22"/>
        </w:rPr>
        <w:t xml:space="preserve"> failed to pay the December instalment.  </w:t>
      </w:r>
      <w:r w:rsidR="00BE4A63" w:rsidRPr="00F3694E">
        <w:rPr>
          <w:sz w:val="22"/>
          <w:szCs w:val="22"/>
        </w:rPr>
        <w:t>After failing to pay the December instalment</w:t>
      </w:r>
      <w:r w:rsidR="005C2C79">
        <w:rPr>
          <w:sz w:val="22"/>
          <w:szCs w:val="22"/>
        </w:rPr>
        <w:t xml:space="preserve"> I</w:t>
      </w:r>
      <w:r w:rsidR="00BE4A63" w:rsidRPr="00F3694E">
        <w:rPr>
          <w:sz w:val="22"/>
          <w:szCs w:val="22"/>
        </w:rPr>
        <w:t xml:space="preserve"> </w:t>
      </w:r>
      <w:r w:rsidR="009A3863">
        <w:rPr>
          <w:sz w:val="22"/>
          <w:szCs w:val="22"/>
        </w:rPr>
        <w:t>then</w:t>
      </w:r>
      <w:r w:rsidR="00BE4A63" w:rsidRPr="00F3694E">
        <w:rPr>
          <w:sz w:val="22"/>
          <w:szCs w:val="22"/>
        </w:rPr>
        <w:t xml:space="preserve"> went on to the conciliator to lodge the complaint of non-compliance to the Certificate of </w:t>
      </w:r>
      <w:r w:rsidR="00596A71" w:rsidRPr="00F3694E">
        <w:rPr>
          <w:sz w:val="22"/>
          <w:szCs w:val="22"/>
        </w:rPr>
        <w:t>S</w:t>
      </w:r>
      <w:r w:rsidR="00BE4A63" w:rsidRPr="00F3694E">
        <w:rPr>
          <w:sz w:val="22"/>
          <w:szCs w:val="22"/>
        </w:rPr>
        <w:t>ettlement</w:t>
      </w:r>
      <w:r w:rsidR="00596A71" w:rsidRPr="00F3694E">
        <w:rPr>
          <w:sz w:val="22"/>
          <w:szCs w:val="22"/>
        </w:rPr>
        <w:t xml:space="preserve"> who then issued a Certificate of No Settlement and Reference to</w:t>
      </w:r>
      <w:r w:rsidR="008C4E6E" w:rsidRPr="00F3694E">
        <w:rPr>
          <w:sz w:val="22"/>
          <w:szCs w:val="22"/>
        </w:rPr>
        <w:t xml:space="preserve"> Arbitration.”</w:t>
      </w:r>
    </w:p>
    <w:p w:rsidR="008C4E6E" w:rsidRDefault="008C4E6E" w:rsidP="00C50551">
      <w:pPr>
        <w:ind w:left="720" w:hanging="720"/>
        <w:jc w:val="both"/>
      </w:pPr>
    </w:p>
    <w:p w:rsidR="00840A13" w:rsidRPr="00F3694E" w:rsidRDefault="00476A4E" w:rsidP="00840A13">
      <w:pPr>
        <w:spacing w:line="360" w:lineRule="auto"/>
        <w:jc w:val="both"/>
      </w:pPr>
      <w:proofErr w:type="gramStart"/>
      <w:r>
        <w:t xml:space="preserve">However the Arbitrator went on to award </w:t>
      </w:r>
      <w:r w:rsidR="009A3863">
        <w:t xml:space="preserve">an </w:t>
      </w:r>
      <w:r>
        <w:t xml:space="preserve">amount ($3 129.27) </w:t>
      </w:r>
      <w:r w:rsidR="00F26DE6">
        <w:t>fa</w:t>
      </w:r>
      <w:r w:rsidR="00E677A5">
        <w:t>r in excess of t</w:t>
      </w:r>
      <w:r w:rsidR="009A3863">
        <w:t>he amount agreed by the parties</w:t>
      </w:r>
      <w:r w:rsidR="00E677A5">
        <w:t xml:space="preserve"> ($1,426.00).</w:t>
      </w:r>
      <w:proofErr w:type="gramEnd"/>
      <w:r w:rsidR="00E677A5">
        <w:t xml:space="preserve"> What the Arbitrator simply ought to have done</w:t>
      </w:r>
      <w:r w:rsidR="005825C9">
        <w:t xml:space="preserve"> was to award what was outstanding on the agreed amount.  He wrongfully re-opened the matter and awarded items in excess of those earlier agreed by the parties.  Clearly his award cannot be sustained.  In any event Appellant has since clear</w:t>
      </w:r>
      <w:r w:rsidR="00BF5D93">
        <w:t>ed</w:t>
      </w:r>
      <w:r w:rsidR="005B13CE">
        <w:t xml:space="preserve"> the outstanding balance on the agreed amount.  Hence the award needs be set aside in its entirety.</w:t>
      </w:r>
    </w:p>
    <w:p w:rsidR="00840A13" w:rsidRDefault="00840A13" w:rsidP="00840A13">
      <w:pPr>
        <w:spacing w:line="360" w:lineRule="auto"/>
        <w:jc w:val="both"/>
        <w:rPr>
          <w:b/>
        </w:rPr>
      </w:pPr>
    </w:p>
    <w:p w:rsidR="00840A13" w:rsidRDefault="00840A13" w:rsidP="00840A13">
      <w:pPr>
        <w:spacing w:line="360" w:lineRule="auto"/>
        <w:jc w:val="both"/>
        <w:rPr>
          <w:b/>
        </w:rPr>
      </w:pPr>
    </w:p>
    <w:p w:rsidR="00840A13" w:rsidRDefault="00840A13" w:rsidP="00840A13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840A13" w:rsidRDefault="00840A13" w:rsidP="00C50551">
      <w:pPr>
        <w:jc w:val="both"/>
        <w:rPr>
          <w:b/>
        </w:rPr>
      </w:pPr>
    </w:p>
    <w:p w:rsidR="00840A13" w:rsidRDefault="00840A13" w:rsidP="00840A13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>
        <w:rPr>
          <w:b/>
        </w:rPr>
        <w:t>The appeal be and is hereby allowed; and</w:t>
      </w:r>
    </w:p>
    <w:p w:rsidR="00F3694E" w:rsidRDefault="00E871E9" w:rsidP="00E871E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The arbitration award issued by Arbitrator R.E. Nhiwatiwa dated </w:t>
      </w:r>
    </w:p>
    <w:p w:rsidR="00840A13" w:rsidRPr="00E871E9" w:rsidRDefault="00C06DF1" w:rsidP="00F3694E">
      <w:pPr>
        <w:pStyle w:val="ListParagraph"/>
        <w:spacing w:line="360" w:lineRule="auto"/>
        <w:jc w:val="both"/>
        <w:rPr>
          <w:b/>
        </w:rPr>
      </w:pPr>
      <w:r>
        <w:rPr>
          <w:b/>
        </w:rPr>
        <w:t xml:space="preserve">the </w:t>
      </w:r>
      <w:r w:rsidR="00E871E9">
        <w:rPr>
          <w:b/>
        </w:rPr>
        <w:t>7</w:t>
      </w:r>
      <w:r w:rsidR="00E871E9" w:rsidRPr="00E871E9">
        <w:rPr>
          <w:b/>
          <w:vertAlign w:val="superscript"/>
        </w:rPr>
        <w:t>th</w:t>
      </w:r>
      <w:r w:rsidR="00E871E9">
        <w:rPr>
          <w:b/>
        </w:rPr>
        <w:t xml:space="preserve"> </w:t>
      </w:r>
      <w:r w:rsidR="00F3694E">
        <w:rPr>
          <w:b/>
        </w:rPr>
        <w:t>July 2015 is set aside.</w:t>
      </w:r>
    </w:p>
    <w:p w:rsidR="00840A13" w:rsidRPr="00CD6C3C" w:rsidRDefault="00840A13" w:rsidP="00840A13">
      <w:pPr>
        <w:spacing w:line="360" w:lineRule="auto"/>
        <w:jc w:val="both"/>
        <w:rPr>
          <w:b/>
        </w:rPr>
      </w:pPr>
    </w:p>
    <w:p w:rsidR="00840A13" w:rsidRPr="008C1574" w:rsidRDefault="00840A13" w:rsidP="00840A13">
      <w:pPr>
        <w:pStyle w:val="ListParagraph"/>
        <w:spacing w:line="360" w:lineRule="auto"/>
        <w:jc w:val="both"/>
        <w:rPr>
          <w:b/>
        </w:rPr>
      </w:pPr>
    </w:p>
    <w:p w:rsidR="00840A13" w:rsidRDefault="00840A13" w:rsidP="00840A13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MUSARIRI</w:t>
      </w:r>
    </w:p>
    <w:p w:rsidR="00840A13" w:rsidRDefault="00840A13" w:rsidP="00C50551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sectPr w:rsidR="00840A13" w:rsidSect="00D1504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73" w:rsidRDefault="007E6F73" w:rsidP="00D1504E">
      <w:r>
        <w:separator/>
      </w:r>
    </w:p>
  </w:endnote>
  <w:endnote w:type="continuationSeparator" w:id="0">
    <w:p w:rsidR="007E6F73" w:rsidRDefault="007E6F73" w:rsidP="00D1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096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25C9" w:rsidRDefault="005825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5C9" w:rsidRDefault="005825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73" w:rsidRDefault="007E6F73" w:rsidP="00D1504E">
      <w:r>
        <w:separator/>
      </w:r>
    </w:p>
  </w:footnote>
  <w:footnote w:type="continuationSeparator" w:id="0">
    <w:p w:rsidR="007E6F73" w:rsidRDefault="007E6F73" w:rsidP="00D1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5C9" w:rsidRPr="00D1504E" w:rsidRDefault="005825C9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DE7840">
      <w:rPr>
        <w:lang w:val="en-ZW"/>
      </w:rPr>
      <w:t>39</w:t>
    </w:r>
    <w:r w:rsidR="00B25F03">
      <w:rPr>
        <w:lang w:val="en-ZW"/>
      </w:rPr>
      <w:t>7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BA"/>
    <w:rsid w:val="00097B61"/>
    <w:rsid w:val="000D4975"/>
    <w:rsid w:val="000D7C97"/>
    <w:rsid w:val="00132EDD"/>
    <w:rsid w:val="00161744"/>
    <w:rsid w:val="001C6A96"/>
    <w:rsid w:val="0027182E"/>
    <w:rsid w:val="0029360B"/>
    <w:rsid w:val="00351ED0"/>
    <w:rsid w:val="003940D7"/>
    <w:rsid w:val="003A6CBA"/>
    <w:rsid w:val="003D76CC"/>
    <w:rsid w:val="00427774"/>
    <w:rsid w:val="00476A4E"/>
    <w:rsid w:val="004F1109"/>
    <w:rsid w:val="00534DC1"/>
    <w:rsid w:val="005379D1"/>
    <w:rsid w:val="00545A39"/>
    <w:rsid w:val="0055074C"/>
    <w:rsid w:val="005825C9"/>
    <w:rsid w:val="00596A71"/>
    <w:rsid w:val="005B13CE"/>
    <w:rsid w:val="005C2C79"/>
    <w:rsid w:val="00624135"/>
    <w:rsid w:val="006446E5"/>
    <w:rsid w:val="006A3377"/>
    <w:rsid w:val="006A5816"/>
    <w:rsid w:val="007046E2"/>
    <w:rsid w:val="007606BD"/>
    <w:rsid w:val="007E6F73"/>
    <w:rsid w:val="008342CF"/>
    <w:rsid w:val="00835CBD"/>
    <w:rsid w:val="00840A13"/>
    <w:rsid w:val="008911DF"/>
    <w:rsid w:val="008C4E6E"/>
    <w:rsid w:val="008F5A4B"/>
    <w:rsid w:val="00902F28"/>
    <w:rsid w:val="00981BAA"/>
    <w:rsid w:val="009A3863"/>
    <w:rsid w:val="00AC62F3"/>
    <w:rsid w:val="00AD5CC5"/>
    <w:rsid w:val="00B03BED"/>
    <w:rsid w:val="00B25F03"/>
    <w:rsid w:val="00B84380"/>
    <w:rsid w:val="00BE4A63"/>
    <w:rsid w:val="00BF5D93"/>
    <w:rsid w:val="00C06DF1"/>
    <w:rsid w:val="00C50551"/>
    <w:rsid w:val="00CD2F76"/>
    <w:rsid w:val="00D00CF2"/>
    <w:rsid w:val="00D1504E"/>
    <w:rsid w:val="00D16E86"/>
    <w:rsid w:val="00D307B3"/>
    <w:rsid w:val="00D84E30"/>
    <w:rsid w:val="00D87A8E"/>
    <w:rsid w:val="00DE7840"/>
    <w:rsid w:val="00E677A5"/>
    <w:rsid w:val="00E8251A"/>
    <w:rsid w:val="00E871E9"/>
    <w:rsid w:val="00F26DE6"/>
    <w:rsid w:val="00F3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0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04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50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04E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40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0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04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50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04E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4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25</cp:revision>
  <dcterms:created xsi:type="dcterms:W3CDTF">2016-06-13T10:26:00Z</dcterms:created>
  <dcterms:modified xsi:type="dcterms:W3CDTF">2016-06-21T09:51:00Z</dcterms:modified>
</cp:coreProperties>
</file>