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872" w:rsidRPr="00285831" w:rsidRDefault="00056872" w:rsidP="00285831">
      <w:pPr>
        <w:spacing w:after="0"/>
        <w:rPr>
          <w:sz w:val="24"/>
          <w:szCs w:val="24"/>
        </w:rPr>
      </w:pPr>
      <w:bookmarkStart w:id="0" w:name="_GoBack"/>
      <w:bookmarkEnd w:id="0"/>
      <w:r w:rsidRPr="00285831">
        <w:rPr>
          <w:rFonts w:ascii="Times New Roman" w:hAnsi="Times New Roman" w:cs="Times New Roman"/>
          <w:sz w:val="24"/>
          <w:szCs w:val="24"/>
        </w:rPr>
        <w:t>MABEL DETE</w:t>
      </w:r>
    </w:p>
    <w:p w:rsidR="00056872" w:rsidRPr="00285831" w:rsidRDefault="001750B9" w:rsidP="00285831">
      <w:pPr>
        <w:spacing w:after="0"/>
        <w:rPr>
          <w:rFonts w:ascii="Times New Roman" w:hAnsi="Times New Roman" w:cs="Times New Roman"/>
          <w:sz w:val="24"/>
          <w:szCs w:val="24"/>
        </w:rPr>
      </w:pPr>
      <w:r w:rsidRPr="00285831">
        <w:rPr>
          <w:rFonts w:ascii="Times New Roman" w:hAnsi="Times New Roman" w:cs="Times New Roman"/>
          <w:sz w:val="24"/>
          <w:szCs w:val="24"/>
        </w:rPr>
        <w:t>v</w:t>
      </w:r>
      <w:r w:rsidR="00056872" w:rsidRPr="00285831">
        <w:rPr>
          <w:rFonts w:ascii="Times New Roman" w:hAnsi="Times New Roman" w:cs="Times New Roman"/>
          <w:sz w:val="24"/>
          <w:szCs w:val="24"/>
        </w:rPr>
        <w:t>ersus</w:t>
      </w:r>
    </w:p>
    <w:p w:rsidR="00056872" w:rsidRPr="00285831" w:rsidRDefault="00056872" w:rsidP="00285831">
      <w:pPr>
        <w:spacing w:after="0"/>
        <w:rPr>
          <w:rFonts w:ascii="Times New Roman" w:hAnsi="Times New Roman" w:cs="Times New Roman"/>
          <w:sz w:val="24"/>
          <w:szCs w:val="24"/>
        </w:rPr>
      </w:pPr>
      <w:r w:rsidRPr="00285831">
        <w:rPr>
          <w:rFonts w:ascii="Times New Roman" w:hAnsi="Times New Roman" w:cs="Times New Roman"/>
          <w:sz w:val="24"/>
          <w:szCs w:val="24"/>
        </w:rPr>
        <w:t>MUUNGWE INVESTMENTS (PRIVATE) LIMITED</w:t>
      </w:r>
    </w:p>
    <w:p w:rsidR="00056872" w:rsidRPr="00285831" w:rsidRDefault="001750B9" w:rsidP="00285831">
      <w:pPr>
        <w:spacing w:after="0"/>
        <w:rPr>
          <w:rFonts w:ascii="Times New Roman" w:hAnsi="Times New Roman" w:cs="Times New Roman"/>
          <w:sz w:val="24"/>
          <w:szCs w:val="24"/>
        </w:rPr>
      </w:pPr>
      <w:r w:rsidRPr="00285831">
        <w:rPr>
          <w:rFonts w:ascii="Times New Roman" w:hAnsi="Times New Roman" w:cs="Times New Roman"/>
          <w:sz w:val="24"/>
          <w:szCs w:val="24"/>
        </w:rPr>
        <w:t>a</w:t>
      </w:r>
      <w:r w:rsidR="00056872" w:rsidRPr="00285831">
        <w:rPr>
          <w:rFonts w:ascii="Times New Roman" w:hAnsi="Times New Roman" w:cs="Times New Roman"/>
          <w:sz w:val="24"/>
          <w:szCs w:val="24"/>
        </w:rPr>
        <w:t>nd</w:t>
      </w:r>
    </w:p>
    <w:p w:rsidR="00056872" w:rsidRPr="00285831" w:rsidRDefault="00481165" w:rsidP="00285831">
      <w:pPr>
        <w:spacing w:after="0"/>
        <w:rPr>
          <w:rFonts w:ascii="Times New Roman" w:hAnsi="Times New Roman" w:cs="Times New Roman"/>
          <w:sz w:val="24"/>
          <w:szCs w:val="24"/>
        </w:rPr>
      </w:pPr>
      <w:r w:rsidRPr="00285831">
        <w:rPr>
          <w:rFonts w:ascii="Times New Roman" w:hAnsi="Times New Roman" w:cs="Times New Roman"/>
          <w:sz w:val="24"/>
          <w:szCs w:val="24"/>
        </w:rPr>
        <w:t>DIDYMUS NOEL MUTASA</w:t>
      </w:r>
    </w:p>
    <w:p w:rsidR="00481165" w:rsidRPr="00285831" w:rsidRDefault="001750B9" w:rsidP="00285831">
      <w:pPr>
        <w:spacing w:after="0"/>
        <w:rPr>
          <w:rFonts w:ascii="Times New Roman" w:hAnsi="Times New Roman" w:cs="Times New Roman"/>
          <w:sz w:val="24"/>
          <w:szCs w:val="24"/>
        </w:rPr>
      </w:pPr>
      <w:r w:rsidRPr="00285831">
        <w:rPr>
          <w:rFonts w:ascii="Times New Roman" w:hAnsi="Times New Roman" w:cs="Times New Roman"/>
          <w:sz w:val="24"/>
          <w:szCs w:val="24"/>
        </w:rPr>
        <w:t>a</w:t>
      </w:r>
      <w:r w:rsidR="00481165" w:rsidRPr="00285831">
        <w:rPr>
          <w:rFonts w:ascii="Times New Roman" w:hAnsi="Times New Roman" w:cs="Times New Roman"/>
          <w:sz w:val="24"/>
          <w:szCs w:val="24"/>
        </w:rPr>
        <w:t>nd</w:t>
      </w:r>
    </w:p>
    <w:p w:rsidR="00481165" w:rsidRPr="00285831" w:rsidRDefault="00481165" w:rsidP="00285831">
      <w:pPr>
        <w:spacing w:after="0"/>
        <w:rPr>
          <w:rFonts w:ascii="Times New Roman" w:hAnsi="Times New Roman" w:cs="Times New Roman"/>
          <w:sz w:val="24"/>
          <w:szCs w:val="24"/>
        </w:rPr>
      </w:pPr>
      <w:r w:rsidRPr="00285831">
        <w:rPr>
          <w:rFonts w:ascii="Times New Roman" w:hAnsi="Times New Roman" w:cs="Times New Roman"/>
          <w:sz w:val="24"/>
          <w:szCs w:val="24"/>
        </w:rPr>
        <w:t>TEMBA PETER MLISWA</w:t>
      </w:r>
    </w:p>
    <w:p w:rsidR="00481165" w:rsidRPr="00285831" w:rsidRDefault="001750B9" w:rsidP="00285831">
      <w:pPr>
        <w:spacing w:after="0"/>
        <w:rPr>
          <w:rFonts w:ascii="Times New Roman" w:hAnsi="Times New Roman" w:cs="Times New Roman"/>
          <w:sz w:val="24"/>
          <w:szCs w:val="24"/>
        </w:rPr>
      </w:pPr>
      <w:r w:rsidRPr="00285831">
        <w:rPr>
          <w:rFonts w:ascii="Times New Roman" w:hAnsi="Times New Roman" w:cs="Times New Roman"/>
          <w:sz w:val="24"/>
          <w:szCs w:val="24"/>
        </w:rPr>
        <w:t>a</w:t>
      </w:r>
      <w:r w:rsidR="00481165" w:rsidRPr="00285831">
        <w:rPr>
          <w:rFonts w:ascii="Times New Roman" w:hAnsi="Times New Roman" w:cs="Times New Roman"/>
          <w:sz w:val="24"/>
          <w:szCs w:val="24"/>
        </w:rPr>
        <w:t>nd</w:t>
      </w:r>
    </w:p>
    <w:p w:rsidR="00481165" w:rsidRPr="00285831" w:rsidRDefault="00481165" w:rsidP="00285831">
      <w:pPr>
        <w:spacing w:after="0"/>
        <w:rPr>
          <w:rFonts w:ascii="Times New Roman" w:hAnsi="Times New Roman" w:cs="Times New Roman"/>
          <w:sz w:val="24"/>
          <w:szCs w:val="24"/>
        </w:rPr>
      </w:pPr>
      <w:r w:rsidRPr="00285831">
        <w:rPr>
          <w:rFonts w:ascii="Times New Roman" w:hAnsi="Times New Roman" w:cs="Times New Roman"/>
          <w:sz w:val="24"/>
          <w:szCs w:val="24"/>
        </w:rPr>
        <w:t>MARTIN MUTASA</w:t>
      </w:r>
    </w:p>
    <w:p w:rsidR="00481165" w:rsidRPr="00285831" w:rsidRDefault="001750B9" w:rsidP="00285831">
      <w:pPr>
        <w:spacing w:after="0"/>
        <w:rPr>
          <w:rFonts w:ascii="Times New Roman" w:hAnsi="Times New Roman" w:cs="Times New Roman"/>
          <w:sz w:val="24"/>
          <w:szCs w:val="24"/>
        </w:rPr>
      </w:pPr>
      <w:r w:rsidRPr="00285831">
        <w:rPr>
          <w:rFonts w:ascii="Times New Roman" w:hAnsi="Times New Roman" w:cs="Times New Roman"/>
          <w:sz w:val="24"/>
          <w:szCs w:val="24"/>
        </w:rPr>
        <w:t>a</w:t>
      </w:r>
      <w:r w:rsidR="00481165" w:rsidRPr="00285831">
        <w:rPr>
          <w:rFonts w:ascii="Times New Roman" w:hAnsi="Times New Roman" w:cs="Times New Roman"/>
          <w:sz w:val="24"/>
          <w:szCs w:val="24"/>
        </w:rPr>
        <w:t>nd</w:t>
      </w:r>
    </w:p>
    <w:p w:rsidR="00481165" w:rsidRPr="00285831" w:rsidRDefault="00481165" w:rsidP="00285831">
      <w:pPr>
        <w:spacing w:after="0"/>
        <w:rPr>
          <w:rFonts w:ascii="Times New Roman" w:hAnsi="Times New Roman" w:cs="Times New Roman"/>
          <w:sz w:val="24"/>
          <w:szCs w:val="24"/>
        </w:rPr>
      </w:pPr>
      <w:r w:rsidRPr="00285831">
        <w:rPr>
          <w:rFonts w:ascii="Times New Roman" w:hAnsi="Times New Roman" w:cs="Times New Roman"/>
          <w:sz w:val="24"/>
          <w:szCs w:val="24"/>
        </w:rPr>
        <w:t>THE REGISTRAR OF DEEDS N.O.</w:t>
      </w:r>
    </w:p>
    <w:p w:rsidR="00481165" w:rsidRDefault="00481165" w:rsidP="00285831">
      <w:pPr>
        <w:spacing w:after="0"/>
        <w:rPr>
          <w:rFonts w:ascii="Times New Roman" w:hAnsi="Times New Roman" w:cs="Times New Roman"/>
          <w:sz w:val="24"/>
          <w:szCs w:val="24"/>
        </w:rPr>
      </w:pPr>
    </w:p>
    <w:p w:rsidR="00285831" w:rsidRPr="00285831" w:rsidRDefault="00285831" w:rsidP="00285831">
      <w:pPr>
        <w:spacing w:after="0"/>
        <w:rPr>
          <w:rFonts w:ascii="Times New Roman" w:hAnsi="Times New Roman" w:cs="Times New Roman"/>
          <w:sz w:val="24"/>
          <w:szCs w:val="24"/>
        </w:rPr>
      </w:pPr>
    </w:p>
    <w:p w:rsidR="00481165" w:rsidRPr="00285831" w:rsidRDefault="00481165" w:rsidP="00285831">
      <w:pPr>
        <w:spacing w:after="0"/>
        <w:rPr>
          <w:rFonts w:ascii="Times New Roman" w:hAnsi="Times New Roman" w:cs="Times New Roman"/>
          <w:sz w:val="24"/>
          <w:szCs w:val="24"/>
        </w:rPr>
      </w:pPr>
      <w:r w:rsidRPr="00285831">
        <w:rPr>
          <w:rFonts w:ascii="Times New Roman" w:hAnsi="Times New Roman" w:cs="Times New Roman"/>
          <w:sz w:val="24"/>
          <w:szCs w:val="24"/>
        </w:rPr>
        <w:t>HIGH COURT OF ZIMBABWE</w:t>
      </w:r>
    </w:p>
    <w:p w:rsidR="00481165" w:rsidRPr="00285831" w:rsidRDefault="00481165" w:rsidP="00285831">
      <w:pPr>
        <w:spacing w:after="0"/>
        <w:rPr>
          <w:rFonts w:ascii="Times New Roman" w:hAnsi="Times New Roman" w:cs="Times New Roman"/>
          <w:sz w:val="24"/>
          <w:szCs w:val="24"/>
        </w:rPr>
      </w:pPr>
      <w:r w:rsidRPr="00285831">
        <w:rPr>
          <w:rFonts w:ascii="Times New Roman" w:hAnsi="Times New Roman" w:cs="Times New Roman"/>
          <w:sz w:val="24"/>
          <w:szCs w:val="24"/>
        </w:rPr>
        <w:t>ZHOU J</w:t>
      </w:r>
    </w:p>
    <w:p w:rsidR="00481165" w:rsidRPr="00285831" w:rsidRDefault="00345A1A" w:rsidP="00285831">
      <w:pPr>
        <w:spacing w:after="0"/>
        <w:rPr>
          <w:rFonts w:ascii="Times New Roman" w:hAnsi="Times New Roman" w:cs="Times New Roman"/>
          <w:sz w:val="24"/>
          <w:szCs w:val="24"/>
        </w:rPr>
      </w:pPr>
      <w:r w:rsidRPr="00285831">
        <w:rPr>
          <w:rFonts w:ascii="Times New Roman" w:hAnsi="Times New Roman" w:cs="Times New Roman"/>
          <w:sz w:val="24"/>
          <w:szCs w:val="24"/>
        </w:rPr>
        <w:t>HARARE, 12 October 2020 &amp; 17</w:t>
      </w:r>
      <w:r w:rsidR="00A0117E" w:rsidRPr="00285831">
        <w:rPr>
          <w:rFonts w:ascii="Times New Roman" w:hAnsi="Times New Roman" w:cs="Times New Roman"/>
          <w:sz w:val="24"/>
          <w:szCs w:val="24"/>
        </w:rPr>
        <w:t xml:space="preserve"> February 2022</w:t>
      </w:r>
    </w:p>
    <w:p w:rsidR="00481165" w:rsidRDefault="00481165" w:rsidP="00285831">
      <w:pPr>
        <w:spacing w:after="0"/>
        <w:rPr>
          <w:rFonts w:ascii="Times New Roman" w:hAnsi="Times New Roman" w:cs="Times New Roman"/>
          <w:sz w:val="24"/>
          <w:szCs w:val="24"/>
        </w:rPr>
      </w:pPr>
    </w:p>
    <w:p w:rsidR="00285831" w:rsidRPr="00285831" w:rsidRDefault="00285831" w:rsidP="00285831">
      <w:pPr>
        <w:spacing w:after="0"/>
        <w:rPr>
          <w:rFonts w:ascii="Times New Roman" w:hAnsi="Times New Roman" w:cs="Times New Roman"/>
          <w:sz w:val="24"/>
          <w:szCs w:val="24"/>
        </w:rPr>
      </w:pPr>
    </w:p>
    <w:p w:rsidR="00481165" w:rsidRPr="00285831" w:rsidRDefault="00481165" w:rsidP="00285831">
      <w:pPr>
        <w:spacing w:after="0"/>
        <w:rPr>
          <w:rFonts w:ascii="Times New Roman" w:hAnsi="Times New Roman" w:cs="Times New Roman"/>
          <w:b/>
          <w:sz w:val="24"/>
          <w:szCs w:val="24"/>
        </w:rPr>
      </w:pPr>
      <w:r w:rsidRPr="00285831">
        <w:rPr>
          <w:rFonts w:ascii="Times New Roman" w:hAnsi="Times New Roman" w:cs="Times New Roman"/>
          <w:b/>
          <w:sz w:val="24"/>
          <w:szCs w:val="24"/>
        </w:rPr>
        <w:t>Opposed Application</w:t>
      </w:r>
    </w:p>
    <w:p w:rsidR="00481165" w:rsidRDefault="00481165" w:rsidP="00285831">
      <w:pPr>
        <w:spacing w:after="0"/>
        <w:rPr>
          <w:rFonts w:ascii="Times New Roman" w:hAnsi="Times New Roman" w:cs="Times New Roman"/>
          <w:b/>
          <w:sz w:val="24"/>
          <w:szCs w:val="24"/>
        </w:rPr>
      </w:pPr>
    </w:p>
    <w:p w:rsidR="00285831" w:rsidRPr="00285831" w:rsidRDefault="00285831" w:rsidP="00285831">
      <w:pPr>
        <w:spacing w:after="0"/>
        <w:rPr>
          <w:rFonts w:ascii="Times New Roman" w:hAnsi="Times New Roman" w:cs="Times New Roman"/>
          <w:b/>
          <w:sz w:val="24"/>
          <w:szCs w:val="24"/>
        </w:rPr>
      </w:pPr>
    </w:p>
    <w:p w:rsidR="00481165" w:rsidRPr="00285831" w:rsidRDefault="00481165" w:rsidP="00285831">
      <w:pPr>
        <w:spacing w:after="0"/>
        <w:rPr>
          <w:rFonts w:ascii="Times New Roman" w:hAnsi="Times New Roman" w:cs="Times New Roman"/>
          <w:sz w:val="24"/>
          <w:szCs w:val="24"/>
        </w:rPr>
      </w:pPr>
      <w:r w:rsidRPr="00285831">
        <w:rPr>
          <w:rFonts w:ascii="Times New Roman" w:hAnsi="Times New Roman" w:cs="Times New Roman"/>
          <w:i/>
          <w:sz w:val="24"/>
          <w:szCs w:val="24"/>
        </w:rPr>
        <w:t>T</w:t>
      </w:r>
      <w:r w:rsidR="00FC17DE">
        <w:rPr>
          <w:rFonts w:ascii="Times New Roman" w:hAnsi="Times New Roman" w:cs="Times New Roman"/>
          <w:i/>
          <w:sz w:val="24"/>
          <w:szCs w:val="24"/>
        </w:rPr>
        <w:t xml:space="preserve"> </w:t>
      </w:r>
      <w:r w:rsidRPr="00285831">
        <w:rPr>
          <w:rFonts w:ascii="Times New Roman" w:hAnsi="Times New Roman" w:cs="Times New Roman"/>
          <w:i/>
          <w:sz w:val="24"/>
          <w:szCs w:val="24"/>
        </w:rPr>
        <w:t>W Nyamakura</w:t>
      </w:r>
      <w:r w:rsidRPr="00285831">
        <w:rPr>
          <w:rFonts w:ascii="Times New Roman" w:hAnsi="Times New Roman" w:cs="Times New Roman"/>
          <w:sz w:val="24"/>
          <w:szCs w:val="24"/>
        </w:rPr>
        <w:t xml:space="preserve">, with him </w:t>
      </w:r>
      <w:r w:rsidR="00514797">
        <w:rPr>
          <w:rFonts w:ascii="Times New Roman" w:hAnsi="Times New Roman" w:cs="Times New Roman"/>
          <w:i/>
          <w:sz w:val="24"/>
          <w:szCs w:val="24"/>
        </w:rPr>
        <w:t>S K</w:t>
      </w:r>
      <w:r w:rsidRPr="00285831">
        <w:rPr>
          <w:rFonts w:ascii="Times New Roman" w:hAnsi="Times New Roman" w:cs="Times New Roman"/>
          <w:i/>
          <w:sz w:val="24"/>
          <w:szCs w:val="24"/>
        </w:rPr>
        <w:t xml:space="preserve"> Chivizhe</w:t>
      </w:r>
      <w:r w:rsidRPr="00285831">
        <w:rPr>
          <w:rFonts w:ascii="Times New Roman" w:hAnsi="Times New Roman" w:cs="Times New Roman"/>
          <w:sz w:val="24"/>
          <w:szCs w:val="24"/>
        </w:rPr>
        <w:t>, for the applicant</w:t>
      </w:r>
    </w:p>
    <w:p w:rsidR="00481165" w:rsidRPr="00285831" w:rsidRDefault="00514797" w:rsidP="00285831">
      <w:pPr>
        <w:spacing w:after="0"/>
        <w:rPr>
          <w:rFonts w:ascii="Times New Roman" w:hAnsi="Times New Roman" w:cs="Times New Roman"/>
          <w:sz w:val="24"/>
          <w:szCs w:val="24"/>
        </w:rPr>
      </w:pPr>
      <w:r>
        <w:rPr>
          <w:rFonts w:ascii="Times New Roman" w:hAnsi="Times New Roman" w:cs="Times New Roman"/>
          <w:i/>
          <w:sz w:val="24"/>
          <w:szCs w:val="24"/>
        </w:rPr>
        <w:t>T</w:t>
      </w:r>
      <w:r w:rsidR="00481165" w:rsidRPr="00285831">
        <w:rPr>
          <w:rFonts w:ascii="Times New Roman" w:hAnsi="Times New Roman" w:cs="Times New Roman"/>
          <w:i/>
          <w:sz w:val="24"/>
          <w:szCs w:val="24"/>
        </w:rPr>
        <w:t xml:space="preserve"> Makamure</w:t>
      </w:r>
      <w:r w:rsidR="00481165" w:rsidRPr="00285831">
        <w:rPr>
          <w:rFonts w:ascii="Times New Roman" w:hAnsi="Times New Roman" w:cs="Times New Roman"/>
          <w:sz w:val="24"/>
          <w:szCs w:val="24"/>
        </w:rPr>
        <w:t xml:space="preserve">, with him </w:t>
      </w:r>
      <w:r>
        <w:rPr>
          <w:rFonts w:ascii="Times New Roman" w:hAnsi="Times New Roman" w:cs="Times New Roman"/>
          <w:i/>
          <w:sz w:val="24"/>
          <w:szCs w:val="24"/>
        </w:rPr>
        <w:t>V</w:t>
      </w:r>
      <w:r w:rsidR="00481165" w:rsidRPr="00285831">
        <w:rPr>
          <w:rFonts w:ascii="Times New Roman" w:hAnsi="Times New Roman" w:cs="Times New Roman"/>
          <w:i/>
          <w:sz w:val="24"/>
          <w:szCs w:val="24"/>
        </w:rPr>
        <w:t xml:space="preserve"> Mhungu</w:t>
      </w:r>
      <w:r w:rsidR="00481165" w:rsidRPr="00285831">
        <w:rPr>
          <w:rFonts w:ascii="Times New Roman" w:hAnsi="Times New Roman" w:cs="Times New Roman"/>
          <w:sz w:val="24"/>
          <w:szCs w:val="24"/>
        </w:rPr>
        <w:t>, for the second respondent</w:t>
      </w:r>
    </w:p>
    <w:p w:rsidR="00481165" w:rsidRPr="00285831" w:rsidRDefault="00481165" w:rsidP="00285831">
      <w:pPr>
        <w:spacing w:after="0"/>
        <w:rPr>
          <w:rFonts w:ascii="Times New Roman" w:hAnsi="Times New Roman" w:cs="Times New Roman"/>
          <w:sz w:val="24"/>
          <w:szCs w:val="24"/>
        </w:rPr>
      </w:pPr>
    </w:p>
    <w:p w:rsidR="00490915" w:rsidRPr="00285831" w:rsidRDefault="00481165" w:rsidP="00285831">
      <w:pPr>
        <w:spacing w:after="0" w:line="360" w:lineRule="auto"/>
        <w:ind w:firstLine="720"/>
        <w:jc w:val="both"/>
        <w:rPr>
          <w:rFonts w:ascii="Times New Roman" w:hAnsi="Times New Roman" w:cs="Times New Roman"/>
          <w:sz w:val="24"/>
          <w:szCs w:val="24"/>
        </w:rPr>
      </w:pPr>
      <w:r w:rsidRPr="00285831">
        <w:rPr>
          <w:rFonts w:ascii="Times New Roman" w:hAnsi="Times New Roman" w:cs="Times New Roman"/>
          <w:sz w:val="24"/>
          <w:szCs w:val="24"/>
        </w:rPr>
        <w:t xml:space="preserve">ZHOU J: </w:t>
      </w:r>
      <w:r w:rsidR="001750B9" w:rsidRPr="00285831">
        <w:rPr>
          <w:rFonts w:ascii="Times New Roman" w:hAnsi="Times New Roman" w:cs="Times New Roman"/>
          <w:sz w:val="24"/>
          <w:szCs w:val="24"/>
        </w:rPr>
        <w:t xml:space="preserve">   </w:t>
      </w:r>
      <w:r w:rsidRPr="00285831">
        <w:rPr>
          <w:rFonts w:ascii="Times New Roman" w:hAnsi="Times New Roman" w:cs="Times New Roman"/>
          <w:sz w:val="24"/>
          <w:szCs w:val="24"/>
        </w:rPr>
        <w:t>This is</w:t>
      </w:r>
      <w:r w:rsidR="00400915" w:rsidRPr="00285831">
        <w:rPr>
          <w:rFonts w:ascii="Times New Roman" w:hAnsi="Times New Roman" w:cs="Times New Roman"/>
          <w:sz w:val="24"/>
          <w:szCs w:val="24"/>
        </w:rPr>
        <w:t xml:space="preserve"> an application</w:t>
      </w:r>
      <w:r w:rsidR="00490915" w:rsidRPr="00285831">
        <w:rPr>
          <w:rFonts w:ascii="Times New Roman" w:hAnsi="Times New Roman" w:cs="Times New Roman"/>
          <w:sz w:val="24"/>
          <w:szCs w:val="24"/>
        </w:rPr>
        <w:t xml:space="preserve"> instituted in terms of s 196 of the Companies Act [</w:t>
      </w:r>
      <w:r w:rsidR="00285831">
        <w:rPr>
          <w:rFonts w:ascii="Times New Roman" w:hAnsi="Times New Roman" w:cs="Times New Roman"/>
          <w:i/>
          <w:sz w:val="24"/>
          <w:szCs w:val="24"/>
        </w:rPr>
        <w:t>Chapter </w:t>
      </w:r>
      <w:r w:rsidR="00490915" w:rsidRPr="00285831">
        <w:rPr>
          <w:rFonts w:ascii="Times New Roman" w:hAnsi="Times New Roman" w:cs="Times New Roman"/>
          <w:i/>
          <w:sz w:val="24"/>
          <w:szCs w:val="24"/>
        </w:rPr>
        <w:t>24:03</w:t>
      </w:r>
      <w:r w:rsidR="00490915" w:rsidRPr="00285831">
        <w:rPr>
          <w:rFonts w:ascii="Times New Roman" w:hAnsi="Times New Roman" w:cs="Times New Roman"/>
          <w:sz w:val="24"/>
          <w:szCs w:val="24"/>
        </w:rPr>
        <w:t>].  The applicant, who asse</w:t>
      </w:r>
      <w:r w:rsidR="00345A1A" w:rsidRPr="00285831">
        <w:rPr>
          <w:rFonts w:ascii="Times New Roman" w:hAnsi="Times New Roman" w:cs="Times New Roman"/>
          <w:sz w:val="24"/>
          <w:szCs w:val="24"/>
        </w:rPr>
        <w:t>r</w:t>
      </w:r>
      <w:r w:rsidR="00490915" w:rsidRPr="00285831">
        <w:rPr>
          <w:rFonts w:ascii="Times New Roman" w:hAnsi="Times New Roman" w:cs="Times New Roman"/>
          <w:sz w:val="24"/>
          <w:szCs w:val="24"/>
        </w:rPr>
        <w:t xml:space="preserve">ts that she is a shareholder, holding 10 percent of the shares, in the first respondent, complains about the manner in which the </w:t>
      </w:r>
      <w:r w:rsidR="00345A1A" w:rsidRPr="00285831">
        <w:rPr>
          <w:rFonts w:ascii="Times New Roman" w:hAnsi="Times New Roman" w:cs="Times New Roman"/>
          <w:sz w:val="24"/>
          <w:szCs w:val="24"/>
        </w:rPr>
        <w:t>affairs of the first respondent are</w:t>
      </w:r>
      <w:r w:rsidR="00490915" w:rsidRPr="00285831">
        <w:rPr>
          <w:rFonts w:ascii="Times New Roman" w:hAnsi="Times New Roman" w:cs="Times New Roman"/>
          <w:sz w:val="24"/>
          <w:szCs w:val="24"/>
        </w:rPr>
        <w:t xml:space="preserve"> </w:t>
      </w:r>
      <w:r w:rsidR="00345A1A" w:rsidRPr="00285831">
        <w:rPr>
          <w:rFonts w:ascii="Times New Roman" w:hAnsi="Times New Roman" w:cs="Times New Roman"/>
          <w:sz w:val="24"/>
          <w:szCs w:val="24"/>
        </w:rPr>
        <w:t>being conducted</w:t>
      </w:r>
      <w:r w:rsidR="00490915" w:rsidRPr="00285831">
        <w:rPr>
          <w:rFonts w:ascii="Times New Roman" w:hAnsi="Times New Roman" w:cs="Times New Roman"/>
          <w:sz w:val="24"/>
          <w:szCs w:val="24"/>
        </w:rPr>
        <w:t xml:space="preserve"> by the second respondent who is the majority shareholder. The application is opposed by the second respondent.</w:t>
      </w:r>
    </w:p>
    <w:p w:rsidR="00490915" w:rsidRPr="00285831" w:rsidRDefault="00490915" w:rsidP="00285831">
      <w:pPr>
        <w:spacing w:after="0" w:line="360" w:lineRule="auto"/>
        <w:jc w:val="both"/>
        <w:rPr>
          <w:rFonts w:ascii="Times New Roman" w:hAnsi="Times New Roman" w:cs="Times New Roman"/>
          <w:b/>
          <w:sz w:val="24"/>
          <w:szCs w:val="24"/>
          <w:u w:val="single"/>
        </w:rPr>
      </w:pPr>
      <w:r w:rsidRPr="00285831">
        <w:rPr>
          <w:rFonts w:ascii="Times New Roman" w:hAnsi="Times New Roman" w:cs="Times New Roman"/>
          <w:b/>
          <w:sz w:val="24"/>
          <w:szCs w:val="24"/>
          <w:u w:val="single"/>
        </w:rPr>
        <w:t>Background</w:t>
      </w:r>
    </w:p>
    <w:p w:rsidR="00B976D1" w:rsidRPr="00285831" w:rsidRDefault="00490915" w:rsidP="00285831">
      <w:pPr>
        <w:spacing w:after="0" w:line="360" w:lineRule="auto"/>
        <w:ind w:firstLine="720"/>
        <w:jc w:val="both"/>
        <w:rPr>
          <w:rFonts w:ascii="Times New Roman" w:hAnsi="Times New Roman" w:cs="Times New Roman"/>
          <w:sz w:val="24"/>
          <w:szCs w:val="24"/>
        </w:rPr>
      </w:pPr>
      <w:r w:rsidRPr="00285831">
        <w:rPr>
          <w:rFonts w:ascii="Times New Roman" w:hAnsi="Times New Roman" w:cs="Times New Roman"/>
          <w:sz w:val="24"/>
          <w:szCs w:val="24"/>
        </w:rPr>
        <w:t>The first respondent</w:t>
      </w:r>
      <w:r w:rsidR="00155FB3" w:rsidRPr="00285831">
        <w:rPr>
          <w:rFonts w:ascii="Times New Roman" w:hAnsi="Times New Roman" w:cs="Times New Roman"/>
          <w:sz w:val="24"/>
          <w:szCs w:val="24"/>
        </w:rPr>
        <w:t xml:space="preserve"> is a company in which the applicant and the second, third and fourth respondents are presented as the shareholders.  The second respondent holds 70 percent shareholding while each of the other three holds 10 percent of the shares.  The shareholding structure is contained in an agreement signed by the parties.</w:t>
      </w:r>
      <w:r w:rsidR="00AD2F83" w:rsidRPr="00285831">
        <w:rPr>
          <w:rFonts w:ascii="Times New Roman" w:hAnsi="Times New Roman" w:cs="Times New Roman"/>
          <w:sz w:val="24"/>
          <w:szCs w:val="24"/>
        </w:rPr>
        <w:t xml:space="preserve">  In 2007 the first respondent was allocated tracts of land by the Government through the relevant Ministry.  The land was meant for the development of residential properties, industrial use, commercial use, and for the construction of a hotel.  The land was registered in the name of the first respondent under the following</w:t>
      </w:r>
      <w:r w:rsidR="00AA7D44" w:rsidRPr="00285831">
        <w:rPr>
          <w:rFonts w:ascii="Times New Roman" w:hAnsi="Times New Roman" w:cs="Times New Roman"/>
          <w:sz w:val="24"/>
          <w:szCs w:val="24"/>
        </w:rPr>
        <w:t xml:space="preserve"> deeds: </w:t>
      </w:r>
      <w:r w:rsidR="00AA7D44" w:rsidRPr="00285831">
        <w:rPr>
          <w:rFonts w:ascii="Times New Roman" w:hAnsi="Times New Roman" w:cs="Times New Roman"/>
          <w:sz w:val="24"/>
          <w:szCs w:val="24"/>
        </w:rPr>
        <w:lastRenderedPageBreak/>
        <w:t>Deed of Transfer Number</w:t>
      </w:r>
      <w:r w:rsidR="00AD2F83" w:rsidRPr="00285831">
        <w:rPr>
          <w:rFonts w:ascii="Times New Roman" w:hAnsi="Times New Roman" w:cs="Times New Roman"/>
          <w:sz w:val="24"/>
          <w:szCs w:val="24"/>
        </w:rPr>
        <w:t xml:space="preserve"> 7972/2008, </w:t>
      </w:r>
      <w:r w:rsidR="00AA7D44" w:rsidRPr="00285831">
        <w:rPr>
          <w:rFonts w:ascii="Times New Roman" w:hAnsi="Times New Roman" w:cs="Times New Roman"/>
          <w:sz w:val="24"/>
          <w:szCs w:val="24"/>
        </w:rPr>
        <w:t xml:space="preserve">Deed of Grant Number </w:t>
      </w:r>
      <w:r w:rsidR="00AD2F83" w:rsidRPr="00285831">
        <w:rPr>
          <w:rFonts w:ascii="Times New Roman" w:hAnsi="Times New Roman" w:cs="Times New Roman"/>
          <w:sz w:val="24"/>
          <w:szCs w:val="24"/>
        </w:rPr>
        <w:t xml:space="preserve">6600/2008 and </w:t>
      </w:r>
      <w:r w:rsidR="00AA7D44" w:rsidRPr="00285831">
        <w:rPr>
          <w:rFonts w:ascii="Times New Roman" w:hAnsi="Times New Roman" w:cs="Times New Roman"/>
          <w:sz w:val="24"/>
          <w:szCs w:val="24"/>
        </w:rPr>
        <w:t xml:space="preserve">Deed of Grant Number </w:t>
      </w:r>
      <w:r w:rsidR="001750B9" w:rsidRPr="00285831">
        <w:rPr>
          <w:rFonts w:ascii="Times New Roman" w:hAnsi="Times New Roman" w:cs="Times New Roman"/>
          <w:sz w:val="24"/>
          <w:szCs w:val="24"/>
        </w:rPr>
        <w:t>8874/2008.  The a</w:t>
      </w:r>
      <w:r w:rsidR="00AD2F83" w:rsidRPr="00285831">
        <w:rPr>
          <w:rFonts w:ascii="Times New Roman" w:hAnsi="Times New Roman" w:cs="Times New Roman"/>
          <w:sz w:val="24"/>
          <w:szCs w:val="24"/>
        </w:rPr>
        <w:t>pplicant states that she was the Project Coordinator for the first respondent</w:t>
      </w:r>
      <w:r w:rsidR="00D84B29" w:rsidRPr="00285831">
        <w:rPr>
          <w:rFonts w:ascii="Times New Roman" w:hAnsi="Times New Roman" w:cs="Times New Roman"/>
          <w:sz w:val="24"/>
          <w:szCs w:val="24"/>
        </w:rPr>
        <w:t>.  She details what she did in respect of the acquisition and registration of the properties in t</w:t>
      </w:r>
      <w:r w:rsidR="00D731E5" w:rsidRPr="00285831">
        <w:rPr>
          <w:rFonts w:ascii="Times New Roman" w:hAnsi="Times New Roman" w:cs="Times New Roman"/>
          <w:sz w:val="24"/>
          <w:szCs w:val="24"/>
        </w:rPr>
        <w:t>he name of the first respondent and in doin</w:t>
      </w:r>
      <w:r w:rsidR="001750B9" w:rsidRPr="00285831">
        <w:rPr>
          <w:rFonts w:ascii="Times New Roman" w:hAnsi="Times New Roman" w:cs="Times New Roman"/>
          <w:sz w:val="24"/>
          <w:szCs w:val="24"/>
        </w:rPr>
        <w:t>g other work for the company.  The a</w:t>
      </w:r>
      <w:r w:rsidR="00D731E5" w:rsidRPr="00285831">
        <w:rPr>
          <w:rFonts w:ascii="Times New Roman" w:hAnsi="Times New Roman" w:cs="Times New Roman"/>
          <w:sz w:val="24"/>
          <w:szCs w:val="24"/>
        </w:rPr>
        <w:t xml:space="preserve">pplicant resigned as director of the first respondent in 2017 but retained her shareholding.  </w:t>
      </w:r>
    </w:p>
    <w:p w:rsidR="001750B9" w:rsidRPr="00285831" w:rsidRDefault="00D731E5" w:rsidP="00285831">
      <w:pPr>
        <w:spacing w:after="0" w:line="360" w:lineRule="auto"/>
        <w:ind w:firstLine="720"/>
        <w:jc w:val="both"/>
        <w:rPr>
          <w:rFonts w:ascii="Times New Roman" w:hAnsi="Times New Roman" w:cs="Times New Roman"/>
          <w:sz w:val="24"/>
          <w:szCs w:val="24"/>
        </w:rPr>
      </w:pPr>
      <w:r w:rsidRPr="00285831">
        <w:rPr>
          <w:rFonts w:ascii="Times New Roman" w:hAnsi="Times New Roman" w:cs="Times New Roman"/>
          <w:sz w:val="24"/>
          <w:szCs w:val="24"/>
        </w:rPr>
        <w:t>She alleges that she has discovered that the second respondent who is the Chairman and a director</w:t>
      </w:r>
      <w:r w:rsidR="00B976D1" w:rsidRPr="00285831">
        <w:rPr>
          <w:rFonts w:ascii="Times New Roman" w:hAnsi="Times New Roman" w:cs="Times New Roman"/>
          <w:sz w:val="24"/>
          <w:szCs w:val="24"/>
        </w:rPr>
        <w:t xml:space="preserve"> is managing the affairs of the first respondent in a manner which is </w:t>
      </w:r>
      <w:r w:rsidR="00C051A7" w:rsidRPr="00285831">
        <w:rPr>
          <w:rFonts w:ascii="Times New Roman" w:hAnsi="Times New Roman" w:cs="Times New Roman"/>
          <w:sz w:val="24"/>
          <w:szCs w:val="24"/>
        </w:rPr>
        <w:t xml:space="preserve">oppressive and </w:t>
      </w:r>
      <w:r w:rsidR="00B976D1" w:rsidRPr="00285831">
        <w:rPr>
          <w:rFonts w:ascii="Times New Roman" w:hAnsi="Times New Roman" w:cs="Times New Roman"/>
          <w:sz w:val="24"/>
          <w:szCs w:val="24"/>
        </w:rPr>
        <w:t>pre</w:t>
      </w:r>
      <w:r w:rsidR="001750B9" w:rsidRPr="00285831">
        <w:rPr>
          <w:rFonts w:ascii="Times New Roman" w:hAnsi="Times New Roman" w:cs="Times New Roman"/>
          <w:sz w:val="24"/>
          <w:szCs w:val="24"/>
        </w:rPr>
        <w:t>-</w:t>
      </w:r>
      <w:r w:rsidR="00B976D1" w:rsidRPr="00285831">
        <w:rPr>
          <w:rFonts w:ascii="Times New Roman" w:hAnsi="Times New Roman" w:cs="Times New Roman"/>
          <w:sz w:val="24"/>
          <w:szCs w:val="24"/>
        </w:rPr>
        <w:t>judicial to her interests and those of the other shareholders.</w:t>
      </w:r>
      <w:r w:rsidR="001750B9" w:rsidRPr="00285831">
        <w:rPr>
          <w:rFonts w:ascii="Times New Roman" w:hAnsi="Times New Roman" w:cs="Times New Roman"/>
          <w:sz w:val="24"/>
          <w:szCs w:val="24"/>
        </w:rPr>
        <w:t xml:space="preserve">  The a</w:t>
      </w:r>
      <w:r w:rsidR="0021106A" w:rsidRPr="00285831">
        <w:rPr>
          <w:rFonts w:ascii="Times New Roman" w:hAnsi="Times New Roman" w:cs="Times New Roman"/>
          <w:sz w:val="24"/>
          <w:szCs w:val="24"/>
        </w:rPr>
        <w:t>pplicant states that the second respondent has encumbered the immovable properties by mortgage bonds executed to secure loans which he took in his individual capacity and for his personal gain.  The mortgage loans are said to have been taken without the consent and authority of the other directors and shareholders of the first respondent.  The applicant gives a detailed narration of the mortgage bonds registered on the properties at the instance of the second respondent.  The total amount of the loan secured through the mortgage bonds is USD1 135 000</w:t>
      </w:r>
      <w:r w:rsidR="00C051A7" w:rsidRPr="00285831">
        <w:rPr>
          <w:rFonts w:ascii="Times New Roman" w:hAnsi="Times New Roman" w:cs="Times New Roman"/>
          <w:sz w:val="24"/>
          <w:szCs w:val="24"/>
        </w:rPr>
        <w:t>.00</w:t>
      </w:r>
      <w:r w:rsidR="0021106A" w:rsidRPr="00285831">
        <w:rPr>
          <w:rFonts w:ascii="Times New Roman" w:hAnsi="Times New Roman" w:cs="Times New Roman"/>
          <w:sz w:val="24"/>
          <w:szCs w:val="24"/>
        </w:rPr>
        <w:t xml:space="preserve"> which, according to the applicant, exceeds the value of the properties which is USD1 100 000.00</w:t>
      </w:r>
      <w:r w:rsidR="00C051A7" w:rsidRPr="00285831">
        <w:rPr>
          <w:rFonts w:ascii="Times New Roman" w:hAnsi="Times New Roman" w:cs="Times New Roman"/>
          <w:sz w:val="24"/>
          <w:szCs w:val="24"/>
        </w:rPr>
        <w:t>.  The loans are not for the ben</w:t>
      </w:r>
      <w:r w:rsidR="001750B9" w:rsidRPr="00285831">
        <w:rPr>
          <w:rFonts w:ascii="Times New Roman" w:hAnsi="Times New Roman" w:cs="Times New Roman"/>
          <w:sz w:val="24"/>
          <w:szCs w:val="24"/>
        </w:rPr>
        <w:t>efit of the first respondent.  The a</w:t>
      </w:r>
      <w:r w:rsidR="00C051A7" w:rsidRPr="00285831">
        <w:rPr>
          <w:rFonts w:ascii="Times New Roman" w:hAnsi="Times New Roman" w:cs="Times New Roman"/>
          <w:sz w:val="24"/>
          <w:szCs w:val="24"/>
        </w:rPr>
        <w:t>pplicant contends that she is entitled to convert her 10 percent shareholding into land title as provided for in the shareholders’ agreement.  She states that she is entitled to 110 hectares of land.</w:t>
      </w:r>
    </w:p>
    <w:p w:rsidR="001C2AD7" w:rsidRPr="00285831" w:rsidRDefault="005759BF" w:rsidP="00285831">
      <w:pPr>
        <w:spacing w:after="0" w:line="360" w:lineRule="auto"/>
        <w:ind w:firstLine="720"/>
        <w:jc w:val="both"/>
        <w:rPr>
          <w:rFonts w:ascii="Times New Roman" w:hAnsi="Times New Roman" w:cs="Times New Roman"/>
          <w:sz w:val="24"/>
          <w:szCs w:val="24"/>
        </w:rPr>
      </w:pPr>
      <w:r w:rsidRPr="00285831">
        <w:rPr>
          <w:rFonts w:ascii="Times New Roman" w:hAnsi="Times New Roman" w:cs="Times New Roman"/>
          <w:sz w:val="24"/>
          <w:szCs w:val="24"/>
        </w:rPr>
        <w:t>The second respondent through an affidavit deposed to by his legal practitioner, has opposed the application on what are perceived to be questions of law.  In other words, in the absence of an affidavit by the second respondent hi</w:t>
      </w:r>
      <w:r w:rsidR="00F342A9" w:rsidRPr="00285831">
        <w:rPr>
          <w:rFonts w:ascii="Times New Roman" w:hAnsi="Times New Roman" w:cs="Times New Roman"/>
          <w:sz w:val="24"/>
          <w:szCs w:val="24"/>
        </w:rPr>
        <w:t>mself all the averments of fact</w:t>
      </w:r>
      <w:r w:rsidRPr="00285831">
        <w:rPr>
          <w:rFonts w:ascii="Times New Roman" w:hAnsi="Times New Roman" w:cs="Times New Roman"/>
          <w:sz w:val="24"/>
          <w:szCs w:val="24"/>
        </w:rPr>
        <w:t xml:space="preserve"> as contained in the applicant’s founding affidavit must be taken as admitted because they have not been disp</w:t>
      </w:r>
      <w:r w:rsidR="001750B9" w:rsidRPr="00285831">
        <w:rPr>
          <w:rFonts w:ascii="Times New Roman" w:hAnsi="Times New Roman" w:cs="Times New Roman"/>
          <w:sz w:val="24"/>
          <w:szCs w:val="24"/>
        </w:rPr>
        <w:t xml:space="preserve">uted.  </w:t>
      </w:r>
      <w:r w:rsidRPr="00285831">
        <w:rPr>
          <w:rFonts w:ascii="Times New Roman" w:hAnsi="Times New Roman" w:cs="Times New Roman"/>
          <w:sz w:val="24"/>
          <w:szCs w:val="24"/>
        </w:rPr>
        <w:t xml:space="preserve"> </w:t>
      </w:r>
      <w:r w:rsidR="001750B9" w:rsidRPr="00285831">
        <w:rPr>
          <w:rFonts w:ascii="Times New Roman" w:hAnsi="Times New Roman" w:cs="Times New Roman"/>
          <w:sz w:val="24"/>
          <w:szCs w:val="24"/>
        </w:rPr>
        <w:t>(</w:t>
      </w:r>
      <w:r w:rsidR="00285831">
        <w:rPr>
          <w:rFonts w:ascii="Times New Roman" w:hAnsi="Times New Roman" w:cs="Times New Roman"/>
          <w:sz w:val="24"/>
          <w:szCs w:val="24"/>
        </w:rPr>
        <w:t>S</w:t>
      </w:r>
      <w:r w:rsidRPr="00285831">
        <w:rPr>
          <w:rFonts w:ascii="Times New Roman" w:hAnsi="Times New Roman" w:cs="Times New Roman"/>
          <w:sz w:val="24"/>
          <w:szCs w:val="24"/>
        </w:rPr>
        <w:t xml:space="preserve">ee </w:t>
      </w:r>
      <w:r w:rsidRPr="00285831">
        <w:rPr>
          <w:rFonts w:ascii="Times New Roman" w:hAnsi="Times New Roman" w:cs="Times New Roman"/>
          <w:i/>
          <w:sz w:val="24"/>
          <w:szCs w:val="24"/>
        </w:rPr>
        <w:t xml:space="preserve">Fawcett Security Ops </w:t>
      </w:r>
      <w:r w:rsidRPr="00285831">
        <w:rPr>
          <w:rFonts w:ascii="Times New Roman" w:hAnsi="Times New Roman" w:cs="Times New Roman"/>
          <w:sz w:val="24"/>
          <w:szCs w:val="24"/>
        </w:rPr>
        <w:t>(</w:t>
      </w:r>
      <w:r w:rsidRPr="00285831">
        <w:rPr>
          <w:rFonts w:ascii="Times New Roman" w:hAnsi="Times New Roman" w:cs="Times New Roman"/>
          <w:i/>
          <w:sz w:val="24"/>
          <w:szCs w:val="24"/>
        </w:rPr>
        <w:t>Pvt</w:t>
      </w:r>
      <w:r w:rsidRPr="00285831">
        <w:rPr>
          <w:rFonts w:ascii="Times New Roman" w:hAnsi="Times New Roman" w:cs="Times New Roman"/>
          <w:sz w:val="24"/>
          <w:szCs w:val="24"/>
        </w:rPr>
        <w:t>)</w:t>
      </w:r>
      <w:r w:rsidRPr="00285831">
        <w:rPr>
          <w:rFonts w:ascii="Times New Roman" w:hAnsi="Times New Roman" w:cs="Times New Roman"/>
          <w:i/>
          <w:sz w:val="24"/>
          <w:szCs w:val="24"/>
        </w:rPr>
        <w:t xml:space="preserve"> Ltd </w:t>
      </w:r>
      <w:r w:rsidRPr="00285831">
        <w:rPr>
          <w:rFonts w:ascii="Times New Roman" w:hAnsi="Times New Roman" w:cs="Times New Roman"/>
          <w:sz w:val="24"/>
          <w:szCs w:val="24"/>
        </w:rPr>
        <w:t>v</w:t>
      </w:r>
      <w:r w:rsidRPr="00285831">
        <w:rPr>
          <w:rFonts w:ascii="Times New Roman" w:hAnsi="Times New Roman" w:cs="Times New Roman"/>
          <w:i/>
          <w:sz w:val="24"/>
          <w:szCs w:val="24"/>
        </w:rPr>
        <w:t xml:space="preserve"> Director of Customs &amp; Excise </w:t>
      </w:r>
      <w:r w:rsidRPr="00285831">
        <w:rPr>
          <w:rFonts w:ascii="Times New Roman" w:hAnsi="Times New Roman" w:cs="Times New Roman"/>
          <w:sz w:val="24"/>
          <w:szCs w:val="24"/>
        </w:rPr>
        <w:t>1993 (2) ZLR 121(S) at 127F;</w:t>
      </w:r>
      <w:r w:rsidR="00FC5905" w:rsidRPr="00285831">
        <w:rPr>
          <w:rFonts w:ascii="Times New Roman" w:hAnsi="Times New Roman" w:cs="Times New Roman"/>
          <w:sz w:val="24"/>
          <w:szCs w:val="24"/>
        </w:rPr>
        <w:t xml:space="preserve"> </w:t>
      </w:r>
      <w:r w:rsidR="00FC5905" w:rsidRPr="00285831">
        <w:rPr>
          <w:rFonts w:ascii="Times New Roman" w:hAnsi="Times New Roman" w:cs="Times New Roman"/>
          <w:i/>
          <w:sz w:val="24"/>
          <w:szCs w:val="24"/>
        </w:rPr>
        <w:t xml:space="preserve">Shumba &amp; Anor </w:t>
      </w:r>
      <w:r w:rsidR="00FC5905" w:rsidRPr="00285831">
        <w:rPr>
          <w:rFonts w:ascii="Times New Roman" w:hAnsi="Times New Roman" w:cs="Times New Roman"/>
          <w:sz w:val="24"/>
          <w:szCs w:val="24"/>
        </w:rPr>
        <w:t>v</w:t>
      </w:r>
      <w:r w:rsidR="00FC5905" w:rsidRPr="00285831">
        <w:rPr>
          <w:rFonts w:ascii="Times New Roman" w:hAnsi="Times New Roman" w:cs="Times New Roman"/>
          <w:i/>
          <w:sz w:val="24"/>
          <w:szCs w:val="24"/>
        </w:rPr>
        <w:t xml:space="preserve"> ZEC &amp; Anor </w:t>
      </w:r>
      <w:r w:rsidR="0003470C">
        <w:rPr>
          <w:rFonts w:ascii="Times New Roman" w:hAnsi="Times New Roman" w:cs="Times New Roman"/>
          <w:sz w:val="24"/>
          <w:szCs w:val="24"/>
        </w:rPr>
        <w:t>2008 (2) ZLR 65(S) at 70</w:t>
      </w:r>
      <w:r w:rsidR="00FC5905" w:rsidRPr="00285831">
        <w:rPr>
          <w:rFonts w:ascii="Times New Roman" w:hAnsi="Times New Roman" w:cs="Times New Roman"/>
          <w:sz w:val="24"/>
          <w:szCs w:val="24"/>
        </w:rPr>
        <w:t xml:space="preserve">G-71A;  </w:t>
      </w:r>
      <w:r w:rsidR="00FC5905" w:rsidRPr="00285831">
        <w:rPr>
          <w:rFonts w:ascii="Times New Roman" w:hAnsi="Times New Roman" w:cs="Times New Roman"/>
          <w:i/>
          <w:sz w:val="24"/>
          <w:szCs w:val="24"/>
        </w:rPr>
        <w:t xml:space="preserve">Chindori-Chininga </w:t>
      </w:r>
      <w:r w:rsidR="00FC5905" w:rsidRPr="00285831">
        <w:rPr>
          <w:rFonts w:ascii="Times New Roman" w:hAnsi="Times New Roman" w:cs="Times New Roman"/>
          <w:sz w:val="24"/>
          <w:szCs w:val="24"/>
        </w:rPr>
        <w:t>v</w:t>
      </w:r>
      <w:r w:rsidR="00FC5905" w:rsidRPr="00285831">
        <w:rPr>
          <w:rFonts w:ascii="Times New Roman" w:hAnsi="Times New Roman" w:cs="Times New Roman"/>
          <w:i/>
          <w:sz w:val="24"/>
          <w:szCs w:val="24"/>
        </w:rPr>
        <w:t xml:space="preserve"> National Council for Negro Women </w:t>
      </w:r>
      <w:r w:rsidR="00FC5905" w:rsidRPr="00285831">
        <w:rPr>
          <w:rFonts w:ascii="Times New Roman" w:hAnsi="Times New Roman" w:cs="Times New Roman"/>
          <w:sz w:val="24"/>
          <w:szCs w:val="24"/>
        </w:rPr>
        <w:t>2001 (2) ZLR 305(H) at 308H-309A.</w:t>
      </w:r>
    </w:p>
    <w:p w:rsidR="00687A86" w:rsidRPr="00285831" w:rsidRDefault="001C2AD7" w:rsidP="00285831">
      <w:pPr>
        <w:spacing w:after="0" w:line="360" w:lineRule="auto"/>
        <w:ind w:firstLine="720"/>
        <w:jc w:val="both"/>
        <w:rPr>
          <w:rFonts w:ascii="Times New Roman" w:hAnsi="Times New Roman" w:cs="Times New Roman"/>
          <w:sz w:val="24"/>
          <w:szCs w:val="24"/>
        </w:rPr>
      </w:pPr>
      <w:r w:rsidRPr="00285831">
        <w:rPr>
          <w:rFonts w:ascii="Times New Roman" w:hAnsi="Times New Roman" w:cs="Times New Roman"/>
          <w:sz w:val="24"/>
          <w:szCs w:val="24"/>
        </w:rPr>
        <w:t xml:space="preserve">The grounds of opposition taken on behalf of the second respondent are that (a) the application is defective because it seeks to vindicate the rights of the applicant rather than those of the company; (b) </w:t>
      </w:r>
      <w:r w:rsidR="00687A86" w:rsidRPr="00285831">
        <w:rPr>
          <w:rFonts w:ascii="Times New Roman" w:hAnsi="Times New Roman" w:cs="Times New Roman"/>
          <w:sz w:val="24"/>
          <w:szCs w:val="24"/>
        </w:rPr>
        <w:t>that the application was prematurely instituted in the absence of a decision by t</w:t>
      </w:r>
      <w:r w:rsidR="009B1567" w:rsidRPr="00285831">
        <w:rPr>
          <w:rFonts w:ascii="Times New Roman" w:hAnsi="Times New Roman" w:cs="Times New Roman"/>
          <w:sz w:val="24"/>
          <w:szCs w:val="24"/>
        </w:rPr>
        <w:t>he shareholders</w:t>
      </w:r>
      <w:r w:rsidR="00687A86" w:rsidRPr="00285831">
        <w:rPr>
          <w:rFonts w:ascii="Times New Roman" w:hAnsi="Times New Roman" w:cs="Times New Roman"/>
          <w:sz w:val="24"/>
          <w:szCs w:val="24"/>
        </w:rPr>
        <w:t xml:space="preserve"> as to how to protect the rights of the first respondent; (c) that the relief sought is incompetent because it seeks to usurp the function of majority of the shareholders; and (d) that there is no cause of action because the mortgage bonds complained of pre-date the shareholders’ </w:t>
      </w:r>
      <w:r w:rsidR="00687A86" w:rsidRPr="00285831">
        <w:rPr>
          <w:rFonts w:ascii="Times New Roman" w:hAnsi="Times New Roman" w:cs="Times New Roman"/>
          <w:sz w:val="24"/>
          <w:szCs w:val="24"/>
        </w:rPr>
        <w:lastRenderedPageBreak/>
        <w:t xml:space="preserve">agreement relied upon by the applicant.  Based on this same ground, the second respondent also submits that the applicant has no </w:t>
      </w:r>
      <w:r w:rsidR="00687A86" w:rsidRPr="00285831">
        <w:rPr>
          <w:rFonts w:ascii="Times New Roman" w:hAnsi="Times New Roman" w:cs="Times New Roman"/>
          <w:i/>
          <w:sz w:val="24"/>
          <w:szCs w:val="24"/>
        </w:rPr>
        <w:t xml:space="preserve">locus standi </w:t>
      </w:r>
      <w:r w:rsidR="00687A86" w:rsidRPr="00285831">
        <w:rPr>
          <w:rFonts w:ascii="Times New Roman" w:hAnsi="Times New Roman" w:cs="Times New Roman"/>
          <w:sz w:val="24"/>
          <w:szCs w:val="24"/>
        </w:rPr>
        <w:t>to institute the proceedings for the relief sought.</w:t>
      </w:r>
    </w:p>
    <w:p w:rsidR="005B6D4E" w:rsidRPr="00285831" w:rsidRDefault="00687A86" w:rsidP="00285831">
      <w:pPr>
        <w:spacing w:after="0" w:line="360" w:lineRule="auto"/>
        <w:ind w:firstLine="720"/>
        <w:jc w:val="both"/>
        <w:rPr>
          <w:rFonts w:ascii="Times New Roman" w:hAnsi="Times New Roman" w:cs="Times New Roman"/>
          <w:sz w:val="24"/>
          <w:szCs w:val="24"/>
        </w:rPr>
      </w:pPr>
      <w:r w:rsidRPr="00285831">
        <w:rPr>
          <w:rFonts w:ascii="Times New Roman" w:hAnsi="Times New Roman" w:cs="Times New Roman"/>
          <w:sz w:val="24"/>
          <w:szCs w:val="24"/>
        </w:rPr>
        <w:t>In the answering affidavit, the applicant objects to the opposing affidavit having been deposed to by the second respondent’s legal practitioner on the grounds, firstly, that authority to depose to it has not been established and, secondly, that the legal practitioner deposes to facts which are not within his knowledge.</w:t>
      </w:r>
      <w:r w:rsidR="00881FF0" w:rsidRPr="00285831">
        <w:rPr>
          <w:rFonts w:ascii="Times New Roman" w:hAnsi="Times New Roman" w:cs="Times New Roman"/>
          <w:sz w:val="24"/>
          <w:szCs w:val="24"/>
        </w:rPr>
        <w:t xml:space="preserve">  Although this point was discussed in the applicant’s heads of argument</w:t>
      </w:r>
      <w:r w:rsidR="001750B9" w:rsidRPr="00285831">
        <w:rPr>
          <w:rFonts w:ascii="Times New Roman" w:hAnsi="Times New Roman" w:cs="Times New Roman"/>
          <w:sz w:val="24"/>
          <w:szCs w:val="24"/>
        </w:rPr>
        <w:t>,</w:t>
      </w:r>
      <w:r w:rsidR="00881FF0" w:rsidRPr="00285831">
        <w:rPr>
          <w:rFonts w:ascii="Times New Roman" w:hAnsi="Times New Roman" w:cs="Times New Roman"/>
          <w:sz w:val="24"/>
          <w:szCs w:val="24"/>
        </w:rPr>
        <w:t xml:space="preserve"> no relief </w:t>
      </w:r>
      <w:r w:rsidR="00F342A9" w:rsidRPr="00285831">
        <w:rPr>
          <w:rFonts w:ascii="Times New Roman" w:hAnsi="Times New Roman" w:cs="Times New Roman"/>
          <w:sz w:val="24"/>
          <w:szCs w:val="24"/>
        </w:rPr>
        <w:t>was sought in respect of the opposing</w:t>
      </w:r>
      <w:r w:rsidR="00881FF0" w:rsidRPr="00285831">
        <w:rPr>
          <w:rFonts w:ascii="Times New Roman" w:hAnsi="Times New Roman" w:cs="Times New Roman"/>
          <w:sz w:val="24"/>
          <w:szCs w:val="24"/>
        </w:rPr>
        <w:t xml:space="preserve"> affidavit.  In this case I would have seriously considered striking out the legal practitioner’s affidavit if the court had been moved to do so, for </w:t>
      </w:r>
      <w:r w:rsidR="00F342A9" w:rsidRPr="00285831">
        <w:rPr>
          <w:rFonts w:ascii="Times New Roman" w:hAnsi="Times New Roman" w:cs="Times New Roman"/>
          <w:sz w:val="24"/>
          <w:szCs w:val="24"/>
        </w:rPr>
        <w:t>the reason</w:t>
      </w:r>
      <w:r w:rsidR="00881FF0" w:rsidRPr="00285831">
        <w:rPr>
          <w:rFonts w:ascii="Times New Roman" w:hAnsi="Times New Roman" w:cs="Times New Roman"/>
          <w:sz w:val="24"/>
          <w:szCs w:val="24"/>
        </w:rPr>
        <w:t xml:space="preserve"> there is no evidence of authority given to the legal practitioner to depose to the affidavit.  It has been held in many cases that legal practitioners should not depose to affidavits on behalf of their clients except in those cases where the facts are within the exclusive knowledge of the legal practitioner.  Even then, the litigant must confirm that he or she is relying on the evidence of the legal practitioner.  In the absence of an affidavit from the litigant such a litigant would not have placed himself or herself before the court</w:t>
      </w:r>
      <w:r w:rsidR="00203ADF" w:rsidRPr="00285831">
        <w:rPr>
          <w:rFonts w:ascii="Times New Roman" w:hAnsi="Times New Roman" w:cs="Times New Roman"/>
          <w:sz w:val="24"/>
          <w:szCs w:val="24"/>
        </w:rPr>
        <w:t xml:space="preserve">. Secondly, in the context of the instant case, the legal practitioner, apart from using his affidavit to make legal arguments and other argumentative submissions which should be contained in heads of argument, goes on to make averments on factual issues which are not within his knowledge save by way of hearsay.  Paragraphs 24, 25 and 26 contain </w:t>
      </w:r>
      <w:r w:rsidR="00964710" w:rsidRPr="00285831">
        <w:rPr>
          <w:rFonts w:ascii="Times New Roman" w:hAnsi="Times New Roman" w:cs="Times New Roman"/>
          <w:sz w:val="24"/>
          <w:szCs w:val="24"/>
        </w:rPr>
        <w:t>factual averments.  In para</w:t>
      </w:r>
      <w:r w:rsidR="00F342A9" w:rsidRPr="00285831">
        <w:rPr>
          <w:rFonts w:ascii="Times New Roman" w:hAnsi="Times New Roman" w:cs="Times New Roman"/>
          <w:sz w:val="24"/>
          <w:szCs w:val="24"/>
        </w:rPr>
        <w:t xml:space="preserve"> 30 the deponent to the opposing</w:t>
      </w:r>
      <w:r w:rsidR="00203ADF" w:rsidRPr="00285831">
        <w:rPr>
          <w:rFonts w:ascii="Times New Roman" w:hAnsi="Times New Roman" w:cs="Times New Roman"/>
          <w:sz w:val="24"/>
          <w:szCs w:val="24"/>
        </w:rPr>
        <w:t xml:space="preserve"> affidavit even has the temerity to deny “each and every averment in the applicant’s founding affidavit which is inconsistent with the above facts”.</w:t>
      </w:r>
      <w:r w:rsidR="005B6D4E" w:rsidRPr="00285831">
        <w:rPr>
          <w:rFonts w:ascii="Times New Roman" w:hAnsi="Times New Roman" w:cs="Times New Roman"/>
          <w:sz w:val="24"/>
          <w:szCs w:val="24"/>
        </w:rPr>
        <w:t xml:space="preserve">  Also, the legal practitioner’s affidavit in this case is even presented as the “second respondent’s opposing affidavit”.  </w:t>
      </w:r>
      <w:r w:rsidR="00203ADF" w:rsidRPr="00285831">
        <w:rPr>
          <w:rFonts w:ascii="Times New Roman" w:hAnsi="Times New Roman" w:cs="Times New Roman"/>
          <w:sz w:val="24"/>
          <w:szCs w:val="24"/>
        </w:rPr>
        <w:t xml:space="preserve">In future the court might be persuaded to order a legal practitioner who has taken it upon himself or herself to depose to an affidavit on behalf of a client to pay costs </w:t>
      </w:r>
      <w:r w:rsidR="005B6D4E" w:rsidRPr="00285831">
        <w:rPr>
          <w:rFonts w:ascii="Times New Roman" w:hAnsi="Times New Roman" w:cs="Times New Roman"/>
          <w:i/>
          <w:sz w:val="24"/>
          <w:szCs w:val="24"/>
        </w:rPr>
        <w:t xml:space="preserve">de bonis propriis </w:t>
      </w:r>
      <w:r w:rsidR="005B6D4E" w:rsidRPr="00285831">
        <w:rPr>
          <w:rFonts w:ascii="Times New Roman" w:hAnsi="Times New Roman" w:cs="Times New Roman"/>
          <w:sz w:val="24"/>
          <w:szCs w:val="24"/>
        </w:rPr>
        <w:t>in a case where the judgment is against his or her client.</w:t>
      </w:r>
    </w:p>
    <w:p w:rsidR="00481165" w:rsidRPr="00285831" w:rsidRDefault="005B6D4E" w:rsidP="00285831">
      <w:pPr>
        <w:spacing w:after="0" w:line="360" w:lineRule="auto"/>
        <w:ind w:firstLine="720"/>
        <w:jc w:val="both"/>
        <w:rPr>
          <w:rFonts w:ascii="Times New Roman" w:hAnsi="Times New Roman" w:cs="Times New Roman"/>
          <w:sz w:val="24"/>
          <w:szCs w:val="24"/>
        </w:rPr>
      </w:pPr>
      <w:r w:rsidRPr="00285831">
        <w:rPr>
          <w:rFonts w:ascii="Times New Roman" w:hAnsi="Times New Roman" w:cs="Times New Roman"/>
          <w:sz w:val="24"/>
          <w:szCs w:val="24"/>
        </w:rPr>
        <w:t xml:space="preserve">A point </w:t>
      </w:r>
      <w:r w:rsidRPr="00285831">
        <w:rPr>
          <w:rFonts w:ascii="Times New Roman" w:hAnsi="Times New Roman" w:cs="Times New Roman"/>
          <w:i/>
          <w:sz w:val="24"/>
          <w:szCs w:val="24"/>
        </w:rPr>
        <w:t xml:space="preserve">in limine </w:t>
      </w:r>
      <w:r w:rsidRPr="00285831">
        <w:rPr>
          <w:rFonts w:ascii="Times New Roman" w:hAnsi="Times New Roman" w:cs="Times New Roman"/>
          <w:sz w:val="24"/>
          <w:szCs w:val="24"/>
        </w:rPr>
        <w:t xml:space="preserve">was taken on behalf of the second respondent that the applicant has no </w:t>
      </w:r>
      <w:r w:rsidRPr="00285831">
        <w:rPr>
          <w:rFonts w:ascii="Times New Roman" w:hAnsi="Times New Roman" w:cs="Times New Roman"/>
          <w:i/>
          <w:sz w:val="24"/>
          <w:szCs w:val="24"/>
        </w:rPr>
        <w:t xml:space="preserve">locus standi </w:t>
      </w:r>
      <w:r w:rsidRPr="00285831">
        <w:rPr>
          <w:rFonts w:ascii="Times New Roman" w:hAnsi="Times New Roman" w:cs="Times New Roman"/>
          <w:sz w:val="24"/>
          <w:szCs w:val="24"/>
        </w:rPr>
        <w:t>to institute the application.  I dismissed the objection and indicated that the reasons for the dismissal would be given in the final judgment.  The ground upon which the objection was taken was that the applicant is not a member o</w:t>
      </w:r>
      <w:r w:rsidR="00DD16BC" w:rsidRPr="00285831">
        <w:rPr>
          <w:rFonts w:ascii="Times New Roman" w:hAnsi="Times New Roman" w:cs="Times New Roman"/>
          <w:sz w:val="24"/>
          <w:szCs w:val="24"/>
        </w:rPr>
        <w:t>f the first respondent, and cou</w:t>
      </w:r>
      <w:r w:rsidRPr="00285831">
        <w:rPr>
          <w:rFonts w:ascii="Times New Roman" w:hAnsi="Times New Roman" w:cs="Times New Roman"/>
          <w:sz w:val="24"/>
          <w:szCs w:val="24"/>
        </w:rPr>
        <w:t>ld therefore not institute this application seeking relief in terms of s 196 of the Companies Act [</w:t>
      </w:r>
      <w:r w:rsidRPr="00285831">
        <w:rPr>
          <w:rFonts w:ascii="Times New Roman" w:hAnsi="Times New Roman" w:cs="Times New Roman"/>
          <w:i/>
          <w:sz w:val="24"/>
          <w:szCs w:val="24"/>
        </w:rPr>
        <w:t>Chapter 24:03</w:t>
      </w:r>
      <w:r w:rsidRPr="00285831">
        <w:rPr>
          <w:rFonts w:ascii="Times New Roman" w:hAnsi="Times New Roman" w:cs="Times New Roman"/>
          <w:sz w:val="24"/>
          <w:szCs w:val="24"/>
        </w:rPr>
        <w:t xml:space="preserve">].  The question of whether or not the applicant is a member is a factual issue that falls for </w:t>
      </w:r>
      <w:r w:rsidRPr="00285831">
        <w:rPr>
          <w:rFonts w:ascii="Times New Roman" w:hAnsi="Times New Roman" w:cs="Times New Roman"/>
          <w:sz w:val="24"/>
          <w:szCs w:val="24"/>
        </w:rPr>
        <w:lastRenderedPageBreak/>
        <w:t xml:space="preserve">determination in relation to the merits of the application.  In the founding affidavit the applicant avers that she is a member, see </w:t>
      </w:r>
      <w:r w:rsidR="00DD16BC" w:rsidRPr="00285831">
        <w:rPr>
          <w:rFonts w:ascii="Times New Roman" w:hAnsi="Times New Roman" w:cs="Times New Roman"/>
          <w:sz w:val="24"/>
          <w:szCs w:val="24"/>
        </w:rPr>
        <w:t>para</w:t>
      </w:r>
      <w:r w:rsidR="00964710" w:rsidRPr="00285831">
        <w:rPr>
          <w:rFonts w:ascii="Times New Roman" w:hAnsi="Times New Roman" w:cs="Times New Roman"/>
          <w:sz w:val="24"/>
          <w:szCs w:val="24"/>
        </w:rPr>
        <w:t>(</w:t>
      </w:r>
      <w:r w:rsidR="00DD16BC" w:rsidRPr="00285831">
        <w:rPr>
          <w:rFonts w:ascii="Times New Roman" w:hAnsi="Times New Roman" w:cs="Times New Roman"/>
          <w:sz w:val="24"/>
          <w:szCs w:val="24"/>
        </w:rPr>
        <w:t>s</w:t>
      </w:r>
      <w:r w:rsidR="00964710" w:rsidRPr="00285831">
        <w:rPr>
          <w:rFonts w:ascii="Times New Roman" w:hAnsi="Times New Roman" w:cs="Times New Roman"/>
          <w:sz w:val="24"/>
          <w:szCs w:val="24"/>
        </w:rPr>
        <w:t>)</w:t>
      </w:r>
      <w:r w:rsidR="00DD16BC" w:rsidRPr="00285831">
        <w:rPr>
          <w:rFonts w:ascii="Times New Roman" w:hAnsi="Times New Roman" w:cs="Times New Roman"/>
          <w:sz w:val="24"/>
          <w:szCs w:val="24"/>
        </w:rPr>
        <w:t xml:space="preserve"> 22 and 25.  If the second respondent was challenging such membership then it was up to him to lead evidence in support of his case.  He could not raise an objection </w:t>
      </w:r>
      <w:r w:rsidR="00DD16BC" w:rsidRPr="00285831">
        <w:rPr>
          <w:rFonts w:ascii="Times New Roman" w:hAnsi="Times New Roman" w:cs="Times New Roman"/>
          <w:i/>
          <w:sz w:val="24"/>
          <w:szCs w:val="24"/>
        </w:rPr>
        <w:t xml:space="preserve">in limine </w:t>
      </w:r>
      <w:r w:rsidR="00DD16BC" w:rsidRPr="00285831">
        <w:rPr>
          <w:rFonts w:ascii="Times New Roman" w:hAnsi="Times New Roman" w:cs="Times New Roman"/>
          <w:sz w:val="24"/>
          <w:szCs w:val="24"/>
        </w:rPr>
        <w:t xml:space="preserve">based on the issue of membership as if his version is common cause.  The objection was thus unsupportable. </w:t>
      </w:r>
      <w:r w:rsidRPr="00285831">
        <w:rPr>
          <w:rFonts w:ascii="Times New Roman" w:hAnsi="Times New Roman" w:cs="Times New Roman"/>
          <w:sz w:val="24"/>
          <w:szCs w:val="24"/>
        </w:rPr>
        <w:t xml:space="preserve"> </w:t>
      </w:r>
      <w:r w:rsidR="00203ADF" w:rsidRPr="00285831">
        <w:rPr>
          <w:rFonts w:ascii="Times New Roman" w:hAnsi="Times New Roman" w:cs="Times New Roman"/>
          <w:sz w:val="24"/>
          <w:szCs w:val="24"/>
        </w:rPr>
        <w:t xml:space="preserve"> </w:t>
      </w:r>
      <w:r w:rsidR="005759BF" w:rsidRPr="00285831">
        <w:rPr>
          <w:rFonts w:ascii="Times New Roman" w:hAnsi="Times New Roman" w:cs="Times New Roman"/>
          <w:sz w:val="24"/>
          <w:szCs w:val="24"/>
        </w:rPr>
        <w:t xml:space="preserve">  </w:t>
      </w:r>
      <w:r w:rsidR="0021106A" w:rsidRPr="00285831">
        <w:rPr>
          <w:rFonts w:ascii="Times New Roman" w:hAnsi="Times New Roman" w:cs="Times New Roman"/>
          <w:sz w:val="24"/>
          <w:szCs w:val="24"/>
        </w:rPr>
        <w:t xml:space="preserve"> </w:t>
      </w:r>
      <w:r w:rsidR="00D731E5" w:rsidRPr="00285831">
        <w:rPr>
          <w:rFonts w:ascii="Times New Roman" w:hAnsi="Times New Roman" w:cs="Times New Roman"/>
          <w:sz w:val="24"/>
          <w:szCs w:val="24"/>
        </w:rPr>
        <w:t xml:space="preserve"> </w:t>
      </w:r>
      <w:r w:rsidR="00481165" w:rsidRPr="00285831">
        <w:rPr>
          <w:rFonts w:ascii="Times New Roman" w:hAnsi="Times New Roman" w:cs="Times New Roman"/>
          <w:sz w:val="24"/>
          <w:szCs w:val="24"/>
        </w:rPr>
        <w:t xml:space="preserve"> </w:t>
      </w:r>
    </w:p>
    <w:p w:rsidR="0082049C" w:rsidRPr="00285831" w:rsidRDefault="0082049C" w:rsidP="00285831">
      <w:pPr>
        <w:spacing w:after="0" w:line="360" w:lineRule="auto"/>
        <w:jc w:val="both"/>
        <w:rPr>
          <w:rFonts w:ascii="Times New Roman" w:hAnsi="Times New Roman" w:cs="Times New Roman"/>
          <w:b/>
          <w:sz w:val="24"/>
          <w:szCs w:val="24"/>
          <w:u w:val="single"/>
        </w:rPr>
      </w:pPr>
      <w:r w:rsidRPr="00285831">
        <w:rPr>
          <w:rFonts w:ascii="Times New Roman" w:hAnsi="Times New Roman" w:cs="Times New Roman"/>
          <w:b/>
          <w:sz w:val="24"/>
          <w:szCs w:val="24"/>
          <w:u w:val="single"/>
        </w:rPr>
        <w:t>The law</w:t>
      </w:r>
    </w:p>
    <w:p w:rsidR="0082049C" w:rsidRPr="00285831" w:rsidRDefault="0082049C" w:rsidP="00285831">
      <w:pPr>
        <w:spacing w:after="0" w:line="360" w:lineRule="auto"/>
        <w:ind w:firstLine="720"/>
        <w:jc w:val="both"/>
        <w:rPr>
          <w:rFonts w:ascii="Times New Roman" w:hAnsi="Times New Roman" w:cs="Times New Roman"/>
          <w:sz w:val="24"/>
          <w:szCs w:val="24"/>
        </w:rPr>
      </w:pPr>
      <w:r w:rsidRPr="00285831">
        <w:rPr>
          <w:rFonts w:ascii="Times New Roman" w:hAnsi="Times New Roman" w:cs="Times New Roman"/>
          <w:sz w:val="24"/>
          <w:szCs w:val="24"/>
        </w:rPr>
        <w:t>Section 196(1) of the Companies Act [</w:t>
      </w:r>
      <w:r w:rsidRPr="00285831">
        <w:rPr>
          <w:rFonts w:ascii="Times New Roman" w:hAnsi="Times New Roman" w:cs="Times New Roman"/>
          <w:i/>
          <w:sz w:val="24"/>
          <w:szCs w:val="24"/>
        </w:rPr>
        <w:t>Chapter 24:03</w:t>
      </w:r>
      <w:r w:rsidRPr="00285831">
        <w:rPr>
          <w:rFonts w:ascii="Times New Roman" w:hAnsi="Times New Roman" w:cs="Times New Roman"/>
          <w:sz w:val="24"/>
          <w:szCs w:val="24"/>
        </w:rPr>
        <w:t>] provides as follows:</w:t>
      </w:r>
    </w:p>
    <w:p w:rsidR="00FA23C4" w:rsidRDefault="0082049C" w:rsidP="00285831">
      <w:pPr>
        <w:spacing w:after="0" w:line="240" w:lineRule="auto"/>
        <w:ind w:left="720"/>
        <w:jc w:val="both"/>
        <w:rPr>
          <w:rFonts w:ascii="Times New Roman" w:hAnsi="Times New Roman" w:cs="Times New Roman"/>
        </w:rPr>
      </w:pPr>
      <w:r w:rsidRPr="00285831">
        <w:rPr>
          <w:rFonts w:ascii="Times New Roman" w:hAnsi="Times New Roman" w:cs="Times New Roman"/>
          <w:sz w:val="24"/>
          <w:szCs w:val="24"/>
        </w:rPr>
        <w:t>“</w:t>
      </w:r>
      <w:r w:rsidRPr="00285831">
        <w:rPr>
          <w:rFonts w:ascii="Times New Roman" w:hAnsi="Times New Roman" w:cs="Times New Roman"/>
        </w:rPr>
        <w:t xml:space="preserve">A member of a company may apply to the court for an order in terms of section </w:t>
      </w:r>
      <w:r w:rsidRPr="00285831">
        <w:rPr>
          <w:rFonts w:ascii="Times New Roman" w:hAnsi="Times New Roman" w:cs="Times New Roman"/>
          <w:i/>
        </w:rPr>
        <w:t xml:space="preserve">one hundred and ninety-eight </w:t>
      </w:r>
      <w:r w:rsidRPr="00285831">
        <w:rPr>
          <w:rFonts w:ascii="Times New Roman" w:hAnsi="Times New Roman" w:cs="Times New Roman"/>
        </w:rPr>
        <w:t xml:space="preserve">on the ground that the company‘s affairs are being or have been conducted in a manner which is oppressive or unfairly prejudicial to the interests of some part of the members, or that any actual or proposed </w:t>
      </w:r>
      <w:r w:rsidR="00FA23C4" w:rsidRPr="00285831">
        <w:rPr>
          <w:rFonts w:ascii="Times New Roman" w:hAnsi="Times New Roman" w:cs="Times New Roman"/>
        </w:rPr>
        <w:t>act or omission of the company, including an act or omission on its behalf, is or would b</w:t>
      </w:r>
      <w:r w:rsidR="00964710" w:rsidRPr="00285831">
        <w:rPr>
          <w:rFonts w:ascii="Times New Roman" w:hAnsi="Times New Roman" w:cs="Times New Roman"/>
        </w:rPr>
        <w:t>e so oppressive or prejudicial.”</w:t>
      </w:r>
    </w:p>
    <w:p w:rsidR="00285831" w:rsidRPr="00285831" w:rsidRDefault="00285831" w:rsidP="00285831">
      <w:pPr>
        <w:spacing w:after="0" w:line="240" w:lineRule="auto"/>
        <w:ind w:left="720"/>
        <w:jc w:val="both"/>
        <w:rPr>
          <w:rFonts w:ascii="Times New Roman" w:hAnsi="Times New Roman" w:cs="Times New Roman"/>
        </w:rPr>
      </w:pPr>
    </w:p>
    <w:p w:rsidR="0052178B" w:rsidRPr="00285831" w:rsidRDefault="005A7A92" w:rsidP="00285831">
      <w:pPr>
        <w:spacing w:after="0" w:line="360" w:lineRule="auto"/>
        <w:ind w:firstLine="720"/>
        <w:jc w:val="both"/>
        <w:rPr>
          <w:rFonts w:ascii="Times New Roman" w:hAnsi="Times New Roman" w:cs="Times New Roman"/>
          <w:sz w:val="24"/>
          <w:szCs w:val="24"/>
        </w:rPr>
      </w:pPr>
      <w:r w:rsidRPr="00285831">
        <w:rPr>
          <w:rFonts w:ascii="Times New Roman" w:hAnsi="Times New Roman" w:cs="Times New Roman"/>
          <w:sz w:val="24"/>
          <w:szCs w:val="24"/>
        </w:rPr>
        <w:t>The above provisions</w:t>
      </w:r>
      <w:r w:rsidR="002C7CC2" w:rsidRPr="00285831">
        <w:rPr>
          <w:rFonts w:ascii="Times New Roman" w:hAnsi="Times New Roman" w:cs="Times New Roman"/>
          <w:sz w:val="24"/>
          <w:szCs w:val="24"/>
        </w:rPr>
        <w:t xml:space="preserve"> afford </w:t>
      </w:r>
      <w:r w:rsidR="009F74F8" w:rsidRPr="00285831">
        <w:rPr>
          <w:rFonts w:ascii="Times New Roman" w:hAnsi="Times New Roman" w:cs="Times New Roman"/>
          <w:sz w:val="24"/>
          <w:szCs w:val="24"/>
        </w:rPr>
        <w:t>a member, including a minority shareholder,</w:t>
      </w:r>
      <w:r w:rsidR="002C7CC2" w:rsidRPr="00285831">
        <w:rPr>
          <w:rFonts w:ascii="Times New Roman" w:hAnsi="Times New Roman" w:cs="Times New Roman"/>
          <w:sz w:val="24"/>
          <w:szCs w:val="24"/>
        </w:rPr>
        <w:t xml:space="preserve"> relief from oppression by the majority</w:t>
      </w:r>
      <w:r w:rsidR="00043D62" w:rsidRPr="00285831">
        <w:rPr>
          <w:rFonts w:ascii="Times New Roman" w:hAnsi="Times New Roman" w:cs="Times New Roman"/>
          <w:sz w:val="24"/>
          <w:szCs w:val="24"/>
        </w:rPr>
        <w:t>,</w:t>
      </w:r>
      <w:r w:rsidR="002C7CC2" w:rsidRPr="00285831">
        <w:rPr>
          <w:rFonts w:ascii="Times New Roman" w:hAnsi="Times New Roman" w:cs="Times New Roman"/>
          <w:sz w:val="24"/>
          <w:szCs w:val="24"/>
        </w:rPr>
        <w:t xml:space="preserve"> through the personal action which is pr</w:t>
      </w:r>
      <w:r w:rsidR="00400915" w:rsidRPr="00285831">
        <w:rPr>
          <w:rFonts w:ascii="Times New Roman" w:hAnsi="Times New Roman" w:cs="Times New Roman"/>
          <w:sz w:val="24"/>
          <w:szCs w:val="24"/>
        </w:rPr>
        <w:t>ovid</w:t>
      </w:r>
      <w:r w:rsidR="00043D62" w:rsidRPr="00285831">
        <w:rPr>
          <w:rFonts w:ascii="Times New Roman" w:hAnsi="Times New Roman" w:cs="Times New Roman"/>
          <w:sz w:val="24"/>
          <w:szCs w:val="24"/>
        </w:rPr>
        <w:t>ed for.  The provisions</w:t>
      </w:r>
      <w:r w:rsidR="00400915" w:rsidRPr="00285831">
        <w:rPr>
          <w:rFonts w:ascii="Times New Roman" w:hAnsi="Times New Roman" w:cs="Times New Roman"/>
          <w:sz w:val="24"/>
          <w:szCs w:val="24"/>
        </w:rPr>
        <w:t xml:space="preserve"> encapsulate</w:t>
      </w:r>
      <w:r w:rsidRPr="00285831">
        <w:rPr>
          <w:rFonts w:ascii="Times New Roman" w:hAnsi="Times New Roman" w:cs="Times New Roman"/>
          <w:sz w:val="24"/>
          <w:szCs w:val="24"/>
        </w:rPr>
        <w:t xml:space="preserve"> the common law derivative action by which a minority shareholder has a remedy for fraud or maladministration being committed by the majority shareholders against the company to its prejudice or to the prejudice of the minority shareholders. See Tett and Chadwick, </w:t>
      </w:r>
      <w:r w:rsidRPr="00285831">
        <w:rPr>
          <w:rFonts w:ascii="Times New Roman" w:hAnsi="Times New Roman" w:cs="Times New Roman"/>
          <w:i/>
          <w:sz w:val="24"/>
          <w:szCs w:val="24"/>
        </w:rPr>
        <w:t xml:space="preserve">Zimbabwe Company Law </w:t>
      </w:r>
      <w:r w:rsidRPr="00285831">
        <w:rPr>
          <w:rFonts w:ascii="Times New Roman" w:hAnsi="Times New Roman" w:cs="Times New Roman"/>
          <w:sz w:val="24"/>
          <w:szCs w:val="24"/>
        </w:rPr>
        <w:t>2</w:t>
      </w:r>
      <w:r w:rsidRPr="00285831">
        <w:rPr>
          <w:rFonts w:ascii="Times New Roman" w:hAnsi="Times New Roman" w:cs="Times New Roman"/>
          <w:sz w:val="24"/>
          <w:szCs w:val="24"/>
          <w:vertAlign w:val="superscript"/>
        </w:rPr>
        <w:t>nd</w:t>
      </w:r>
      <w:r w:rsidRPr="00285831">
        <w:rPr>
          <w:rFonts w:ascii="Times New Roman" w:hAnsi="Times New Roman" w:cs="Times New Roman"/>
          <w:sz w:val="24"/>
          <w:szCs w:val="24"/>
        </w:rPr>
        <w:t xml:space="preserve"> ed.</w:t>
      </w:r>
      <w:r w:rsidR="004740B2" w:rsidRPr="00285831">
        <w:rPr>
          <w:rFonts w:ascii="Times New Roman" w:hAnsi="Times New Roman" w:cs="Times New Roman"/>
          <w:sz w:val="24"/>
          <w:szCs w:val="24"/>
        </w:rPr>
        <w:t xml:space="preserve"> p. 79.  It has been held that the derivative action is an exception to the rule in </w:t>
      </w:r>
      <w:r w:rsidR="004740B2" w:rsidRPr="00285831">
        <w:rPr>
          <w:rFonts w:ascii="Times New Roman" w:hAnsi="Times New Roman" w:cs="Times New Roman"/>
          <w:i/>
          <w:sz w:val="24"/>
          <w:szCs w:val="24"/>
        </w:rPr>
        <w:t xml:space="preserve">Foss </w:t>
      </w:r>
      <w:r w:rsidR="004740B2" w:rsidRPr="00285831">
        <w:rPr>
          <w:rFonts w:ascii="Times New Roman" w:hAnsi="Times New Roman" w:cs="Times New Roman"/>
          <w:sz w:val="24"/>
          <w:szCs w:val="24"/>
        </w:rPr>
        <w:t xml:space="preserve">v </w:t>
      </w:r>
      <w:r w:rsidR="004740B2" w:rsidRPr="00285831">
        <w:rPr>
          <w:rFonts w:ascii="Times New Roman" w:hAnsi="Times New Roman" w:cs="Times New Roman"/>
          <w:i/>
          <w:sz w:val="24"/>
          <w:szCs w:val="24"/>
        </w:rPr>
        <w:t xml:space="preserve">Harbottle </w:t>
      </w:r>
      <w:r w:rsidR="004740B2" w:rsidRPr="00285831">
        <w:rPr>
          <w:rFonts w:ascii="Times New Roman" w:hAnsi="Times New Roman" w:cs="Times New Roman"/>
          <w:sz w:val="24"/>
          <w:szCs w:val="24"/>
        </w:rPr>
        <w:t>(1843) 67 ER 189, which prescribes that if it is defrauded by a wrongdoer, the company itself is the one person to sue for the damage,</w:t>
      </w:r>
      <w:r w:rsidR="0052178B" w:rsidRPr="00285831">
        <w:rPr>
          <w:rFonts w:ascii="Times New Roman" w:hAnsi="Times New Roman" w:cs="Times New Roman"/>
          <w:sz w:val="24"/>
          <w:szCs w:val="24"/>
        </w:rPr>
        <w:t xml:space="preserve"> and that, generally speaking, an individual member cannot sue to redress a wrong done to the company</w:t>
      </w:r>
      <w:r w:rsidR="004740B2" w:rsidRPr="00285831">
        <w:rPr>
          <w:rFonts w:ascii="Times New Roman" w:hAnsi="Times New Roman" w:cs="Times New Roman"/>
          <w:sz w:val="24"/>
          <w:szCs w:val="24"/>
        </w:rPr>
        <w:t xml:space="preserve"> </w:t>
      </w:r>
      <w:r w:rsidR="0052178B" w:rsidRPr="00285831">
        <w:rPr>
          <w:rFonts w:ascii="Times New Roman" w:hAnsi="Times New Roman" w:cs="Times New Roman"/>
          <w:sz w:val="24"/>
          <w:szCs w:val="24"/>
        </w:rPr>
        <w:t xml:space="preserve">see </w:t>
      </w:r>
      <w:r w:rsidR="0052178B" w:rsidRPr="00285831">
        <w:rPr>
          <w:rFonts w:ascii="Times New Roman" w:hAnsi="Times New Roman" w:cs="Times New Roman"/>
          <w:i/>
          <w:sz w:val="24"/>
          <w:szCs w:val="24"/>
        </w:rPr>
        <w:t xml:space="preserve">L Piras &amp; Son (Pvt) Ltd &amp; Anor v Piras </w:t>
      </w:r>
      <w:r w:rsidR="0052178B" w:rsidRPr="00285831">
        <w:rPr>
          <w:rFonts w:ascii="Times New Roman" w:hAnsi="Times New Roman" w:cs="Times New Roman"/>
          <w:sz w:val="24"/>
          <w:szCs w:val="24"/>
        </w:rPr>
        <w:t>1993 (2) ZLR 245(S) at 250H-251E</w:t>
      </w:r>
      <w:r w:rsidRPr="00285831">
        <w:rPr>
          <w:rFonts w:ascii="Times New Roman" w:hAnsi="Times New Roman" w:cs="Times New Roman"/>
          <w:sz w:val="24"/>
          <w:szCs w:val="24"/>
        </w:rPr>
        <w:t>.</w:t>
      </w:r>
      <w:r w:rsidR="0052178B" w:rsidRPr="00285831">
        <w:rPr>
          <w:rFonts w:ascii="Times New Roman" w:hAnsi="Times New Roman" w:cs="Times New Roman"/>
          <w:sz w:val="24"/>
          <w:szCs w:val="24"/>
        </w:rPr>
        <w:t xml:space="preserve">  In the case of </w:t>
      </w:r>
      <w:r w:rsidR="0052178B" w:rsidRPr="00285831">
        <w:rPr>
          <w:rFonts w:ascii="Times New Roman" w:hAnsi="Times New Roman" w:cs="Times New Roman"/>
          <w:i/>
          <w:sz w:val="24"/>
          <w:szCs w:val="24"/>
        </w:rPr>
        <w:t xml:space="preserve">L Piras &amp; Son (Pvt) Ltd &amp; Anor </w:t>
      </w:r>
      <w:r w:rsidR="0052178B" w:rsidRPr="00285831">
        <w:rPr>
          <w:rFonts w:ascii="Times New Roman" w:hAnsi="Times New Roman" w:cs="Times New Roman"/>
          <w:sz w:val="24"/>
          <w:szCs w:val="24"/>
        </w:rPr>
        <w:t>v</w:t>
      </w:r>
      <w:r w:rsidR="0052178B" w:rsidRPr="00285831">
        <w:rPr>
          <w:rFonts w:ascii="Times New Roman" w:hAnsi="Times New Roman" w:cs="Times New Roman"/>
          <w:i/>
          <w:sz w:val="24"/>
          <w:szCs w:val="24"/>
        </w:rPr>
        <w:t xml:space="preserve"> Piras, supra, </w:t>
      </w:r>
      <w:r w:rsidR="0052178B" w:rsidRPr="00285831">
        <w:rPr>
          <w:rFonts w:ascii="Times New Roman" w:hAnsi="Times New Roman" w:cs="Times New Roman"/>
          <w:sz w:val="24"/>
          <w:szCs w:val="24"/>
        </w:rPr>
        <w:t>at p. 251F, GUBBAY CJ said:</w:t>
      </w:r>
    </w:p>
    <w:p w:rsidR="003B0B54" w:rsidRDefault="0052178B" w:rsidP="003B0B54">
      <w:pPr>
        <w:spacing w:after="0" w:line="240" w:lineRule="auto"/>
        <w:ind w:left="720"/>
        <w:jc w:val="both"/>
        <w:rPr>
          <w:rFonts w:ascii="Times New Roman" w:hAnsi="Times New Roman" w:cs="Times New Roman"/>
        </w:rPr>
      </w:pPr>
      <w:r w:rsidRPr="00285831">
        <w:rPr>
          <w:rFonts w:ascii="Times New Roman" w:hAnsi="Times New Roman" w:cs="Times New Roman"/>
        </w:rPr>
        <w:t xml:space="preserve">“The nature, then, of a derivative action is that it is a device designed to enable the court to do justice to a company controlled by its wrongdoers and prevents a serious wrong from going unremedied.  </w:t>
      </w:r>
      <w:r w:rsidR="002F5500" w:rsidRPr="00285831">
        <w:rPr>
          <w:rFonts w:ascii="Times New Roman" w:hAnsi="Times New Roman" w:cs="Times New Roman"/>
        </w:rPr>
        <w:t>A shareholder is allowed to appear as the plaintiff.  He acts, not as representative of the other shareholders, but as a representative of the company to enforce rights derived from the company.  The action is brought by him in his own capacity to vindicate the company’s rights.”</w:t>
      </w:r>
    </w:p>
    <w:p w:rsidR="003B0B54" w:rsidRPr="00285831" w:rsidRDefault="003B0B54" w:rsidP="003B0B54">
      <w:pPr>
        <w:spacing w:after="0" w:line="240" w:lineRule="auto"/>
        <w:jc w:val="both"/>
        <w:rPr>
          <w:rFonts w:ascii="Times New Roman" w:hAnsi="Times New Roman" w:cs="Times New Roman"/>
        </w:rPr>
      </w:pPr>
    </w:p>
    <w:p w:rsidR="0018268D" w:rsidRPr="00285831" w:rsidRDefault="00400915" w:rsidP="00285831">
      <w:pPr>
        <w:spacing w:after="0" w:line="360" w:lineRule="auto"/>
        <w:ind w:firstLine="720"/>
        <w:jc w:val="both"/>
        <w:rPr>
          <w:rFonts w:ascii="Times New Roman" w:hAnsi="Times New Roman" w:cs="Times New Roman"/>
          <w:sz w:val="24"/>
          <w:szCs w:val="24"/>
        </w:rPr>
      </w:pPr>
      <w:r w:rsidRPr="00285831">
        <w:rPr>
          <w:rFonts w:ascii="Times New Roman" w:hAnsi="Times New Roman" w:cs="Times New Roman"/>
          <w:sz w:val="24"/>
          <w:szCs w:val="24"/>
        </w:rPr>
        <w:t>However, the remedy provided by s 196 is unique and distinct in that it is meant to afford recourse to the member rather than to the company</w:t>
      </w:r>
      <w:r w:rsidR="009F74F8" w:rsidRPr="00285831">
        <w:rPr>
          <w:rFonts w:ascii="Times New Roman" w:hAnsi="Times New Roman" w:cs="Times New Roman"/>
          <w:sz w:val="24"/>
          <w:szCs w:val="24"/>
        </w:rPr>
        <w:t xml:space="preserve"> </w:t>
      </w:r>
      <w:r w:rsidR="009F74F8" w:rsidRPr="00285831">
        <w:rPr>
          <w:rFonts w:ascii="Times New Roman" w:hAnsi="Times New Roman" w:cs="Times New Roman"/>
          <w:i/>
          <w:sz w:val="24"/>
          <w:szCs w:val="24"/>
        </w:rPr>
        <w:t>per se</w:t>
      </w:r>
      <w:r w:rsidRPr="00285831">
        <w:rPr>
          <w:rFonts w:ascii="Times New Roman" w:hAnsi="Times New Roman" w:cs="Times New Roman"/>
          <w:sz w:val="24"/>
          <w:szCs w:val="24"/>
        </w:rPr>
        <w:t>.  In other words, while in the derivative action the shareholder acts as a representative of the company, the member who institutes proceedings in terms of s 196 is representing himself or herself</w:t>
      </w:r>
      <w:r w:rsidR="0018268D" w:rsidRPr="00285831">
        <w:rPr>
          <w:rFonts w:ascii="Times New Roman" w:hAnsi="Times New Roman" w:cs="Times New Roman"/>
          <w:sz w:val="24"/>
          <w:szCs w:val="24"/>
        </w:rPr>
        <w:t xml:space="preserve"> although in essence he is protecting the interests of the members of the company and, indeed, the company itself</w:t>
      </w:r>
      <w:r w:rsidRPr="00285831">
        <w:rPr>
          <w:rFonts w:ascii="Times New Roman" w:hAnsi="Times New Roman" w:cs="Times New Roman"/>
          <w:sz w:val="24"/>
          <w:szCs w:val="24"/>
        </w:rPr>
        <w:t>.</w:t>
      </w:r>
    </w:p>
    <w:p w:rsidR="00064004" w:rsidRPr="00285831" w:rsidRDefault="0018268D" w:rsidP="00285831">
      <w:pPr>
        <w:spacing w:after="0" w:line="360" w:lineRule="auto"/>
        <w:ind w:firstLine="720"/>
        <w:jc w:val="both"/>
        <w:rPr>
          <w:rFonts w:ascii="Times New Roman" w:hAnsi="Times New Roman" w:cs="Times New Roman"/>
          <w:sz w:val="24"/>
          <w:szCs w:val="24"/>
        </w:rPr>
      </w:pPr>
      <w:r w:rsidRPr="00285831">
        <w:rPr>
          <w:rFonts w:ascii="Times New Roman" w:hAnsi="Times New Roman" w:cs="Times New Roman"/>
          <w:sz w:val="24"/>
          <w:szCs w:val="24"/>
        </w:rPr>
        <w:lastRenderedPageBreak/>
        <w:t>Section 198 of the same Act defines the powers of the court where an application is made in terms of s 196.  It states:</w:t>
      </w:r>
    </w:p>
    <w:p w:rsidR="00064004" w:rsidRPr="003B0B54" w:rsidRDefault="00064004" w:rsidP="003B0B54">
      <w:pPr>
        <w:spacing w:after="0" w:line="240" w:lineRule="auto"/>
        <w:ind w:firstLine="720"/>
        <w:jc w:val="both"/>
        <w:rPr>
          <w:rFonts w:ascii="Times New Roman" w:hAnsi="Times New Roman" w:cs="Times New Roman"/>
          <w:b/>
        </w:rPr>
      </w:pPr>
      <w:r w:rsidRPr="003B0B54">
        <w:rPr>
          <w:rFonts w:ascii="Times New Roman" w:hAnsi="Times New Roman" w:cs="Times New Roman"/>
        </w:rPr>
        <w:t>“</w:t>
      </w:r>
      <w:r w:rsidRPr="003B0B54">
        <w:rPr>
          <w:rFonts w:ascii="Times New Roman" w:hAnsi="Times New Roman" w:cs="Times New Roman"/>
          <w:b/>
        </w:rPr>
        <w:t>198 Powers of court in applications under sections 196 and 197</w:t>
      </w:r>
    </w:p>
    <w:p w:rsidR="00531A0B" w:rsidRPr="003B0B54" w:rsidRDefault="00064004" w:rsidP="003B0B54">
      <w:pPr>
        <w:pStyle w:val="ListParagraph"/>
        <w:numPr>
          <w:ilvl w:val="0"/>
          <w:numId w:val="1"/>
        </w:numPr>
        <w:spacing w:after="0" w:line="240" w:lineRule="auto"/>
        <w:ind w:left="1276" w:hanging="567"/>
        <w:jc w:val="both"/>
        <w:rPr>
          <w:rFonts w:ascii="Times New Roman" w:hAnsi="Times New Roman" w:cs="Times New Roman"/>
        </w:rPr>
      </w:pPr>
      <w:r w:rsidRPr="003B0B54">
        <w:rPr>
          <w:rFonts w:ascii="Times New Roman" w:hAnsi="Times New Roman" w:cs="Times New Roman"/>
        </w:rPr>
        <w:t xml:space="preserve">If the court is satisfied </w:t>
      </w:r>
      <w:r w:rsidR="00531A0B" w:rsidRPr="003B0B54">
        <w:rPr>
          <w:rFonts w:ascii="Times New Roman" w:hAnsi="Times New Roman" w:cs="Times New Roman"/>
        </w:rPr>
        <w:t xml:space="preserve">that an application under section </w:t>
      </w:r>
      <w:r w:rsidR="00531A0B" w:rsidRPr="003B0B54">
        <w:rPr>
          <w:rFonts w:ascii="Times New Roman" w:hAnsi="Times New Roman" w:cs="Times New Roman"/>
          <w:i/>
        </w:rPr>
        <w:t xml:space="preserve">one hundred and ninety-six </w:t>
      </w:r>
      <w:r w:rsidR="00531A0B" w:rsidRPr="003B0B54">
        <w:rPr>
          <w:rFonts w:ascii="Times New Roman" w:hAnsi="Times New Roman" w:cs="Times New Roman"/>
        </w:rPr>
        <w:t xml:space="preserve">or </w:t>
      </w:r>
      <w:r w:rsidR="00531A0B" w:rsidRPr="003B0B54">
        <w:rPr>
          <w:rFonts w:ascii="Times New Roman" w:hAnsi="Times New Roman" w:cs="Times New Roman"/>
          <w:i/>
        </w:rPr>
        <w:t xml:space="preserve">one hundred and ninety-seven </w:t>
      </w:r>
      <w:r w:rsidR="00531A0B" w:rsidRPr="003B0B54">
        <w:rPr>
          <w:rFonts w:ascii="Times New Roman" w:hAnsi="Times New Roman" w:cs="Times New Roman"/>
        </w:rPr>
        <w:t>is well founded, it may make such order as it thinks fit for giving relief in respect of the matters complained of.</w:t>
      </w:r>
    </w:p>
    <w:p w:rsidR="00531A0B" w:rsidRPr="003B0B54" w:rsidRDefault="00531A0B" w:rsidP="003B0B54">
      <w:pPr>
        <w:pStyle w:val="ListParagraph"/>
        <w:numPr>
          <w:ilvl w:val="0"/>
          <w:numId w:val="1"/>
        </w:numPr>
        <w:spacing w:after="0" w:line="240" w:lineRule="auto"/>
        <w:ind w:left="1276" w:hanging="567"/>
        <w:jc w:val="both"/>
        <w:rPr>
          <w:rFonts w:ascii="Times New Roman" w:hAnsi="Times New Roman" w:cs="Times New Roman"/>
        </w:rPr>
      </w:pPr>
      <w:r w:rsidRPr="003B0B54">
        <w:rPr>
          <w:rFonts w:ascii="Times New Roman" w:hAnsi="Times New Roman" w:cs="Times New Roman"/>
        </w:rPr>
        <w:t xml:space="preserve">Without prejudice to the generality of subsection (1), the court’s order may – </w:t>
      </w:r>
    </w:p>
    <w:p w:rsidR="00531A0B" w:rsidRPr="003B0B54" w:rsidRDefault="008607FC" w:rsidP="003B0B54">
      <w:pPr>
        <w:pStyle w:val="ListParagraph"/>
        <w:numPr>
          <w:ilvl w:val="0"/>
          <w:numId w:val="2"/>
        </w:numPr>
        <w:spacing w:after="0" w:line="240" w:lineRule="auto"/>
        <w:ind w:left="1701" w:hanging="425"/>
        <w:jc w:val="both"/>
        <w:rPr>
          <w:rFonts w:ascii="Times New Roman" w:hAnsi="Times New Roman" w:cs="Times New Roman"/>
        </w:rPr>
      </w:pPr>
      <w:r w:rsidRPr="003B0B54">
        <w:rPr>
          <w:rFonts w:ascii="Times New Roman" w:hAnsi="Times New Roman" w:cs="Times New Roman"/>
        </w:rPr>
        <w:t>r</w:t>
      </w:r>
      <w:r w:rsidR="00531A0B" w:rsidRPr="003B0B54">
        <w:rPr>
          <w:rFonts w:ascii="Times New Roman" w:hAnsi="Times New Roman" w:cs="Times New Roman"/>
        </w:rPr>
        <w:t>egulate the conduct of the company’s affairs in the future.</w:t>
      </w:r>
    </w:p>
    <w:p w:rsidR="008607FC" w:rsidRPr="003B0B54" w:rsidRDefault="008607FC" w:rsidP="003B0B54">
      <w:pPr>
        <w:pStyle w:val="ListParagraph"/>
        <w:numPr>
          <w:ilvl w:val="0"/>
          <w:numId w:val="2"/>
        </w:numPr>
        <w:spacing w:after="0" w:line="240" w:lineRule="auto"/>
        <w:ind w:left="1701" w:hanging="425"/>
        <w:jc w:val="both"/>
        <w:rPr>
          <w:rFonts w:ascii="Times New Roman" w:hAnsi="Times New Roman" w:cs="Times New Roman"/>
        </w:rPr>
      </w:pPr>
      <w:r w:rsidRPr="003B0B54">
        <w:rPr>
          <w:rFonts w:ascii="Times New Roman" w:hAnsi="Times New Roman" w:cs="Times New Roman"/>
        </w:rPr>
        <w:t>r</w:t>
      </w:r>
      <w:r w:rsidR="00531A0B" w:rsidRPr="003B0B54">
        <w:rPr>
          <w:rFonts w:ascii="Times New Roman" w:hAnsi="Times New Roman" w:cs="Times New Roman"/>
        </w:rPr>
        <w:t>equire the company to refrain from doing or continuing an act</w:t>
      </w:r>
      <w:r w:rsidRPr="003B0B54">
        <w:rPr>
          <w:rFonts w:ascii="Times New Roman" w:hAnsi="Times New Roman" w:cs="Times New Roman"/>
        </w:rPr>
        <w:t xml:space="preserve"> complained of by the applicant or to do an act which the applicant has complained it has omitted to do.</w:t>
      </w:r>
    </w:p>
    <w:p w:rsidR="00E24394" w:rsidRPr="003B0B54" w:rsidRDefault="008607FC" w:rsidP="003B0B54">
      <w:pPr>
        <w:pStyle w:val="ListParagraph"/>
        <w:numPr>
          <w:ilvl w:val="0"/>
          <w:numId w:val="2"/>
        </w:numPr>
        <w:spacing w:after="0" w:line="240" w:lineRule="auto"/>
        <w:ind w:left="1701" w:hanging="425"/>
        <w:jc w:val="both"/>
        <w:rPr>
          <w:rFonts w:ascii="Times New Roman" w:hAnsi="Times New Roman" w:cs="Times New Roman"/>
        </w:rPr>
      </w:pPr>
      <w:r w:rsidRPr="003B0B54">
        <w:rPr>
          <w:rFonts w:ascii="Times New Roman" w:hAnsi="Times New Roman" w:cs="Times New Roman"/>
        </w:rPr>
        <w:t>authorize civil proceedings to be brought in the name and on behalf of the company by such person or persons as the court may direct.</w:t>
      </w:r>
    </w:p>
    <w:p w:rsidR="00043D62" w:rsidRDefault="00851416" w:rsidP="003B0B54">
      <w:pPr>
        <w:pStyle w:val="ListParagraph"/>
        <w:numPr>
          <w:ilvl w:val="0"/>
          <w:numId w:val="2"/>
        </w:numPr>
        <w:spacing w:after="0" w:line="240" w:lineRule="auto"/>
        <w:ind w:left="1701" w:hanging="425"/>
        <w:jc w:val="both"/>
        <w:rPr>
          <w:rFonts w:ascii="Times New Roman" w:hAnsi="Times New Roman" w:cs="Times New Roman"/>
        </w:rPr>
      </w:pPr>
      <w:r w:rsidRPr="003B0B54">
        <w:rPr>
          <w:rFonts w:ascii="Times New Roman" w:hAnsi="Times New Roman" w:cs="Times New Roman"/>
        </w:rPr>
        <w:t>p</w:t>
      </w:r>
      <w:r w:rsidR="00E24394" w:rsidRPr="003B0B54">
        <w:rPr>
          <w:rFonts w:ascii="Times New Roman" w:hAnsi="Times New Roman" w:cs="Times New Roman"/>
        </w:rPr>
        <w:t>rovide for the purchase of the shares of any members of the company by other members or by the company itself and in the case of a purchase by the company</w:t>
      </w:r>
      <w:r w:rsidRPr="003B0B54">
        <w:rPr>
          <w:rFonts w:ascii="Times New Roman" w:hAnsi="Times New Roman" w:cs="Times New Roman"/>
        </w:rPr>
        <w:t xml:space="preserve"> itself the reduction of the company’s capital accordingly.”</w:t>
      </w:r>
    </w:p>
    <w:p w:rsidR="003B0B54" w:rsidRPr="003B0B54" w:rsidRDefault="003B0B54" w:rsidP="003B0B54">
      <w:pPr>
        <w:pStyle w:val="ListParagraph"/>
        <w:spacing w:after="0" w:line="240" w:lineRule="auto"/>
        <w:ind w:left="1701"/>
        <w:jc w:val="both"/>
        <w:rPr>
          <w:rFonts w:ascii="Times New Roman" w:hAnsi="Times New Roman" w:cs="Times New Roman"/>
        </w:rPr>
      </w:pPr>
    </w:p>
    <w:p w:rsidR="00F612E6" w:rsidRPr="00285831" w:rsidRDefault="00043D62" w:rsidP="00285831">
      <w:pPr>
        <w:spacing w:after="0" w:line="360" w:lineRule="auto"/>
        <w:ind w:firstLine="720"/>
        <w:jc w:val="both"/>
        <w:rPr>
          <w:rFonts w:ascii="Times New Roman" w:hAnsi="Times New Roman" w:cs="Times New Roman"/>
          <w:sz w:val="24"/>
          <w:szCs w:val="24"/>
        </w:rPr>
      </w:pPr>
      <w:r w:rsidRPr="00285831">
        <w:rPr>
          <w:rFonts w:ascii="Times New Roman" w:hAnsi="Times New Roman" w:cs="Times New Roman"/>
          <w:sz w:val="24"/>
          <w:szCs w:val="24"/>
        </w:rPr>
        <w:t xml:space="preserve">The powers given to the court in terms of s 198 are wide and far reaching, and involve the exercise of a discretion.  That discretion must, of course, be exercised judicially.  The idea is to ensure that the wronged shareholder or shareholders or the company are afforded protection against the oppressive or prejudicial conduct of those who are conducting the affairs of the company contrary to the interests of the other shareholders or the company itself.  </w:t>
      </w:r>
      <w:r w:rsidR="008607FC" w:rsidRPr="00285831">
        <w:rPr>
          <w:rFonts w:ascii="Times New Roman" w:hAnsi="Times New Roman" w:cs="Times New Roman"/>
          <w:sz w:val="24"/>
          <w:szCs w:val="24"/>
        </w:rPr>
        <w:t xml:space="preserve"> </w:t>
      </w:r>
    </w:p>
    <w:p w:rsidR="0082049C" w:rsidRPr="00285831" w:rsidRDefault="00AF0D96" w:rsidP="00285831">
      <w:pPr>
        <w:spacing w:after="0" w:line="360" w:lineRule="auto"/>
        <w:jc w:val="both"/>
        <w:rPr>
          <w:rFonts w:ascii="Times New Roman" w:hAnsi="Times New Roman" w:cs="Times New Roman"/>
          <w:b/>
          <w:sz w:val="24"/>
          <w:szCs w:val="24"/>
          <w:u w:val="single"/>
        </w:rPr>
      </w:pPr>
      <w:r w:rsidRPr="00285831">
        <w:rPr>
          <w:rFonts w:ascii="Times New Roman" w:hAnsi="Times New Roman" w:cs="Times New Roman"/>
          <w:b/>
          <w:sz w:val="24"/>
          <w:szCs w:val="24"/>
          <w:u w:val="single"/>
        </w:rPr>
        <w:t>The issues for determination</w:t>
      </w:r>
    </w:p>
    <w:p w:rsidR="00671EB6" w:rsidRPr="00285831" w:rsidRDefault="00AF0D96" w:rsidP="00285831">
      <w:pPr>
        <w:spacing w:after="0" w:line="360" w:lineRule="auto"/>
        <w:ind w:firstLine="720"/>
        <w:jc w:val="both"/>
        <w:rPr>
          <w:rFonts w:ascii="Times New Roman" w:hAnsi="Times New Roman" w:cs="Times New Roman"/>
          <w:sz w:val="24"/>
          <w:szCs w:val="24"/>
        </w:rPr>
      </w:pPr>
      <w:r w:rsidRPr="00285831">
        <w:rPr>
          <w:rFonts w:ascii="Times New Roman" w:hAnsi="Times New Roman" w:cs="Times New Roman"/>
          <w:sz w:val="24"/>
          <w:szCs w:val="24"/>
        </w:rPr>
        <w:t xml:space="preserve">The issues to be determined are: (a) whether the applicant is a member of the first respondent and (b) whether she is entitled to the relief sought.  The </w:t>
      </w:r>
      <w:r w:rsidR="0027443D" w:rsidRPr="00285831">
        <w:rPr>
          <w:rFonts w:ascii="Times New Roman" w:hAnsi="Times New Roman" w:cs="Times New Roman"/>
          <w:sz w:val="24"/>
          <w:szCs w:val="24"/>
        </w:rPr>
        <w:t xml:space="preserve">second </w:t>
      </w:r>
      <w:r w:rsidRPr="00285831">
        <w:rPr>
          <w:rFonts w:ascii="Times New Roman" w:hAnsi="Times New Roman" w:cs="Times New Roman"/>
          <w:sz w:val="24"/>
          <w:szCs w:val="24"/>
        </w:rPr>
        <w:t xml:space="preserve">respondent submitted that the applicant is not </w:t>
      </w:r>
      <w:r w:rsidR="0027443D" w:rsidRPr="00285831">
        <w:rPr>
          <w:rFonts w:ascii="Times New Roman" w:hAnsi="Times New Roman" w:cs="Times New Roman"/>
          <w:sz w:val="24"/>
          <w:szCs w:val="24"/>
        </w:rPr>
        <w:t xml:space="preserve">a shareholder of the first respondent. But the applicant’s factual averments that she is a shareholder have not been disproved.  The affidavit deposed to by the legal practitioner cannot contest these factual averments.  </w:t>
      </w:r>
      <w:r w:rsidR="00561D8D" w:rsidRPr="00285831">
        <w:rPr>
          <w:rFonts w:ascii="Times New Roman" w:hAnsi="Times New Roman" w:cs="Times New Roman"/>
          <w:sz w:val="24"/>
          <w:szCs w:val="24"/>
        </w:rPr>
        <w:t xml:space="preserve">There is a shareholders’ agreement duly signed by the shareholders of the first respondent, including the second respondent and the applicant.  The minutes of a meeting of 20 December 2008 record the applicant as one of the members of the first respondent.  The second respondent, so it seems, signed those minutes as the Chairman.  </w:t>
      </w:r>
      <w:r w:rsidR="00964710" w:rsidRPr="00285831">
        <w:rPr>
          <w:rFonts w:ascii="Times New Roman" w:hAnsi="Times New Roman" w:cs="Times New Roman"/>
          <w:sz w:val="24"/>
          <w:szCs w:val="24"/>
        </w:rPr>
        <w:t>The a</w:t>
      </w:r>
      <w:r w:rsidR="004B7FD6" w:rsidRPr="00285831">
        <w:rPr>
          <w:rFonts w:ascii="Times New Roman" w:hAnsi="Times New Roman" w:cs="Times New Roman"/>
          <w:sz w:val="24"/>
          <w:szCs w:val="24"/>
        </w:rPr>
        <w:t>pplicant</w:t>
      </w:r>
      <w:r w:rsidR="00203C21" w:rsidRPr="00285831">
        <w:rPr>
          <w:rFonts w:ascii="Times New Roman" w:hAnsi="Times New Roman" w:cs="Times New Roman"/>
          <w:sz w:val="24"/>
          <w:szCs w:val="24"/>
        </w:rPr>
        <w:t xml:space="preserve"> has thus proved that she is a member of the first respondent.</w:t>
      </w:r>
      <w:r w:rsidR="00B33094" w:rsidRPr="00285831">
        <w:rPr>
          <w:rFonts w:ascii="Times New Roman" w:hAnsi="Times New Roman" w:cs="Times New Roman"/>
          <w:sz w:val="24"/>
          <w:szCs w:val="24"/>
        </w:rPr>
        <w:t xml:space="preserve">  </w:t>
      </w:r>
    </w:p>
    <w:p w:rsidR="001D02C0" w:rsidRPr="00285831" w:rsidRDefault="00B33094" w:rsidP="00285831">
      <w:pPr>
        <w:spacing w:after="0" w:line="360" w:lineRule="auto"/>
        <w:ind w:firstLine="720"/>
        <w:jc w:val="both"/>
        <w:rPr>
          <w:rFonts w:ascii="Times New Roman" w:hAnsi="Times New Roman" w:cs="Times New Roman"/>
          <w:sz w:val="24"/>
          <w:szCs w:val="24"/>
        </w:rPr>
      </w:pPr>
      <w:r w:rsidRPr="00285831">
        <w:rPr>
          <w:rFonts w:ascii="Times New Roman" w:hAnsi="Times New Roman" w:cs="Times New Roman"/>
          <w:sz w:val="24"/>
          <w:szCs w:val="24"/>
        </w:rPr>
        <w:t xml:space="preserve">The second respondent’s </w:t>
      </w:r>
      <w:r w:rsidR="00671EB6" w:rsidRPr="00285831">
        <w:rPr>
          <w:rFonts w:ascii="Times New Roman" w:hAnsi="Times New Roman" w:cs="Times New Roman"/>
          <w:sz w:val="24"/>
          <w:szCs w:val="24"/>
        </w:rPr>
        <w:t xml:space="preserve">contention that the application is improperly before the court because it was not authorized by the shareholders of the first respondent is not sound, because the cause of action is one that is available to a member.  Proceedings in terms of s 196 of the Companies Act or under the derivative action require no authorization by the shareholders.  The shareholder who alleges oppression or prejudice arising out of the manner in which the company </w:t>
      </w:r>
      <w:r w:rsidR="00671EB6" w:rsidRPr="00285831">
        <w:rPr>
          <w:rFonts w:ascii="Times New Roman" w:hAnsi="Times New Roman" w:cs="Times New Roman"/>
          <w:sz w:val="24"/>
          <w:szCs w:val="24"/>
        </w:rPr>
        <w:lastRenderedPageBreak/>
        <w:t>is being run is the one who has the entitlement to approach the court for relief.  For these reasons, too, the suggestion that the application is invalid because the applicant is seeking to protect her rights is without substance.</w:t>
      </w:r>
    </w:p>
    <w:p w:rsidR="00867CB1" w:rsidRPr="00285831" w:rsidRDefault="001D02C0" w:rsidP="00285831">
      <w:pPr>
        <w:spacing w:after="0" w:line="360" w:lineRule="auto"/>
        <w:ind w:firstLine="720"/>
        <w:jc w:val="both"/>
        <w:rPr>
          <w:rFonts w:ascii="Times New Roman" w:hAnsi="Times New Roman" w:cs="Times New Roman"/>
          <w:sz w:val="24"/>
          <w:szCs w:val="24"/>
        </w:rPr>
      </w:pPr>
      <w:r w:rsidRPr="00285831">
        <w:rPr>
          <w:rFonts w:ascii="Times New Roman" w:hAnsi="Times New Roman" w:cs="Times New Roman"/>
          <w:sz w:val="24"/>
          <w:szCs w:val="24"/>
        </w:rPr>
        <w:t>It was also argued on behalf of the second respondent that the mortgage bonds complained of were constituted over the properties of the first respondent before the applicant became a member.</w:t>
      </w:r>
      <w:r w:rsidR="00867CB1" w:rsidRPr="00285831">
        <w:rPr>
          <w:rFonts w:ascii="Times New Roman" w:hAnsi="Times New Roman" w:cs="Times New Roman"/>
          <w:sz w:val="24"/>
          <w:szCs w:val="24"/>
        </w:rPr>
        <w:t xml:space="preserve">  In this respect, the legal practitioner who deposed to the affidavit on behalf of the second respondent points to the dates of the mortgage bonds and the date on which the shareholders’ agreement attached to the papers was signed.  The applicant has stated that she has been a member of the company since 2007, and that the written memorandum was meant to confirm her shareholding.  Her averments stand unchallenged.  Indeed, the minutes of annual general meeting referred to earlier on pertain to a meeting that was held on 20 December 2008, which shows that by that time she was already a member of the company.</w:t>
      </w:r>
    </w:p>
    <w:p w:rsidR="0038292D" w:rsidRPr="00285831" w:rsidRDefault="00867CB1" w:rsidP="00285831">
      <w:pPr>
        <w:spacing w:after="0" w:line="360" w:lineRule="auto"/>
        <w:ind w:firstLine="720"/>
        <w:jc w:val="both"/>
        <w:rPr>
          <w:rFonts w:ascii="Times New Roman" w:hAnsi="Times New Roman" w:cs="Times New Roman"/>
          <w:sz w:val="24"/>
          <w:szCs w:val="24"/>
        </w:rPr>
      </w:pPr>
      <w:r w:rsidRPr="00285831">
        <w:rPr>
          <w:rFonts w:ascii="Times New Roman" w:hAnsi="Times New Roman" w:cs="Times New Roman"/>
          <w:sz w:val="24"/>
          <w:szCs w:val="24"/>
        </w:rPr>
        <w:t>The fact that mortgage bonds were constituted over the property of the first respondent has not been disputed by the second respondent.  Second respondent has also not disputed that the other shareholders and directors were not involved and did not consent to the mortgaging of the company’s assets.  It has not been denied that the bonds were meant to secure the second respondent’s personal obligations and not those of the company.  Allegations that the creditors are threatening to foreclose on the mortgage bonds have not been denied.</w:t>
      </w:r>
      <w:r w:rsidR="009A799E" w:rsidRPr="00285831">
        <w:rPr>
          <w:rFonts w:ascii="Times New Roman" w:hAnsi="Times New Roman" w:cs="Times New Roman"/>
          <w:sz w:val="24"/>
          <w:szCs w:val="24"/>
        </w:rPr>
        <w:t xml:space="preserve">  The allegation that the second respondent has not called any meeting but has been unilaterally making decisions affecting the company by himself have also not been denied.  All these allegations must therefore be taken as admitted.  The allegations prove that the affairs of the first respondent are being conducted by the second respondent in a manner that is not only oppressive but also prejudicial to the other shareholders and the company.  The exposure of the company to the personal liabilities of the second respondent exposes the company to liquidation.  The applicant was therefore e</w:t>
      </w:r>
      <w:r w:rsidR="00D45E66" w:rsidRPr="00285831">
        <w:rPr>
          <w:rFonts w:ascii="Times New Roman" w:hAnsi="Times New Roman" w:cs="Times New Roman"/>
          <w:sz w:val="24"/>
          <w:szCs w:val="24"/>
        </w:rPr>
        <w:t xml:space="preserve">ntitled to approach the court </w:t>
      </w:r>
      <w:r w:rsidR="009A799E" w:rsidRPr="00285831">
        <w:rPr>
          <w:rFonts w:ascii="Times New Roman" w:hAnsi="Times New Roman" w:cs="Times New Roman"/>
          <w:sz w:val="24"/>
          <w:szCs w:val="24"/>
        </w:rPr>
        <w:t>in terms of s 196 of the Companies Act to seek relief.</w:t>
      </w:r>
    </w:p>
    <w:p w:rsidR="0038292D" w:rsidRPr="00285831" w:rsidRDefault="0038292D" w:rsidP="00285831">
      <w:pPr>
        <w:spacing w:after="0" w:line="360" w:lineRule="auto"/>
        <w:jc w:val="both"/>
        <w:rPr>
          <w:rFonts w:ascii="Times New Roman" w:hAnsi="Times New Roman" w:cs="Times New Roman"/>
          <w:sz w:val="24"/>
          <w:szCs w:val="24"/>
        </w:rPr>
      </w:pPr>
      <w:r w:rsidRPr="00285831">
        <w:rPr>
          <w:rFonts w:ascii="Times New Roman" w:hAnsi="Times New Roman" w:cs="Times New Roman"/>
          <w:b/>
          <w:sz w:val="24"/>
          <w:szCs w:val="24"/>
          <w:u w:val="single"/>
        </w:rPr>
        <w:t>The relief sought</w:t>
      </w:r>
    </w:p>
    <w:p w:rsidR="000A35C9" w:rsidRPr="00285831" w:rsidRDefault="0038292D" w:rsidP="00285831">
      <w:pPr>
        <w:spacing w:after="0" w:line="360" w:lineRule="auto"/>
        <w:ind w:firstLine="720"/>
        <w:jc w:val="both"/>
        <w:rPr>
          <w:rFonts w:ascii="Times New Roman" w:hAnsi="Times New Roman" w:cs="Times New Roman"/>
          <w:sz w:val="24"/>
          <w:szCs w:val="24"/>
        </w:rPr>
      </w:pPr>
      <w:r w:rsidRPr="00285831">
        <w:rPr>
          <w:rFonts w:ascii="Times New Roman" w:hAnsi="Times New Roman" w:cs="Times New Roman"/>
          <w:sz w:val="24"/>
          <w:szCs w:val="24"/>
        </w:rPr>
        <w:t xml:space="preserve">The applicant asks for an order directing the first respondent to transfer </w:t>
      </w:r>
      <w:r w:rsidR="000D49F5" w:rsidRPr="00285831">
        <w:rPr>
          <w:rFonts w:ascii="Times New Roman" w:hAnsi="Times New Roman" w:cs="Times New Roman"/>
          <w:sz w:val="24"/>
          <w:szCs w:val="24"/>
        </w:rPr>
        <w:t xml:space="preserve">to her </w:t>
      </w:r>
      <w:r w:rsidRPr="00285831">
        <w:rPr>
          <w:rFonts w:ascii="Times New Roman" w:hAnsi="Times New Roman" w:cs="Times New Roman"/>
          <w:sz w:val="24"/>
          <w:szCs w:val="24"/>
        </w:rPr>
        <w:t xml:space="preserve">one hundred and ten </w:t>
      </w:r>
      <w:r w:rsidR="00285831" w:rsidRPr="00285831">
        <w:rPr>
          <w:rFonts w:ascii="Times New Roman" w:hAnsi="Times New Roman" w:cs="Times New Roman"/>
          <w:sz w:val="24"/>
          <w:szCs w:val="24"/>
        </w:rPr>
        <w:t xml:space="preserve">(110) </w:t>
      </w:r>
      <w:r w:rsidRPr="00285831">
        <w:rPr>
          <w:rFonts w:ascii="Times New Roman" w:hAnsi="Times New Roman" w:cs="Times New Roman"/>
          <w:sz w:val="24"/>
          <w:szCs w:val="24"/>
        </w:rPr>
        <w:t>hectares of unencumbered land with road frontage on the Rus</w:t>
      </w:r>
      <w:r w:rsidR="000D49F5" w:rsidRPr="00285831">
        <w:rPr>
          <w:rFonts w:ascii="Times New Roman" w:hAnsi="Times New Roman" w:cs="Times New Roman"/>
          <w:sz w:val="24"/>
          <w:szCs w:val="24"/>
        </w:rPr>
        <w:t>ape dam highway</w:t>
      </w:r>
      <w:r w:rsidRPr="00285831">
        <w:rPr>
          <w:rFonts w:ascii="Times New Roman" w:hAnsi="Times New Roman" w:cs="Times New Roman"/>
          <w:sz w:val="24"/>
          <w:szCs w:val="24"/>
        </w:rPr>
        <w:t xml:space="preserve">.  The land is to be taken from the properties registered under the deed of transfer and deeds of grant stated in the draft order.  She wants the court to order the first respondent to pay the taxes and costs </w:t>
      </w:r>
      <w:r w:rsidRPr="00285831">
        <w:rPr>
          <w:rFonts w:ascii="Times New Roman" w:hAnsi="Times New Roman" w:cs="Times New Roman"/>
          <w:sz w:val="24"/>
          <w:szCs w:val="24"/>
        </w:rPr>
        <w:lastRenderedPageBreak/>
        <w:t>involved in the said transfer.  The applicant, further, asks that pending the transfer</w:t>
      </w:r>
      <w:r w:rsidR="000D49F5" w:rsidRPr="00285831">
        <w:rPr>
          <w:rFonts w:ascii="Times New Roman" w:hAnsi="Times New Roman" w:cs="Times New Roman"/>
          <w:sz w:val="24"/>
          <w:szCs w:val="24"/>
        </w:rPr>
        <w:t xml:space="preserve"> of the land </w:t>
      </w:r>
      <w:r w:rsidRPr="00285831">
        <w:rPr>
          <w:rFonts w:ascii="Times New Roman" w:hAnsi="Times New Roman" w:cs="Times New Roman"/>
          <w:sz w:val="24"/>
          <w:szCs w:val="24"/>
        </w:rPr>
        <w:t>to her, the second respondent must be interdicted from encumbering or alienating the immovable property of the first respondent other than with the consent of the applicant given in a general meeting of shareholders.</w:t>
      </w:r>
    </w:p>
    <w:p w:rsidR="000A35C9" w:rsidRPr="00285831" w:rsidRDefault="000A35C9" w:rsidP="00285831">
      <w:pPr>
        <w:spacing w:after="0" w:line="360" w:lineRule="auto"/>
        <w:ind w:firstLine="720"/>
        <w:jc w:val="both"/>
        <w:rPr>
          <w:rFonts w:ascii="Times New Roman" w:hAnsi="Times New Roman" w:cs="Times New Roman"/>
          <w:sz w:val="24"/>
          <w:szCs w:val="24"/>
        </w:rPr>
      </w:pPr>
      <w:r w:rsidRPr="00285831">
        <w:rPr>
          <w:rFonts w:ascii="Times New Roman" w:hAnsi="Times New Roman" w:cs="Times New Roman"/>
          <w:sz w:val="24"/>
          <w:szCs w:val="24"/>
        </w:rPr>
        <w:t xml:space="preserve">In the shareholders agreement, the shareholders contemplated the kind of relief which the applicant seeks </w:t>
      </w:r>
      <w:r w:rsidRPr="00285831">
        <w:rPr>
          <w:rFonts w:ascii="Times New Roman" w:hAnsi="Times New Roman" w:cs="Times New Roman"/>
          <w:i/>
          <w:sz w:val="24"/>
          <w:szCs w:val="24"/>
        </w:rPr>
        <w:t>in casu</w:t>
      </w:r>
      <w:r w:rsidRPr="00285831">
        <w:rPr>
          <w:rFonts w:ascii="Times New Roman" w:hAnsi="Times New Roman" w:cs="Times New Roman"/>
          <w:sz w:val="24"/>
          <w:szCs w:val="24"/>
        </w:rPr>
        <w:t>, hence the provision under the clause numbered “D”, that a member was entitled to land equal to the value of his or her shareholding and to title to that share of land.  The applicant’s shareholding translates to one hundred and ten hectares of land.  She is therefore entitled to that land.</w:t>
      </w:r>
      <w:r w:rsidR="00E934CF" w:rsidRPr="00285831">
        <w:rPr>
          <w:rFonts w:ascii="Times New Roman" w:hAnsi="Times New Roman" w:cs="Times New Roman"/>
          <w:sz w:val="24"/>
          <w:szCs w:val="24"/>
        </w:rPr>
        <w:t xml:space="preserve">  There is, however, the reality that if there are mortgage bonds </w:t>
      </w:r>
      <w:r w:rsidR="000D49F5" w:rsidRPr="00285831">
        <w:rPr>
          <w:rFonts w:ascii="Times New Roman" w:hAnsi="Times New Roman" w:cs="Times New Roman"/>
          <w:sz w:val="24"/>
          <w:szCs w:val="24"/>
        </w:rPr>
        <w:t>registered on the property th</w:t>
      </w:r>
      <w:r w:rsidR="00E934CF" w:rsidRPr="00285831">
        <w:rPr>
          <w:rFonts w:ascii="Times New Roman" w:hAnsi="Times New Roman" w:cs="Times New Roman"/>
          <w:sz w:val="24"/>
          <w:szCs w:val="24"/>
        </w:rPr>
        <w:t>e</w:t>
      </w:r>
      <w:r w:rsidR="000D49F5" w:rsidRPr="00285831">
        <w:rPr>
          <w:rFonts w:ascii="Times New Roman" w:hAnsi="Times New Roman" w:cs="Times New Roman"/>
          <w:sz w:val="24"/>
          <w:szCs w:val="24"/>
        </w:rPr>
        <w:t>y</w:t>
      </w:r>
      <w:r w:rsidR="00E934CF" w:rsidRPr="00285831">
        <w:rPr>
          <w:rFonts w:ascii="Times New Roman" w:hAnsi="Times New Roman" w:cs="Times New Roman"/>
          <w:sz w:val="24"/>
          <w:szCs w:val="24"/>
        </w:rPr>
        <w:t xml:space="preserve"> would have to be</w:t>
      </w:r>
      <w:r w:rsidR="000D49F5" w:rsidRPr="00285831">
        <w:rPr>
          <w:rFonts w:ascii="Times New Roman" w:hAnsi="Times New Roman" w:cs="Times New Roman"/>
          <w:sz w:val="24"/>
          <w:szCs w:val="24"/>
        </w:rPr>
        <w:t xml:space="preserve"> uplifted before</w:t>
      </w:r>
      <w:r w:rsidR="00E934CF" w:rsidRPr="00285831">
        <w:rPr>
          <w:rFonts w:ascii="Times New Roman" w:hAnsi="Times New Roman" w:cs="Times New Roman"/>
          <w:sz w:val="24"/>
          <w:szCs w:val="24"/>
        </w:rPr>
        <w:t xml:space="preserve"> any portion of the land can be alienated.  This is so because the mortgage bond encu</w:t>
      </w:r>
      <w:r w:rsidR="000D49F5" w:rsidRPr="00285831">
        <w:rPr>
          <w:rFonts w:ascii="Times New Roman" w:hAnsi="Times New Roman" w:cs="Times New Roman"/>
          <w:sz w:val="24"/>
          <w:szCs w:val="24"/>
        </w:rPr>
        <w:t>mbers the entire, not a portion</w:t>
      </w:r>
      <w:r w:rsidR="00E934CF" w:rsidRPr="00285831">
        <w:rPr>
          <w:rFonts w:ascii="Times New Roman" w:hAnsi="Times New Roman" w:cs="Times New Roman"/>
          <w:sz w:val="24"/>
          <w:szCs w:val="24"/>
        </w:rPr>
        <w:t xml:space="preserve"> of</w:t>
      </w:r>
      <w:r w:rsidR="000D49F5" w:rsidRPr="00285831">
        <w:rPr>
          <w:rFonts w:ascii="Times New Roman" w:hAnsi="Times New Roman" w:cs="Times New Roman"/>
          <w:sz w:val="24"/>
          <w:szCs w:val="24"/>
        </w:rPr>
        <w:t>,</w:t>
      </w:r>
      <w:r w:rsidR="00E934CF" w:rsidRPr="00285831">
        <w:rPr>
          <w:rFonts w:ascii="Times New Roman" w:hAnsi="Times New Roman" w:cs="Times New Roman"/>
          <w:sz w:val="24"/>
          <w:szCs w:val="24"/>
        </w:rPr>
        <w:t xml:space="preserve"> the land, if the land is under one deed of transfer or deed of grant.  However, these are matters that the first respondent can attend to in the course of the subdivision of the land. </w:t>
      </w:r>
    </w:p>
    <w:p w:rsidR="00D86304" w:rsidRPr="00285831" w:rsidRDefault="00D86304" w:rsidP="00285831">
      <w:pPr>
        <w:spacing w:after="0" w:line="360" w:lineRule="auto"/>
        <w:jc w:val="both"/>
        <w:rPr>
          <w:rFonts w:ascii="Times New Roman" w:hAnsi="Times New Roman" w:cs="Times New Roman"/>
          <w:sz w:val="24"/>
          <w:szCs w:val="24"/>
        </w:rPr>
      </w:pPr>
      <w:r w:rsidRPr="00285831">
        <w:rPr>
          <w:rFonts w:ascii="Times New Roman" w:hAnsi="Times New Roman" w:cs="Times New Roman"/>
          <w:b/>
          <w:sz w:val="24"/>
          <w:szCs w:val="24"/>
          <w:u w:val="single"/>
        </w:rPr>
        <w:t>Costs</w:t>
      </w:r>
    </w:p>
    <w:p w:rsidR="008C04A2" w:rsidRPr="00285831" w:rsidRDefault="00D86304" w:rsidP="00285831">
      <w:pPr>
        <w:spacing w:after="0" w:line="360" w:lineRule="auto"/>
        <w:ind w:firstLine="720"/>
        <w:jc w:val="both"/>
        <w:rPr>
          <w:rFonts w:ascii="Times New Roman" w:hAnsi="Times New Roman" w:cs="Times New Roman"/>
          <w:sz w:val="24"/>
          <w:szCs w:val="24"/>
        </w:rPr>
      </w:pPr>
      <w:r w:rsidRPr="00285831">
        <w:rPr>
          <w:rFonts w:ascii="Times New Roman" w:hAnsi="Times New Roman" w:cs="Times New Roman"/>
          <w:sz w:val="24"/>
          <w:szCs w:val="24"/>
        </w:rPr>
        <w:t xml:space="preserve">The applicant has sought costs against the second respondent on the </w:t>
      </w:r>
      <w:r w:rsidR="008C04A2" w:rsidRPr="00285831">
        <w:rPr>
          <w:rFonts w:ascii="Times New Roman" w:hAnsi="Times New Roman" w:cs="Times New Roman"/>
          <w:sz w:val="24"/>
          <w:szCs w:val="24"/>
        </w:rPr>
        <w:t>attorney-client scale.  This is a punitive order of costs which is granted in special circumstances, such as where the defence advanced is vexatious, or where the affected party is guilty of</w:t>
      </w:r>
      <w:r w:rsidR="00A40A9A" w:rsidRPr="00285831">
        <w:rPr>
          <w:rFonts w:ascii="Times New Roman" w:hAnsi="Times New Roman" w:cs="Times New Roman"/>
          <w:sz w:val="24"/>
          <w:szCs w:val="24"/>
        </w:rPr>
        <w:t xml:space="preserve"> some reprehensible conduct</w:t>
      </w:r>
      <w:r w:rsidR="008C04A2" w:rsidRPr="00285831">
        <w:rPr>
          <w:rFonts w:ascii="Times New Roman" w:hAnsi="Times New Roman" w:cs="Times New Roman"/>
          <w:sz w:val="24"/>
          <w:szCs w:val="24"/>
        </w:rPr>
        <w:t>.  In the present case no such special reasons were shown to exist.  The conduct complained of has been going on for a long time.  The applicant only approached the court in 2019.  There is no evidence that the applicant tried to stop the second respondent from conducting the affairs of the first respondent in the manner complained of at the time that he</w:t>
      </w:r>
      <w:r w:rsidR="0075314E" w:rsidRPr="00285831">
        <w:rPr>
          <w:rFonts w:ascii="Times New Roman" w:hAnsi="Times New Roman" w:cs="Times New Roman"/>
          <w:sz w:val="24"/>
          <w:szCs w:val="24"/>
        </w:rPr>
        <w:t xml:space="preserve"> registered the mortgage bonds</w:t>
      </w:r>
      <w:r w:rsidR="008C04A2" w:rsidRPr="00285831">
        <w:rPr>
          <w:rFonts w:ascii="Times New Roman" w:hAnsi="Times New Roman" w:cs="Times New Roman"/>
          <w:sz w:val="24"/>
          <w:szCs w:val="24"/>
        </w:rPr>
        <w:t xml:space="preserve">.  Also, the second </w:t>
      </w:r>
      <w:r w:rsidR="0075314E" w:rsidRPr="00285831">
        <w:rPr>
          <w:rFonts w:ascii="Times New Roman" w:hAnsi="Times New Roman" w:cs="Times New Roman"/>
          <w:sz w:val="24"/>
          <w:szCs w:val="24"/>
        </w:rPr>
        <w:t xml:space="preserve">respondent himself did not personally </w:t>
      </w:r>
      <w:r w:rsidR="008C04A2" w:rsidRPr="00285831">
        <w:rPr>
          <w:rFonts w:ascii="Times New Roman" w:hAnsi="Times New Roman" w:cs="Times New Roman"/>
          <w:sz w:val="24"/>
          <w:szCs w:val="24"/>
        </w:rPr>
        <w:t>contest the application.  Instead, his legal practitioner filed an opposing affidavit in circumstances which even the applicant has challenged.  For these reasons, only costs on the ordinary scale would be justified.</w:t>
      </w:r>
    </w:p>
    <w:p w:rsidR="008C04A2" w:rsidRPr="00285831" w:rsidRDefault="008C04A2" w:rsidP="00285831">
      <w:pPr>
        <w:spacing w:after="0" w:line="360" w:lineRule="auto"/>
        <w:jc w:val="both"/>
        <w:rPr>
          <w:rFonts w:ascii="Times New Roman" w:hAnsi="Times New Roman" w:cs="Times New Roman"/>
          <w:sz w:val="24"/>
          <w:szCs w:val="24"/>
        </w:rPr>
      </w:pPr>
      <w:r w:rsidRPr="00285831">
        <w:rPr>
          <w:rFonts w:ascii="Times New Roman" w:hAnsi="Times New Roman" w:cs="Times New Roman"/>
          <w:b/>
          <w:sz w:val="24"/>
          <w:szCs w:val="24"/>
          <w:u w:val="single"/>
        </w:rPr>
        <w:t>Disposition</w:t>
      </w:r>
    </w:p>
    <w:p w:rsidR="008C04A2" w:rsidRPr="00285831" w:rsidRDefault="008C04A2" w:rsidP="00285831">
      <w:pPr>
        <w:spacing w:after="0" w:line="360" w:lineRule="auto"/>
        <w:ind w:firstLine="360"/>
        <w:jc w:val="both"/>
        <w:rPr>
          <w:rFonts w:ascii="Times New Roman" w:hAnsi="Times New Roman" w:cs="Times New Roman"/>
          <w:sz w:val="24"/>
          <w:szCs w:val="24"/>
        </w:rPr>
      </w:pPr>
      <w:r w:rsidRPr="00285831">
        <w:rPr>
          <w:rFonts w:ascii="Times New Roman" w:hAnsi="Times New Roman" w:cs="Times New Roman"/>
          <w:sz w:val="24"/>
          <w:szCs w:val="24"/>
        </w:rPr>
        <w:t>In the result, IT IS ORDERED THAT:</w:t>
      </w:r>
    </w:p>
    <w:p w:rsidR="00E934CF" w:rsidRPr="00285831" w:rsidRDefault="008C04A2" w:rsidP="00285831">
      <w:pPr>
        <w:pStyle w:val="ListParagraph"/>
        <w:numPr>
          <w:ilvl w:val="0"/>
          <w:numId w:val="3"/>
        </w:numPr>
        <w:spacing w:after="0" w:line="360" w:lineRule="auto"/>
        <w:jc w:val="both"/>
        <w:rPr>
          <w:rFonts w:ascii="Times New Roman" w:hAnsi="Times New Roman" w:cs="Times New Roman"/>
          <w:sz w:val="24"/>
          <w:szCs w:val="24"/>
        </w:rPr>
      </w:pPr>
      <w:r w:rsidRPr="00285831">
        <w:rPr>
          <w:rFonts w:ascii="Times New Roman" w:hAnsi="Times New Roman" w:cs="Times New Roman"/>
          <w:sz w:val="24"/>
          <w:szCs w:val="24"/>
        </w:rPr>
        <w:t>The first respondent transfers to the applicant one hundred and ten (110) hectares of unencumbered land with road frontage on the Rusape dam highway</w:t>
      </w:r>
      <w:r w:rsidR="00E934CF" w:rsidRPr="00285831">
        <w:rPr>
          <w:rFonts w:ascii="Times New Roman" w:hAnsi="Times New Roman" w:cs="Times New Roman"/>
          <w:sz w:val="24"/>
          <w:szCs w:val="24"/>
        </w:rPr>
        <w:t xml:space="preserve"> from the property held under Deed of Transfer Number 7972/2008, Deed of Grant Number 6600/2008 and Deed of Grant Number 8874/2008, failing which the Sheriff of the High Court be and is hereby </w:t>
      </w:r>
      <w:r w:rsidR="00E934CF" w:rsidRPr="00285831">
        <w:rPr>
          <w:rFonts w:ascii="Times New Roman" w:hAnsi="Times New Roman" w:cs="Times New Roman"/>
          <w:sz w:val="24"/>
          <w:szCs w:val="24"/>
        </w:rPr>
        <w:lastRenderedPageBreak/>
        <w:t>authorized to take all steps reasonably necessary, including signing all the necessary documents, to give effect to this order.</w:t>
      </w:r>
    </w:p>
    <w:p w:rsidR="00E934CF" w:rsidRPr="00285831" w:rsidRDefault="00E934CF" w:rsidP="00285831">
      <w:pPr>
        <w:pStyle w:val="ListParagraph"/>
        <w:numPr>
          <w:ilvl w:val="0"/>
          <w:numId w:val="3"/>
        </w:numPr>
        <w:spacing w:after="0" w:line="360" w:lineRule="auto"/>
        <w:jc w:val="both"/>
        <w:rPr>
          <w:rFonts w:ascii="Times New Roman" w:hAnsi="Times New Roman" w:cs="Times New Roman"/>
          <w:sz w:val="24"/>
          <w:szCs w:val="24"/>
        </w:rPr>
      </w:pPr>
      <w:r w:rsidRPr="00285831">
        <w:rPr>
          <w:rFonts w:ascii="Times New Roman" w:hAnsi="Times New Roman" w:cs="Times New Roman"/>
          <w:sz w:val="24"/>
          <w:szCs w:val="24"/>
        </w:rPr>
        <w:t>The first respondent shall pay all the costs, including taxes and outstanding rates, necessary to give effect to paragraph 1 hereof.</w:t>
      </w:r>
    </w:p>
    <w:p w:rsidR="00735A57" w:rsidRPr="00285831" w:rsidRDefault="00E934CF" w:rsidP="00285831">
      <w:pPr>
        <w:pStyle w:val="ListParagraph"/>
        <w:numPr>
          <w:ilvl w:val="0"/>
          <w:numId w:val="3"/>
        </w:numPr>
        <w:spacing w:after="0" w:line="360" w:lineRule="auto"/>
        <w:jc w:val="both"/>
        <w:rPr>
          <w:rFonts w:ascii="Times New Roman" w:hAnsi="Times New Roman" w:cs="Times New Roman"/>
          <w:sz w:val="24"/>
          <w:szCs w:val="24"/>
        </w:rPr>
      </w:pPr>
      <w:r w:rsidRPr="00285831">
        <w:rPr>
          <w:rFonts w:ascii="Times New Roman" w:hAnsi="Times New Roman" w:cs="Times New Roman"/>
          <w:sz w:val="24"/>
          <w:szCs w:val="24"/>
        </w:rPr>
        <w:t>Pending compliance with para</w:t>
      </w:r>
      <w:r w:rsidR="00285831" w:rsidRPr="00285831">
        <w:rPr>
          <w:rFonts w:ascii="Times New Roman" w:hAnsi="Times New Roman" w:cs="Times New Roman"/>
          <w:sz w:val="24"/>
          <w:szCs w:val="24"/>
        </w:rPr>
        <w:t>gra</w:t>
      </w:r>
      <w:r w:rsidRPr="00285831">
        <w:rPr>
          <w:rFonts w:ascii="Times New Roman" w:hAnsi="Times New Roman" w:cs="Times New Roman"/>
          <w:sz w:val="24"/>
          <w:szCs w:val="24"/>
        </w:rPr>
        <w:t xml:space="preserve">phs 1 and 2 hereof, the second respondent be and is hereby interdicted from mortgaging, alienating or </w:t>
      </w:r>
      <w:r w:rsidR="00735A57" w:rsidRPr="00285831">
        <w:rPr>
          <w:rFonts w:ascii="Times New Roman" w:hAnsi="Times New Roman" w:cs="Times New Roman"/>
          <w:sz w:val="24"/>
          <w:szCs w:val="24"/>
        </w:rPr>
        <w:t>otherwise encumbering the immovable property described in paragraph 1 hereof other than with the consent of the applicant given in a general meeting of shareholders of the first respondent.</w:t>
      </w:r>
    </w:p>
    <w:p w:rsidR="00735A57" w:rsidRPr="00285831" w:rsidRDefault="00735A57" w:rsidP="00285831">
      <w:pPr>
        <w:pStyle w:val="ListParagraph"/>
        <w:numPr>
          <w:ilvl w:val="0"/>
          <w:numId w:val="3"/>
        </w:numPr>
        <w:spacing w:after="0" w:line="360" w:lineRule="auto"/>
        <w:jc w:val="both"/>
        <w:rPr>
          <w:rFonts w:ascii="Times New Roman" w:hAnsi="Times New Roman" w:cs="Times New Roman"/>
          <w:sz w:val="24"/>
          <w:szCs w:val="24"/>
        </w:rPr>
      </w:pPr>
      <w:r w:rsidRPr="00285831">
        <w:rPr>
          <w:rFonts w:ascii="Times New Roman" w:hAnsi="Times New Roman" w:cs="Times New Roman"/>
          <w:sz w:val="24"/>
          <w:szCs w:val="24"/>
        </w:rPr>
        <w:t>Second respondent shall pay the costs of suit.</w:t>
      </w:r>
    </w:p>
    <w:p w:rsidR="00735A57" w:rsidRPr="00285831" w:rsidRDefault="00735A57" w:rsidP="00285831">
      <w:pPr>
        <w:spacing w:after="0" w:line="360" w:lineRule="auto"/>
        <w:jc w:val="both"/>
        <w:rPr>
          <w:rFonts w:ascii="Times New Roman" w:hAnsi="Times New Roman" w:cs="Times New Roman"/>
          <w:sz w:val="24"/>
          <w:szCs w:val="24"/>
        </w:rPr>
      </w:pPr>
    </w:p>
    <w:p w:rsidR="00285831" w:rsidRDefault="00285831" w:rsidP="00285831">
      <w:pPr>
        <w:spacing w:after="0" w:line="360" w:lineRule="auto"/>
        <w:jc w:val="both"/>
        <w:rPr>
          <w:rFonts w:ascii="Times New Roman" w:hAnsi="Times New Roman" w:cs="Times New Roman"/>
          <w:sz w:val="24"/>
          <w:szCs w:val="24"/>
        </w:rPr>
      </w:pPr>
    </w:p>
    <w:p w:rsidR="00285831" w:rsidRDefault="00285831" w:rsidP="00285831">
      <w:pPr>
        <w:spacing w:after="0" w:line="360" w:lineRule="auto"/>
        <w:jc w:val="both"/>
        <w:rPr>
          <w:rFonts w:ascii="Times New Roman" w:hAnsi="Times New Roman" w:cs="Times New Roman"/>
          <w:sz w:val="24"/>
          <w:szCs w:val="24"/>
        </w:rPr>
      </w:pPr>
    </w:p>
    <w:p w:rsidR="00285831" w:rsidRPr="00285831" w:rsidRDefault="00285831" w:rsidP="00285831">
      <w:pPr>
        <w:spacing w:after="0" w:line="360" w:lineRule="auto"/>
        <w:jc w:val="both"/>
        <w:rPr>
          <w:rFonts w:ascii="Times New Roman" w:hAnsi="Times New Roman" w:cs="Times New Roman"/>
          <w:sz w:val="24"/>
          <w:szCs w:val="24"/>
        </w:rPr>
      </w:pPr>
    </w:p>
    <w:p w:rsidR="00735A57" w:rsidRPr="00285831" w:rsidRDefault="00735A57" w:rsidP="00285831">
      <w:pPr>
        <w:spacing w:after="0" w:line="240" w:lineRule="auto"/>
        <w:jc w:val="both"/>
        <w:rPr>
          <w:rFonts w:ascii="Times New Roman" w:hAnsi="Times New Roman" w:cs="Times New Roman"/>
          <w:sz w:val="24"/>
          <w:szCs w:val="24"/>
        </w:rPr>
      </w:pPr>
      <w:r w:rsidRPr="00285831">
        <w:rPr>
          <w:rFonts w:ascii="Times New Roman" w:hAnsi="Times New Roman" w:cs="Times New Roman"/>
          <w:i/>
          <w:sz w:val="24"/>
          <w:szCs w:val="24"/>
        </w:rPr>
        <w:t>AB &amp; David</w:t>
      </w:r>
      <w:r w:rsidRPr="00285831">
        <w:rPr>
          <w:rFonts w:ascii="Times New Roman" w:hAnsi="Times New Roman" w:cs="Times New Roman"/>
          <w:sz w:val="24"/>
          <w:szCs w:val="24"/>
        </w:rPr>
        <w:t>, applicant’s legal practitioners</w:t>
      </w:r>
    </w:p>
    <w:p w:rsidR="00AF0D96" w:rsidRPr="00285831" w:rsidRDefault="00735A57" w:rsidP="00735A57">
      <w:pPr>
        <w:jc w:val="both"/>
        <w:rPr>
          <w:rFonts w:ascii="Times New Roman" w:hAnsi="Times New Roman" w:cs="Times New Roman"/>
          <w:sz w:val="24"/>
          <w:szCs w:val="24"/>
        </w:rPr>
      </w:pPr>
      <w:r w:rsidRPr="00285831">
        <w:rPr>
          <w:rFonts w:ascii="Times New Roman" w:hAnsi="Times New Roman" w:cs="Times New Roman"/>
          <w:i/>
          <w:sz w:val="24"/>
          <w:szCs w:val="24"/>
        </w:rPr>
        <w:t>GN Mlotshwa &amp; Company</w:t>
      </w:r>
      <w:r w:rsidRPr="00285831">
        <w:rPr>
          <w:rFonts w:ascii="Times New Roman" w:hAnsi="Times New Roman" w:cs="Times New Roman"/>
          <w:sz w:val="24"/>
          <w:szCs w:val="24"/>
        </w:rPr>
        <w:t>, second respondent’s legal practitioners</w:t>
      </w:r>
      <w:r w:rsidR="008C04A2" w:rsidRPr="00285831">
        <w:rPr>
          <w:rFonts w:ascii="Times New Roman" w:hAnsi="Times New Roman" w:cs="Times New Roman"/>
          <w:sz w:val="24"/>
          <w:szCs w:val="24"/>
        </w:rPr>
        <w:t xml:space="preserve">  </w:t>
      </w:r>
      <w:r w:rsidR="0038292D" w:rsidRPr="00285831">
        <w:rPr>
          <w:rFonts w:ascii="Times New Roman" w:hAnsi="Times New Roman" w:cs="Times New Roman"/>
          <w:sz w:val="24"/>
          <w:szCs w:val="24"/>
        </w:rPr>
        <w:t xml:space="preserve"> </w:t>
      </w:r>
      <w:r w:rsidR="009A799E" w:rsidRPr="00285831">
        <w:rPr>
          <w:rFonts w:ascii="Times New Roman" w:hAnsi="Times New Roman" w:cs="Times New Roman"/>
          <w:sz w:val="24"/>
          <w:szCs w:val="24"/>
        </w:rPr>
        <w:t xml:space="preserve"> </w:t>
      </w:r>
      <w:r w:rsidR="00561D8D" w:rsidRPr="00285831">
        <w:rPr>
          <w:rFonts w:ascii="Times New Roman" w:hAnsi="Times New Roman" w:cs="Times New Roman"/>
          <w:sz w:val="24"/>
          <w:szCs w:val="24"/>
        </w:rPr>
        <w:t xml:space="preserve"> </w:t>
      </w:r>
      <w:r w:rsidR="00AF0D96" w:rsidRPr="00285831">
        <w:rPr>
          <w:rFonts w:ascii="Times New Roman" w:hAnsi="Times New Roman" w:cs="Times New Roman"/>
          <w:sz w:val="24"/>
          <w:szCs w:val="24"/>
        </w:rPr>
        <w:t xml:space="preserve"> </w:t>
      </w:r>
    </w:p>
    <w:sectPr w:rsidR="00AF0D96" w:rsidRPr="0028583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44A" w:rsidRDefault="0033444A" w:rsidP="003B0B54">
      <w:pPr>
        <w:spacing w:after="0" w:line="240" w:lineRule="auto"/>
      </w:pPr>
      <w:r>
        <w:separator/>
      </w:r>
    </w:p>
  </w:endnote>
  <w:endnote w:type="continuationSeparator" w:id="0">
    <w:p w:rsidR="0033444A" w:rsidRDefault="0033444A" w:rsidP="003B0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B54" w:rsidRDefault="003B0B54">
    <w:pPr>
      <w:pStyle w:val="Footer"/>
      <w:jc w:val="right"/>
    </w:pPr>
  </w:p>
  <w:p w:rsidR="003B0B54" w:rsidRDefault="003B0B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44A" w:rsidRDefault="0033444A" w:rsidP="003B0B54">
      <w:pPr>
        <w:spacing w:after="0" w:line="240" w:lineRule="auto"/>
      </w:pPr>
      <w:r>
        <w:separator/>
      </w:r>
    </w:p>
  </w:footnote>
  <w:footnote w:type="continuationSeparator" w:id="0">
    <w:p w:rsidR="0033444A" w:rsidRDefault="0033444A" w:rsidP="003B0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256664"/>
      <w:docPartObj>
        <w:docPartGallery w:val="Page Numbers (Top of Page)"/>
        <w:docPartUnique/>
      </w:docPartObj>
    </w:sdtPr>
    <w:sdtEndPr>
      <w:rPr>
        <w:noProof/>
      </w:rPr>
    </w:sdtEndPr>
    <w:sdtContent>
      <w:p w:rsidR="003B0B54" w:rsidRDefault="003B0B54">
        <w:pPr>
          <w:pStyle w:val="Header"/>
          <w:jc w:val="right"/>
          <w:rPr>
            <w:noProof/>
          </w:rPr>
        </w:pPr>
        <w:r>
          <w:fldChar w:fldCharType="begin"/>
        </w:r>
        <w:r>
          <w:instrText xml:space="preserve"> PAGE   \* MERGEFORMAT </w:instrText>
        </w:r>
        <w:r>
          <w:fldChar w:fldCharType="separate"/>
        </w:r>
        <w:r w:rsidR="004B63A3">
          <w:rPr>
            <w:noProof/>
          </w:rPr>
          <w:t>1</w:t>
        </w:r>
        <w:r>
          <w:rPr>
            <w:noProof/>
          </w:rPr>
          <w:fldChar w:fldCharType="end"/>
        </w:r>
      </w:p>
      <w:p w:rsidR="003B0B54" w:rsidRDefault="003B0B54">
        <w:pPr>
          <w:pStyle w:val="Header"/>
          <w:jc w:val="right"/>
          <w:rPr>
            <w:noProof/>
          </w:rPr>
        </w:pPr>
        <w:r>
          <w:rPr>
            <w:noProof/>
          </w:rPr>
          <w:t>HH</w:t>
        </w:r>
        <w:r w:rsidR="00DB0390">
          <w:rPr>
            <w:noProof/>
          </w:rPr>
          <w:t xml:space="preserve"> 107-22</w:t>
        </w:r>
      </w:p>
      <w:p w:rsidR="003B0B54" w:rsidRDefault="003B0B54">
        <w:pPr>
          <w:pStyle w:val="Header"/>
          <w:jc w:val="right"/>
        </w:pPr>
        <w:r>
          <w:rPr>
            <w:noProof/>
          </w:rPr>
          <w:t>HC 10161/19</w:t>
        </w:r>
      </w:p>
    </w:sdtContent>
  </w:sdt>
  <w:p w:rsidR="003B0B54" w:rsidRDefault="003B0B5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92330"/>
    <w:multiLevelType w:val="hybridMultilevel"/>
    <w:tmpl w:val="309061DE"/>
    <w:lvl w:ilvl="0" w:tplc="FD94B3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EBA4C5F"/>
    <w:multiLevelType w:val="hybridMultilevel"/>
    <w:tmpl w:val="2B2A4412"/>
    <w:lvl w:ilvl="0" w:tplc="3BE052B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6FEB67B1"/>
    <w:multiLevelType w:val="hybridMultilevel"/>
    <w:tmpl w:val="45868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872"/>
    <w:rsid w:val="000209D2"/>
    <w:rsid w:val="0003470C"/>
    <w:rsid w:val="00043D62"/>
    <w:rsid w:val="00056872"/>
    <w:rsid w:val="00064004"/>
    <w:rsid w:val="000A35C9"/>
    <w:rsid w:val="000D49F5"/>
    <w:rsid w:val="00155FB3"/>
    <w:rsid w:val="00156B7D"/>
    <w:rsid w:val="001750B9"/>
    <w:rsid w:val="0018268D"/>
    <w:rsid w:val="00185430"/>
    <w:rsid w:val="001C2AD7"/>
    <w:rsid w:val="001D02C0"/>
    <w:rsid w:val="001F46EA"/>
    <w:rsid w:val="00203ADF"/>
    <w:rsid w:val="00203C21"/>
    <w:rsid w:val="0021106A"/>
    <w:rsid w:val="0027443D"/>
    <w:rsid w:val="00285831"/>
    <w:rsid w:val="002C7CC2"/>
    <w:rsid w:val="002F2709"/>
    <w:rsid w:val="002F5500"/>
    <w:rsid w:val="0033444A"/>
    <w:rsid w:val="00345A1A"/>
    <w:rsid w:val="0038292D"/>
    <w:rsid w:val="003B0B54"/>
    <w:rsid w:val="003C6D29"/>
    <w:rsid w:val="003E70D2"/>
    <w:rsid w:val="00400915"/>
    <w:rsid w:val="004740B2"/>
    <w:rsid w:val="00481165"/>
    <w:rsid w:val="00490915"/>
    <w:rsid w:val="004B63A3"/>
    <w:rsid w:val="004B7FD6"/>
    <w:rsid w:val="00514797"/>
    <w:rsid w:val="0052178B"/>
    <w:rsid w:val="00531A0B"/>
    <w:rsid w:val="00561D8D"/>
    <w:rsid w:val="005759BF"/>
    <w:rsid w:val="005A7A92"/>
    <w:rsid w:val="005B6D4E"/>
    <w:rsid w:val="00671EB6"/>
    <w:rsid w:val="00687A86"/>
    <w:rsid w:val="00735A57"/>
    <w:rsid w:val="0075314E"/>
    <w:rsid w:val="0082049C"/>
    <w:rsid w:val="00851416"/>
    <w:rsid w:val="008607FC"/>
    <w:rsid w:val="00867CB1"/>
    <w:rsid w:val="00881FF0"/>
    <w:rsid w:val="008C04A2"/>
    <w:rsid w:val="008D766B"/>
    <w:rsid w:val="00964710"/>
    <w:rsid w:val="009A799E"/>
    <w:rsid w:val="009B1567"/>
    <w:rsid w:val="009F74F8"/>
    <w:rsid w:val="00A0117E"/>
    <w:rsid w:val="00A24B31"/>
    <w:rsid w:val="00A40A9A"/>
    <w:rsid w:val="00AA7D44"/>
    <w:rsid w:val="00AD2F83"/>
    <w:rsid w:val="00AF0D96"/>
    <w:rsid w:val="00B028E0"/>
    <w:rsid w:val="00B13737"/>
    <w:rsid w:val="00B33094"/>
    <w:rsid w:val="00B976D1"/>
    <w:rsid w:val="00C051A7"/>
    <w:rsid w:val="00C864C3"/>
    <w:rsid w:val="00CA2904"/>
    <w:rsid w:val="00CC4858"/>
    <w:rsid w:val="00D45E66"/>
    <w:rsid w:val="00D731E5"/>
    <w:rsid w:val="00D84B29"/>
    <w:rsid w:val="00D86304"/>
    <w:rsid w:val="00DB0390"/>
    <w:rsid w:val="00DD16BC"/>
    <w:rsid w:val="00E24394"/>
    <w:rsid w:val="00E934CF"/>
    <w:rsid w:val="00F342A9"/>
    <w:rsid w:val="00F612E6"/>
    <w:rsid w:val="00FA23C4"/>
    <w:rsid w:val="00FC17DE"/>
    <w:rsid w:val="00FC5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28228-C9C7-498F-939C-7E9C9768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004"/>
    <w:pPr>
      <w:ind w:left="720"/>
      <w:contextualSpacing/>
    </w:pPr>
  </w:style>
  <w:style w:type="paragraph" w:styleId="Header">
    <w:name w:val="header"/>
    <w:basedOn w:val="Normal"/>
    <w:link w:val="HeaderChar"/>
    <w:uiPriority w:val="99"/>
    <w:unhideWhenUsed/>
    <w:rsid w:val="003B0B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B54"/>
  </w:style>
  <w:style w:type="paragraph" w:styleId="Footer">
    <w:name w:val="footer"/>
    <w:basedOn w:val="Normal"/>
    <w:link w:val="FooterChar"/>
    <w:uiPriority w:val="99"/>
    <w:unhideWhenUsed/>
    <w:rsid w:val="003B0B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B54"/>
  </w:style>
  <w:style w:type="paragraph" w:styleId="BalloonText">
    <w:name w:val="Balloon Text"/>
    <w:basedOn w:val="Normal"/>
    <w:link w:val="BalloonTextChar"/>
    <w:uiPriority w:val="99"/>
    <w:semiHidden/>
    <w:unhideWhenUsed/>
    <w:rsid w:val="00CA29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9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2806</Words>
  <Characters>15995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dc:creator>
  <cp:keywords/>
  <dc:description/>
  <cp:lastModifiedBy>JSC</cp:lastModifiedBy>
  <cp:revision>2</cp:revision>
  <cp:lastPrinted>2022-02-18T12:36:00Z</cp:lastPrinted>
  <dcterms:created xsi:type="dcterms:W3CDTF">2022-03-11T10:06:00Z</dcterms:created>
  <dcterms:modified xsi:type="dcterms:W3CDTF">2022-03-11T10:06:00Z</dcterms:modified>
</cp:coreProperties>
</file>