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59" w:rsidRPr="00EB3210" w:rsidRDefault="00980514" w:rsidP="00EB3210">
      <w:pPr>
        <w:spacing w:after="0" w:line="240" w:lineRule="auto"/>
        <w:jc w:val="both"/>
        <w:rPr>
          <w:rFonts w:ascii="Times New Roman" w:hAnsi="Times New Roman" w:cs="Times New Roman"/>
          <w:sz w:val="24"/>
          <w:szCs w:val="24"/>
        </w:rPr>
      </w:pPr>
      <w:bookmarkStart w:id="0" w:name="_GoBack"/>
      <w:bookmarkEnd w:id="0"/>
      <w:r w:rsidRPr="00EB3210">
        <w:rPr>
          <w:rFonts w:ascii="Times New Roman" w:hAnsi="Times New Roman" w:cs="Times New Roman"/>
          <w:sz w:val="24"/>
          <w:szCs w:val="24"/>
        </w:rPr>
        <w:t>M</w:t>
      </w:r>
      <w:r w:rsidR="00614A8F" w:rsidRPr="00EB3210">
        <w:rPr>
          <w:rFonts w:ascii="Times New Roman" w:hAnsi="Times New Roman" w:cs="Times New Roman"/>
          <w:sz w:val="24"/>
          <w:szCs w:val="24"/>
        </w:rPr>
        <w:t>GZ (PVT)</w:t>
      </w:r>
      <w:r w:rsidRPr="00EB3210">
        <w:rPr>
          <w:rFonts w:ascii="Times New Roman" w:hAnsi="Times New Roman" w:cs="Times New Roman"/>
          <w:sz w:val="24"/>
          <w:szCs w:val="24"/>
        </w:rPr>
        <w:t xml:space="preserve"> ‌</w:t>
      </w:r>
      <w:r w:rsidR="00AB7659" w:rsidRPr="00EB3210">
        <w:rPr>
          <w:rFonts w:ascii="Times New Roman" w:hAnsi="Times New Roman" w:cs="Times New Roman"/>
          <w:sz w:val="24"/>
          <w:szCs w:val="24"/>
        </w:rPr>
        <w:t>LTD‌ ‌</w:t>
      </w:r>
    </w:p>
    <w:p w:rsidR="00980514" w:rsidRPr="00EB3210" w:rsidRDefault="00AB7659" w:rsidP="00EB3210">
      <w:pPr>
        <w:spacing w:after="0" w:line="240" w:lineRule="auto"/>
        <w:jc w:val="both"/>
        <w:rPr>
          <w:rFonts w:ascii="Times New Roman" w:hAnsi="Times New Roman" w:cs="Times New Roman"/>
          <w:sz w:val="24"/>
          <w:szCs w:val="24"/>
        </w:rPr>
      </w:pPr>
      <w:r w:rsidRPr="00EB3210">
        <w:rPr>
          <w:rFonts w:ascii="Times New Roman" w:hAnsi="Times New Roman" w:cs="Times New Roman"/>
          <w:sz w:val="24"/>
          <w:szCs w:val="24"/>
        </w:rPr>
        <w:t>versus‌</w:t>
      </w:r>
    </w:p>
    <w:p w:rsidR="00AB7659" w:rsidRPr="00EB3210" w:rsidRDefault="00980514" w:rsidP="00EB3210">
      <w:pPr>
        <w:spacing w:after="0" w:line="240" w:lineRule="auto"/>
        <w:jc w:val="both"/>
        <w:rPr>
          <w:rFonts w:ascii="Times New Roman" w:hAnsi="Times New Roman" w:cs="Times New Roman"/>
          <w:sz w:val="24"/>
          <w:szCs w:val="24"/>
        </w:rPr>
      </w:pPr>
      <w:r w:rsidRPr="00EB3210">
        <w:rPr>
          <w:rFonts w:ascii="Times New Roman" w:hAnsi="Times New Roman" w:cs="Times New Roman"/>
          <w:sz w:val="24"/>
          <w:szCs w:val="24"/>
        </w:rPr>
        <w:t>THE COMMISSIONER GENERAL</w:t>
      </w:r>
      <w:r w:rsidR="00AB7659" w:rsidRPr="00EB3210">
        <w:rPr>
          <w:rFonts w:ascii="Times New Roman" w:hAnsi="Times New Roman" w:cs="Times New Roman"/>
          <w:sz w:val="24"/>
          <w:szCs w:val="24"/>
        </w:rPr>
        <w:t xml:space="preserve"> ‌‌</w:t>
      </w:r>
    </w:p>
    <w:p w:rsidR="00AB7659" w:rsidRPr="00EB3210" w:rsidRDefault="00980514" w:rsidP="00EB3210">
      <w:pPr>
        <w:spacing w:after="0" w:line="240" w:lineRule="auto"/>
        <w:jc w:val="both"/>
        <w:rPr>
          <w:rFonts w:ascii="Times New Roman" w:hAnsi="Times New Roman" w:cs="Times New Roman"/>
          <w:sz w:val="24"/>
          <w:szCs w:val="24"/>
        </w:rPr>
      </w:pPr>
      <w:r w:rsidRPr="00EB3210">
        <w:rPr>
          <w:rFonts w:ascii="Times New Roman" w:hAnsi="Times New Roman" w:cs="Times New Roman"/>
          <w:sz w:val="24"/>
          <w:szCs w:val="24"/>
        </w:rPr>
        <w:t>ZIMBABWE REVENUE AUTHORITY</w:t>
      </w:r>
      <w:r w:rsidR="00AB7659" w:rsidRPr="00EB3210">
        <w:rPr>
          <w:rFonts w:ascii="Times New Roman" w:hAnsi="Times New Roman" w:cs="Times New Roman"/>
          <w:sz w:val="24"/>
          <w:szCs w:val="24"/>
        </w:rPr>
        <w:t>‌ ‌</w:t>
      </w:r>
    </w:p>
    <w:p w:rsidR="00EB3210" w:rsidRDefault="00EB3210" w:rsidP="00EB3210">
      <w:pPr>
        <w:spacing w:line="360" w:lineRule="auto"/>
        <w:jc w:val="both"/>
        <w:rPr>
          <w:rFonts w:ascii="Times New Roman" w:hAnsi="Times New Roman" w:cs="Times New Roman"/>
          <w:sz w:val="24"/>
          <w:szCs w:val="24"/>
        </w:rPr>
      </w:pPr>
    </w:p>
    <w:p w:rsidR="00EB3210" w:rsidRDefault="00EB3210" w:rsidP="00EB3210">
      <w:pPr>
        <w:spacing w:line="360" w:lineRule="auto"/>
        <w:jc w:val="both"/>
        <w:rPr>
          <w:rFonts w:ascii="Times New Roman" w:hAnsi="Times New Roman" w:cs="Times New Roman"/>
          <w:sz w:val="24"/>
          <w:szCs w:val="24"/>
        </w:rPr>
      </w:pPr>
    </w:p>
    <w:p w:rsidR="00AB7659" w:rsidRPr="00EC2E3F" w:rsidRDefault="00EB3210" w:rsidP="00EB3210">
      <w:pPr>
        <w:spacing w:after="0"/>
        <w:rPr>
          <w:rFonts w:ascii="Times New Roman" w:hAnsi="Times New Roman" w:cs="Times New Roman"/>
          <w:sz w:val="24"/>
          <w:szCs w:val="24"/>
        </w:rPr>
      </w:pPr>
      <w:r w:rsidRPr="00EC2E3F">
        <w:rPr>
          <w:rFonts w:ascii="Times New Roman" w:hAnsi="Times New Roman" w:cs="Times New Roman"/>
          <w:sz w:val="24"/>
          <w:szCs w:val="24"/>
        </w:rPr>
        <w:t>SPECIAL COURT FOR INCOME TAX APPEALS‌</w:t>
      </w:r>
    </w:p>
    <w:p w:rsidR="00EB3210" w:rsidRDefault="0073065D" w:rsidP="00EB3210">
      <w:pPr>
        <w:spacing w:after="0" w:line="240" w:lineRule="auto"/>
        <w:jc w:val="both"/>
        <w:rPr>
          <w:rFonts w:ascii="Times New Roman" w:hAnsi="Times New Roman" w:cs="Times New Roman"/>
          <w:sz w:val="24"/>
          <w:szCs w:val="24"/>
        </w:rPr>
      </w:pPr>
      <w:r w:rsidRPr="00EB3210">
        <w:rPr>
          <w:rFonts w:ascii="Times New Roman" w:hAnsi="Times New Roman" w:cs="Times New Roman"/>
          <w:sz w:val="24"/>
          <w:szCs w:val="24"/>
        </w:rPr>
        <w:t xml:space="preserve">MTSHIYA </w:t>
      </w:r>
      <w:r w:rsidR="00EB3210" w:rsidRPr="00EB3210">
        <w:rPr>
          <w:rFonts w:ascii="Times New Roman" w:hAnsi="Times New Roman" w:cs="Times New Roman"/>
          <w:sz w:val="24"/>
          <w:szCs w:val="24"/>
        </w:rPr>
        <w:t>‌ ‌AJ‌ ‌‌</w:t>
      </w:r>
    </w:p>
    <w:p w:rsidR="00AB7659" w:rsidRPr="00EB3210" w:rsidRDefault="00EB3210" w:rsidP="00EB3210">
      <w:pPr>
        <w:spacing w:after="0" w:line="240" w:lineRule="auto"/>
        <w:jc w:val="both"/>
        <w:rPr>
          <w:rFonts w:ascii="Times New Roman" w:hAnsi="Times New Roman" w:cs="Times New Roman"/>
          <w:sz w:val="24"/>
          <w:szCs w:val="24"/>
        </w:rPr>
      </w:pPr>
      <w:proofErr w:type="gramStart"/>
      <w:r w:rsidRPr="00EB3210">
        <w:rPr>
          <w:rFonts w:ascii="Times New Roman" w:hAnsi="Times New Roman" w:cs="Times New Roman"/>
          <w:sz w:val="24"/>
          <w:szCs w:val="24"/>
        </w:rPr>
        <w:t>HARARE</w:t>
      </w:r>
      <w:r w:rsidR="00614A8F" w:rsidRPr="00EB3210">
        <w:rPr>
          <w:rFonts w:ascii="Times New Roman" w:hAnsi="Times New Roman" w:cs="Times New Roman"/>
          <w:sz w:val="24"/>
          <w:szCs w:val="24"/>
        </w:rPr>
        <w:t>,‌</w:t>
      </w:r>
      <w:proofErr w:type="gramEnd"/>
      <w:r w:rsidR="00614A8F" w:rsidRPr="00EB3210">
        <w:rPr>
          <w:rFonts w:ascii="Times New Roman" w:hAnsi="Times New Roman" w:cs="Times New Roman"/>
          <w:sz w:val="24"/>
          <w:szCs w:val="24"/>
        </w:rPr>
        <w:t xml:space="preserve"> ‌10 September 2019</w:t>
      </w:r>
      <w:r w:rsidR="00A215D4" w:rsidRPr="00EB3210">
        <w:rPr>
          <w:rFonts w:ascii="Times New Roman" w:hAnsi="Times New Roman" w:cs="Times New Roman"/>
          <w:sz w:val="24"/>
          <w:szCs w:val="24"/>
        </w:rPr>
        <w:t xml:space="preserve"> ,</w:t>
      </w:r>
      <w:r w:rsidR="00614A8F" w:rsidRPr="00EB3210">
        <w:rPr>
          <w:rFonts w:ascii="Times New Roman" w:hAnsi="Times New Roman" w:cs="Times New Roman"/>
          <w:sz w:val="24"/>
          <w:szCs w:val="24"/>
        </w:rPr>
        <w:t>‌ ‌26 November 2019, 29 January 2020, 27 February 2020,13 July 2020, 2</w:t>
      </w:r>
      <w:r>
        <w:rPr>
          <w:rFonts w:ascii="Times New Roman" w:hAnsi="Times New Roman" w:cs="Times New Roman"/>
          <w:sz w:val="24"/>
          <w:szCs w:val="24"/>
        </w:rPr>
        <w:t xml:space="preserve"> </w:t>
      </w:r>
      <w:r w:rsidR="00614A8F" w:rsidRPr="00EB3210">
        <w:rPr>
          <w:rFonts w:ascii="Times New Roman" w:hAnsi="Times New Roman" w:cs="Times New Roman"/>
          <w:sz w:val="24"/>
          <w:szCs w:val="24"/>
        </w:rPr>
        <w:t xml:space="preserve">November 2020, 22 March 2021 and </w:t>
      </w:r>
      <w:r w:rsidR="00986A5D" w:rsidRPr="00EB3210">
        <w:rPr>
          <w:rFonts w:ascii="Times New Roman" w:hAnsi="Times New Roman" w:cs="Times New Roman"/>
          <w:sz w:val="24"/>
          <w:szCs w:val="24"/>
        </w:rPr>
        <w:t>1 June</w:t>
      </w:r>
      <w:r w:rsidR="00353317" w:rsidRPr="00EB3210">
        <w:rPr>
          <w:rFonts w:ascii="Times New Roman" w:hAnsi="Times New Roman" w:cs="Times New Roman"/>
          <w:sz w:val="24"/>
          <w:szCs w:val="24"/>
        </w:rPr>
        <w:t xml:space="preserve"> 2021.</w:t>
      </w:r>
    </w:p>
    <w:p w:rsidR="00EB3210" w:rsidRDefault="00EB3210" w:rsidP="00EB3210">
      <w:pPr>
        <w:spacing w:line="360" w:lineRule="auto"/>
        <w:jc w:val="both"/>
        <w:rPr>
          <w:rFonts w:ascii="Times New Roman" w:hAnsi="Times New Roman" w:cs="Times New Roman"/>
          <w:sz w:val="24"/>
          <w:szCs w:val="24"/>
        </w:rPr>
      </w:pPr>
    </w:p>
    <w:p w:rsidR="00AB7659" w:rsidRPr="00EB3210" w:rsidRDefault="00EB3210" w:rsidP="00EB3210">
      <w:pPr>
        <w:spacing w:line="360" w:lineRule="auto"/>
        <w:jc w:val="both"/>
        <w:rPr>
          <w:rFonts w:ascii="Times New Roman" w:hAnsi="Times New Roman" w:cs="Times New Roman"/>
          <w:b/>
          <w:sz w:val="24"/>
          <w:szCs w:val="24"/>
        </w:rPr>
      </w:pPr>
      <w:r w:rsidRPr="00EB3210">
        <w:rPr>
          <w:rFonts w:ascii="Times New Roman" w:hAnsi="Times New Roman" w:cs="Times New Roman"/>
          <w:b/>
          <w:sz w:val="24"/>
          <w:szCs w:val="24"/>
        </w:rPr>
        <w:t>Income‌ ‌Tax‌ ‌Appeal‌ ‌</w:t>
      </w:r>
    </w:p>
    <w:p w:rsidR="00EB3210" w:rsidRDefault="00EB3210" w:rsidP="00EB3210">
      <w:pPr>
        <w:spacing w:after="0" w:line="240" w:lineRule="auto"/>
        <w:jc w:val="both"/>
        <w:rPr>
          <w:rFonts w:ascii="Times New Roman" w:hAnsi="Times New Roman" w:cs="Times New Roman"/>
          <w:i/>
          <w:sz w:val="24"/>
          <w:szCs w:val="24"/>
        </w:rPr>
      </w:pPr>
    </w:p>
    <w:p w:rsidR="00614A8F" w:rsidRPr="00EB3210" w:rsidRDefault="00EB3210" w:rsidP="00EB321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 </w:t>
      </w:r>
      <w:r w:rsidR="00614A8F" w:rsidRPr="00EB3210">
        <w:rPr>
          <w:rFonts w:ascii="Times New Roman" w:hAnsi="Times New Roman" w:cs="Times New Roman"/>
          <w:i/>
          <w:sz w:val="24"/>
          <w:szCs w:val="24"/>
        </w:rPr>
        <w:t xml:space="preserve"> </w:t>
      </w:r>
      <w:proofErr w:type="spellStart"/>
      <w:r w:rsidR="00614A8F" w:rsidRPr="00EB3210">
        <w:rPr>
          <w:rFonts w:ascii="Times New Roman" w:hAnsi="Times New Roman" w:cs="Times New Roman"/>
          <w:i/>
          <w:sz w:val="24"/>
          <w:szCs w:val="24"/>
        </w:rPr>
        <w:t>Ochieng</w:t>
      </w:r>
      <w:proofErr w:type="spellEnd"/>
      <w:r>
        <w:rPr>
          <w:rFonts w:ascii="Times New Roman" w:hAnsi="Times New Roman" w:cs="Times New Roman"/>
          <w:i/>
          <w:sz w:val="24"/>
          <w:szCs w:val="24"/>
        </w:rPr>
        <w:t>,</w:t>
      </w:r>
      <w:r w:rsidR="00980514" w:rsidRPr="00EB3210">
        <w:rPr>
          <w:rFonts w:ascii="Times New Roman" w:hAnsi="Times New Roman" w:cs="Times New Roman"/>
          <w:i/>
          <w:sz w:val="24"/>
          <w:szCs w:val="24"/>
        </w:rPr>
        <w:t xml:space="preserve"> </w:t>
      </w:r>
      <w:r w:rsidR="00AB7659" w:rsidRPr="00EB3210">
        <w:rPr>
          <w:rFonts w:ascii="Times New Roman" w:hAnsi="Times New Roman" w:cs="Times New Roman"/>
          <w:i/>
          <w:sz w:val="24"/>
          <w:szCs w:val="24"/>
        </w:rPr>
        <w:t xml:space="preserve">‌ </w:t>
      </w:r>
      <w:r w:rsidR="00AB7659" w:rsidRPr="00EB3210">
        <w:rPr>
          <w:rFonts w:ascii="Times New Roman" w:hAnsi="Times New Roman" w:cs="Times New Roman"/>
          <w:sz w:val="24"/>
          <w:szCs w:val="24"/>
        </w:rPr>
        <w:t>‌‌for‌ ‌the‌ ‌appellant‌ ‌</w:t>
      </w:r>
    </w:p>
    <w:p w:rsidR="00AB7659" w:rsidRPr="00EB3210" w:rsidRDefault="00BD3473" w:rsidP="00EB3210">
      <w:pPr>
        <w:spacing w:after="0" w:line="240" w:lineRule="auto"/>
        <w:jc w:val="both"/>
        <w:rPr>
          <w:rFonts w:ascii="Times New Roman" w:hAnsi="Times New Roman" w:cs="Times New Roman"/>
          <w:i/>
          <w:sz w:val="24"/>
          <w:szCs w:val="24"/>
        </w:rPr>
      </w:pPr>
      <w:r w:rsidRPr="00EB3210">
        <w:rPr>
          <w:rFonts w:ascii="Times New Roman" w:hAnsi="Times New Roman" w:cs="Times New Roman"/>
          <w:i/>
          <w:sz w:val="24"/>
          <w:szCs w:val="24"/>
        </w:rPr>
        <w:t>‌</w:t>
      </w:r>
      <w:r w:rsidR="00AB7659" w:rsidRPr="00EB3210">
        <w:rPr>
          <w:rFonts w:ascii="Times New Roman" w:hAnsi="Times New Roman" w:cs="Times New Roman"/>
          <w:i/>
          <w:sz w:val="24"/>
          <w:szCs w:val="24"/>
        </w:rPr>
        <w:t>T‌ ‌</w:t>
      </w:r>
      <w:proofErr w:type="spellStart"/>
      <w:r w:rsidR="00AB7659" w:rsidRPr="00EB3210">
        <w:rPr>
          <w:rFonts w:ascii="Times New Roman" w:hAnsi="Times New Roman" w:cs="Times New Roman"/>
          <w:i/>
          <w:sz w:val="24"/>
          <w:szCs w:val="24"/>
        </w:rPr>
        <w:t>Magwaliba</w:t>
      </w:r>
      <w:proofErr w:type="spellEnd"/>
      <w:r w:rsidR="00AB7659" w:rsidRPr="00EB3210">
        <w:rPr>
          <w:rFonts w:ascii="Times New Roman" w:hAnsi="Times New Roman" w:cs="Times New Roman"/>
          <w:i/>
          <w:sz w:val="24"/>
          <w:szCs w:val="24"/>
        </w:rPr>
        <w:t>‌</w:t>
      </w:r>
      <w:r w:rsidR="00EB3210">
        <w:rPr>
          <w:rFonts w:ascii="Times New Roman" w:hAnsi="Times New Roman" w:cs="Times New Roman"/>
          <w:i/>
          <w:sz w:val="24"/>
          <w:szCs w:val="24"/>
        </w:rPr>
        <w:t>,</w:t>
      </w:r>
      <w:r w:rsidR="00AB7659" w:rsidRPr="00EB3210">
        <w:rPr>
          <w:rFonts w:ascii="Times New Roman" w:hAnsi="Times New Roman" w:cs="Times New Roman"/>
          <w:i/>
          <w:sz w:val="24"/>
          <w:szCs w:val="24"/>
        </w:rPr>
        <w:t xml:space="preserve"> </w:t>
      </w:r>
      <w:r w:rsidR="00AB7659" w:rsidRPr="00EB3210">
        <w:rPr>
          <w:rFonts w:ascii="Times New Roman" w:hAnsi="Times New Roman" w:cs="Times New Roman"/>
          <w:sz w:val="24"/>
          <w:szCs w:val="24"/>
        </w:rPr>
        <w:t>‌‌for‌ ‌the‌ ‌respondent‌</w:t>
      </w:r>
      <w:r w:rsidR="00AB7659" w:rsidRPr="00EB3210">
        <w:rPr>
          <w:rFonts w:ascii="Times New Roman" w:hAnsi="Times New Roman" w:cs="Times New Roman"/>
          <w:b/>
          <w:sz w:val="24"/>
          <w:szCs w:val="24"/>
        </w:rPr>
        <w:t xml:space="preserve"> ‌</w:t>
      </w:r>
    </w:p>
    <w:p w:rsidR="00AB7659" w:rsidRPr="00EB3210" w:rsidRDefault="00AB7659" w:rsidP="00EB3210">
      <w:pPr>
        <w:spacing w:after="0" w:line="240" w:lineRule="auto"/>
        <w:jc w:val="both"/>
        <w:rPr>
          <w:rFonts w:ascii="Times New Roman" w:hAnsi="Times New Roman" w:cs="Times New Roman"/>
          <w:b/>
          <w:sz w:val="24"/>
          <w:szCs w:val="24"/>
        </w:rPr>
      </w:pPr>
      <w:r w:rsidRPr="00EB3210">
        <w:rPr>
          <w:rFonts w:ascii="Times New Roman" w:hAnsi="Times New Roman" w:cs="Times New Roman"/>
          <w:b/>
          <w:sz w:val="24"/>
          <w:szCs w:val="24"/>
        </w:rPr>
        <w:t xml:space="preserve"> ‌</w:t>
      </w:r>
    </w:p>
    <w:p w:rsidR="00EB3210" w:rsidRDefault="00EB3210" w:rsidP="00EB3210">
      <w:pPr>
        <w:spacing w:line="360" w:lineRule="auto"/>
        <w:jc w:val="both"/>
        <w:rPr>
          <w:rFonts w:ascii="Times New Roman" w:hAnsi="Times New Roman" w:cs="Times New Roman"/>
          <w:b/>
          <w:sz w:val="24"/>
          <w:szCs w:val="24"/>
        </w:rPr>
      </w:pPr>
    </w:p>
    <w:p w:rsidR="00AB7659" w:rsidRPr="00EB3210" w:rsidRDefault="00EB3210" w:rsidP="00EB3210">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MTSHIYA</w:t>
      </w:r>
      <w:r w:rsidRPr="00EB3210">
        <w:rPr>
          <w:rFonts w:ascii="Times New Roman" w:hAnsi="Times New Roman" w:cs="Times New Roman"/>
          <w:sz w:val="24"/>
          <w:szCs w:val="24"/>
        </w:rPr>
        <w:t>‌ ‌AJ‌</w:t>
      </w:r>
      <w:r w:rsidRPr="00EB3210">
        <w:rPr>
          <w:rFonts w:ascii="Times New Roman" w:hAnsi="Times New Roman" w:cs="Times New Roman"/>
          <w:b/>
          <w:sz w:val="24"/>
          <w:szCs w:val="24"/>
        </w:rPr>
        <w:t xml:space="preserve"> </w:t>
      </w:r>
      <w:r w:rsidR="00AB7659" w:rsidRPr="00EB3210">
        <w:rPr>
          <w:rFonts w:ascii="Times New Roman" w:hAnsi="Times New Roman" w:cs="Times New Roman"/>
          <w:b/>
          <w:sz w:val="24"/>
          <w:szCs w:val="24"/>
        </w:rPr>
        <w:t>‌</w:t>
      </w:r>
      <w:r w:rsidR="0028423D" w:rsidRPr="00EB3210">
        <w:rPr>
          <w:rFonts w:ascii="Times New Roman" w:hAnsi="Times New Roman" w:cs="Times New Roman"/>
          <w:b/>
          <w:sz w:val="24"/>
          <w:szCs w:val="24"/>
        </w:rPr>
        <w:t>:</w:t>
      </w:r>
      <w:r w:rsidR="000469CB" w:rsidRPr="00EB3210">
        <w:rPr>
          <w:rFonts w:ascii="Times New Roman" w:hAnsi="Times New Roman" w:cs="Times New Roman"/>
          <w:sz w:val="24"/>
          <w:szCs w:val="24"/>
        </w:rPr>
        <w:t xml:space="preserve"> ‌</w:t>
      </w:r>
      <w:r w:rsidR="00AB7659" w:rsidRPr="00EB3210">
        <w:rPr>
          <w:rFonts w:ascii="Times New Roman" w:hAnsi="Times New Roman" w:cs="Times New Roman"/>
          <w:sz w:val="24"/>
          <w:szCs w:val="24"/>
        </w:rPr>
        <w:t>This‌ ‌is‌ ‌an‌ ‌appeal‌ ‌in‌ ‌‌terms‌ ‌of‌ ‌section‌ ‌65‌ ‌of‌ ‌the‌ ‌Income‌ ‌Tax‌ ‌</w:t>
      </w:r>
      <w:proofErr w:type="gramStart"/>
      <w:r w:rsidR="00AB7659" w:rsidRPr="00EB3210">
        <w:rPr>
          <w:rFonts w:ascii="Times New Roman" w:hAnsi="Times New Roman" w:cs="Times New Roman"/>
          <w:sz w:val="24"/>
          <w:szCs w:val="24"/>
        </w:rPr>
        <w:t>Act</w:t>
      </w:r>
      <w:r w:rsidR="00E334B3" w:rsidRPr="00EB3210">
        <w:rPr>
          <w:rFonts w:ascii="Times New Roman" w:hAnsi="Times New Roman" w:cs="Times New Roman"/>
          <w:sz w:val="24"/>
          <w:szCs w:val="24"/>
        </w:rPr>
        <w:t>,‌</w:t>
      </w:r>
      <w:proofErr w:type="gramEnd"/>
      <w:r w:rsidR="00E334B3" w:rsidRPr="00EB3210">
        <w:rPr>
          <w:rFonts w:ascii="Times New Roman" w:hAnsi="Times New Roman" w:cs="Times New Roman"/>
          <w:sz w:val="24"/>
          <w:szCs w:val="24"/>
        </w:rPr>
        <w:t xml:space="preserve"> ‌(‌ ‌ITA)‌ ‌where‌ ‌on‌ </w:t>
      </w:r>
      <w:r w:rsidR="0036110D" w:rsidRPr="00EB3210">
        <w:rPr>
          <w:rFonts w:ascii="Times New Roman" w:hAnsi="Times New Roman" w:cs="Times New Roman"/>
          <w:sz w:val="24"/>
          <w:szCs w:val="24"/>
        </w:rPr>
        <w:t>‌10 October 2018</w:t>
      </w:r>
      <w:r w:rsidR="00AB7659" w:rsidRPr="00EB3210">
        <w:rPr>
          <w:rFonts w:ascii="Times New Roman" w:hAnsi="Times New Roman" w:cs="Times New Roman"/>
          <w:sz w:val="24"/>
          <w:szCs w:val="24"/>
        </w:rPr>
        <w:t>‌ ‌the‌ ‌parties‌ ‌agreed‌ ‌that‌ ‌the‌ ‌main‌ ‌issues‌ ‌</w:t>
      </w:r>
      <w:r w:rsidR="007914B5" w:rsidRPr="00EB3210">
        <w:rPr>
          <w:rFonts w:ascii="Times New Roman" w:hAnsi="Times New Roman" w:cs="Times New Roman"/>
          <w:sz w:val="24"/>
          <w:szCs w:val="24"/>
        </w:rPr>
        <w:t>for‌ ‌determination‌ ‌would be</w:t>
      </w:r>
      <w:r w:rsidR="00CC5898" w:rsidRPr="00EB3210">
        <w:rPr>
          <w:rFonts w:ascii="Times New Roman" w:hAnsi="Times New Roman" w:cs="Times New Roman"/>
          <w:sz w:val="24"/>
          <w:szCs w:val="24"/>
        </w:rPr>
        <w:t xml:space="preserve"> ‌the ‌following</w:t>
      </w:r>
      <w:r w:rsidR="00AB7659" w:rsidRPr="00EB3210">
        <w:rPr>
          <w:rFonts w:ascii="Times New Roman" w:hAnsi="Times New Roman" w:cs="Times New Roman"/>
          <w:sz w:val="24"/>
          <w:szCs w:val="24"/>
        </w:rPr>
        <w:t>:‌ ‌</w:t>
      </w:r>
    </w:p>
    <w:p w:rsidR="0036110D" w:rsidRPr="00EB3210" w:rsidRDefault="007914B5" w:rsidP="00EB3210">
      <w:pPr>
        <w:spacing w:line="240" w:lineRule="auto"/>
        <w:ind w:left="720"/>
        <w:jc w:val="both"/>
        <w:rPr>
          <w:rFonts w:ascii="Times New Roman" w:hAnsi="Times New Roman" w:cs="Times New Roman"/>
        </w:rPr>
      </w:pPr>
      <w:r w:rsidRPr="00EB3210">
        <w:rPr>
          <w:rFonts w:ascii="Times New Roman" w:hAnsi="Times New Roman" w:cs="Times New Roman"/>
        </w:rPr>
        <w:t>“</w:t>
      </w:r>
      <w:proofErr w:type="gramStart"/>
      <w:r w:rsidR="00AB7659" w:rsidRPr="00EB3210">
        <w:rPr>
          <w:rFonts w:ascii="Times New Roman" w:hAnsi="Times New Roman" w:cs="Times New Roman"/>
        </w:rPr>
        <w:t>1.‌</w:t>
      </w:r>
      <w:proofErr w:type="gramEnd"/>
      <w:r w:rsidR="00AB7659" w:rsidRPr="00EB3210">
        <w:rPr>
          <w:rFonts w:ascii="Times New Roman" w:hAnsi="Times New Roman" w:cs="Times New Roman"/>
        </w:rPr>
        <w:t xml:space="preserve"> ‌Whether‌</w:t>
      </w:r>
      <w:r w:rsidR="00E334B3" w:rsidRPr="00EB3210">
        <w:rPr>
          <w:rFonts w:ascii="Times New Roman" w:hAnsi="Times New Roman" w:cs="Times New Roman"/>
        </w:rPr>
        <w:t xml:space="preserve"> or not the</w:t>
      </w:r>
      <w:r w:rsidR="0036110D" w:rsidRPr="00EB3210">
        <w:rPr>
          <w:rFonts w:ascii="Times New Roman" w:hAnsi="Times New Roman" w:cs="Times New Roman"/>
        </w:rPr>
        <w:t xml:space="preserve"> separate mining operations under the Appellant’s portfolio were inseparable and substantially interdependent, such that capital allowances in respect of the different mines should have been allowed under one tax return for each tax year period.</w:t>
      </w:r>
    </w:p>
    <w:p w:rsidR="00AB7659" w:rsidRPr="00EB3210" w:rsidRDefault="0036110D" w:rsidP="00EB3210">
      <w:pPr>
        <w:spacing w:line="240" w:lineRule="auto"/>
        <w:ind w:left="720"/>
        <w:jc w:val="both"/>
        <w:rPr>
          <w:rFonts w:ascii="Times New Roman" w:hAnsi="Times New Roman" w:cs="Times New Roman"/>
        </w:rPr>
      </w:pPr>
      <w:r w:rsidRPr="00EB3210">
        <w:rPr>
          <w:rFonts w:ascii="Times New Roman" w:hAnsi="Times New Roman" w:cs="Times New Roman"/>
        </w:rPr>
        <w:t>2. In the event of a finding being made that the issuance of separate income tax assessments for each mining unit was proper, whether or not such assessments were invalid to the extent that they did not take into account various expenses incurred by the Appellant’s head</w:t>
      </w:r>
      <w:r w:rsidR="00EB3210" w:rsidRPr="00EB3210">
        <w:rPr>
          <w:rFonts w:ascii="Times New Roman" w:hAnsi="Times New Roman" w:cs="Times New Roman"/>
        </w:rPr>
        <w:t xml:space="preserve"> office and it’s mining units.”</w:t>
      </w:r>
      <w:r w:rsidR="00AB7659" w:rsidRPr="00EB3210">
        <w:rPr>
          <w:rFonts w:ascii="Times New Roman" w:hAnsi="Times New Roman" w:cs="Times New Roman"/>
        </w:rPr>
        <w:t xml:space="preserve"> ‌</w:t>
      </w:r>
    </w:p>
    <w:p w:rsidR="00AB7659" w:rsidRPr="00EB3210" w:rsidRDefault="00E91780" w:rsidP="00EB3210">
      <w:pPr>
        <w:spacing w:line="360" w:lineRule="auto"/>
        <w:jc w:val="both"/>
        <w:rPr>
          <w:rFonts w:ascii="Times New Roman" w:hAnsi="Times New Roman" w:cs="Times New Roman"/>
          <w:b/>
          <w:sz w:val="24"/>
          <w:szCs w:val="24"/>
          <w:u w:val="single"/>
        </w:rPr>
      </w:pPr>
      <w:r w:rsidRPr="00EB3210">
        <w:rPr>
          <w:rFonts w:ascii="Times New Roman" w:hAnsi="Times New Roman" w:cs="Times New Roman"/>
          <w:sz w:val="24"/>
          <w:szCs w:val="24"/>
        </w:rPr>
        <w:t xml:space="preserve"> </w:t>
      </w:r>
      <w:r w:rsidRPr="00EB3210">
        <w:rPr>
          <w:rFonts w:ascii="Times New Roman" w:hAnsi="Times New Roman" w:cs="Times New Roman"/>
          <w:b/>
          <w:sz w:val="24"/>
          <w:szCs w:val="24"/>
        </w:rPr>
        <w:t>‌</w:t>
      </w:r>
      <w:r w:rsidR="00CC5898" w:rsidRPr="00EB3210">
        <w:rPr>
          <w:rFonts w:ascii="Times New Roman" w:hAnsi="Times New Roman" w:cs="Times New Roman"/>
          <w:b/>
          <w:sz w:val="24"/>
          <w:szCs w:val="24"/>
        </w:rPr>
        <w:t>The‌ ‌background‌ ‌and‌ ‌</w:t>
      </w:r>
      <w:proofErr w:type="gramStart"/>
      <w:r w:rsidR="00CC5898" w:rsidRPr="00EB3210">
        <w:rPr>
          <w:rFonts w:ascii="Times New Roman" w:hAnsi="Times New Roman" w:cs="Times New Roman"/>
          <w:b/>
          <w:sz w:val="24"/>
          <w:szCs w:val="24"/>
        </w:rPr>
        <w:t>f</w:t>
      </w:r>
      <w:r w:rsidR="00AB7659" w:rsidRPr="00EB3210">
        <w:rPr>
          <w:rFonts w:ascii="Times New Roman" w:hAnsi="Times New Roman" w:cs="Times New Roman"/>
          <w:b/>
          <w:sz w:val="24"/>
          <w:szCs w:val="24"/>
        </w:rPr>
        <w:t>acts.‌</w:t>
      </w:r>
      <w:proofErr w:type="gramEnd"/>
      <w:r w:rsidR="00EB3210">
        <w:rPr>
          <w:rFonts w:ascii="Times New Roman" w:hAnsi="Times New Roman" w:cs="Times New Roman"/>
          <w:b/>
          <w:sz w:val="24"/>
          <w:szCs w:val="24"/>
          <w:u w:val="single"/>
        </w:rPr>
        <w:t xml:space="preserve"> </w:t>
      </w:r>
    </w:p>
    <w:p w:rsidR="0089435B" w:rsidRPr="00EB3210" w:rsidRDefault="00E76CF6" w:rsidP="00EB3210">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The‌</w:t>
      </w:r>
      <w:r w:rsidR="0089435B" w:rsidRPr="00EB3210">
        <w:rPr>
          <w:rFonts w:ascii="Times New Roman" w:hAnsi="Times New Roman" w:cs="Times New Roman"/>
          <w:sz w:val="24"/>
          <w:szCs w:val="24"/>
        </w:rPr>
        <w:t xml:space="preserve"> ‌Appellant is a limited liability </w:t>
      </w:r>
      <w:r w:rsidR="00BD3473" w:rsidRPr="00EB3210">
        <w:rPr>
          <w:rFonts w:ascii="Times New Roman" w:hAnsi="Times New Roman" w:cs="Times New Roman"/>
          <w:sz w:val="24"/>
          <w:szCs w:val="24"/>
        </w:rPr>
        <w:t>company‌</w:t>
      </w:r>
      <w:r w:rsidR="0089435B" w:rsidRPr="00EB3210">
        <w:rPr>
          <w:rFonts w:ascii="Times New Roman" w:hAnsi="Times New Roman" w:cs="Times New Roman"/>
          <w:sz w:val="24"/>
          <w:szCs w:val="24"/>
        </w:rPr>
        <w:t>, registered and incorporated in Zimbabwe</w:t>
      </w:r>
      <w:r w:rsidR="003A7C42" w:rsidRPr="00EB3210">
        <w:rPr>
          <w:rFonts w:ascii="Times New Roman" w:hAnsi="Times New Roman" w:cs="Times New Roman"/>
          <w:sz w:val="24"/>
          <w:szCs w:val="24"/>
        </w:rPr>
        <w:t xml:space="preserve">. The </w:t>
      </w:r>
      <w:r w:rsidR="00353317" w:rsidRPr="00EB3210">
        <w:rPr>
          <w:rFonts w:ascii="Times New Roman" w:hAnsi="Times New Roman" w:cs="Times New Roman"/>
          <w:sz w:val="24"/>
          <w:szCs w:val="24"/>
        </w:rPr>
        <w:t>a</w:t>
      </w:r>
      <w:r w:rsidR="0089435B" w:rsidRPr="00EB3210">
        <w:rPr>
          <w:rFonts w:ascii="Times New Roman" w:hAnsi="Times New Roman" w:cs="Times New Roman"/>
          <w:sz w:val="24"/>
          <w:szCs w:val="24"/>
        </w:rPr>
        <w:t xml:space="preserve">ppellant carries on mining business and is one of the largest gold producers in Zimbabwe.  The </w:t>
      </w:r>
      <w:r w:rsidR="00353317" w:rsidRPr="00EB3210">
        <w:rPr>
          <w:rFonts w:ascii="Times New Roman" w:hAnsi="Times New Roman" w:cs="Times New Roman"/>
          <w:sz w:val="24"/>
          <w:szCs w:val="24"/>
        </w:rPr>
        <w:t>a</w:t>
      </w:r>
      <w:r w:rsidR="0089435B" w:rsidRPr="00EB3210">
        <w:rPr>
          <w:rFonts w:ascii="Times New Roman" w:hAnsi="Times New Roman" w:cs="Times New Roman"/>
          <w:sz w:val="24"/>
          <w:szCs w:val="24"/>
        </w:rPr>
        <w:t xml:space="preserve">ppellant has five mines which are located </w:t>
      </w:r>
      <w:r w:rsidR="00353317" w:rsidRPr="00EB3210">
        <w:rPr>
          <w:rFonts w:ascii="Times New Roman" w:hAnsi="Times New Roman" w:cs="Times New Roman"/>
          <w:sz w:val="24"/>
          <w:szCs w:val="24"/>
        </w:rPr>
        <w:t xml:space="preserve">in various parts of the country. The mines report to </w:t>
      </w:r>
      <w:r w:rsidR="00EB3210" w:rsidRPr="00EB3210">
        <w:rPr>
          <w:rFonts w:ascii="Times New Roman" w:hAnsi="Times New Roman" w:cs="Times New Roman"/>
          <w:sz w:val="24"/>
          <w:szCs w:val="24"/>
        </w:rPr>
        <w:t>the Head</w:t>
      </w:r>
      <w:r w:rsidR="00353317" w:rsidRPr="00EB3210">
        <w:rPr>
          <w:rFonts w:ascii="Times New Roman" w:hAnsi="Times New Roman" w:cs="Times New Roman"/>
          <w:sz w:val="24"/>
          <w:szCs w:val="24"/>
        </w:rPr>
        <w:t xml:space="preserve"> office in Harare. The Head Office in </w:t>
      </w:r>
      <w:r w:rsidR="00EB3210" w:rsidRPr="00EB3210">
        <w:rPr>
          <w:rFonts w:ascii="Times New Roman" w:hAnsi="Times New Roman" w:cs="Times New Roman"/>
          <w:sz w:val="24"/>
          <w:szCs w:val="24"/>
        </w:rPr>
        <w:t>turn reports</w:t>
      </w:r>
      <w:r w:rsidR="0089435B" w:rsidRPr="00EB3210">
        <w:rPr>
          <w:rFonts w:ascii="Times New Roman" w:hAnsi="Times New Roman" w:cs="Times New Roman"/>
          <w:sz w:val="24"/>
          <w:szCs w:val="24"/>
        </w:rPr>
        <w:t xml:space="preserve"> to the Regional H</w:t>
      </w:r>
      <w:r w:rsidR="00B97DBD" w:rsidRPr="00EB3210">
        <w:rPr>
          <w:rFonts w:ascii="Times New Roman" w:hAnsi="Times New Roman" w:cs="Times New Roman"/>
          <w:sz w:val="24"/>
          <w:szCs w:val="24"/>
        </w:rPr>
        <w:t>ead Office in South Africa.  The</w:t>
      </w:r>
      <w:r w:rsidR="0089435B" w:rsidRPr="00EB3210">
        <w:rPr>
          <w:rFonts w:ascii="Times New Roman" w:hAnsi="Times New Roman" w:cs="Times New Roman"/>
          <w:sz w:val="24"/>
          <w:szCs w:val="24"/>
        </w:rPr>
        <w:t xml:space="preserve"> five mines are registered separately with the Registrar of Companies. </w:t>
      </w:r>
    </w:p>
    <w:p w:rsidR="00353317" w:rsidRPr="00EB3210" w:rsidRDefault="00384ABD" w:rsidP="00EB3210">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lastRenderedPageBreak/>
        <w:t xml:space="preserve">The </w:t>
      </w:r>
      <w:r w:rsidR="00353317" w:rsidRPr="00EB3210">
        <w:rPr>
          <w:rFonts w:ascii="Times New Roman" w:hAnsi="Times New Roman" w:cs="Times New Roman"/>
          <w:sz w:val="24"/>
          <w:szCs w:val="24"/>
        </w:rPr>
        <w:t>r</w:t>
      </w:r>
      <w:r w:rsidR="00B471E3" w:rsidRPr="00EB3210">
        <w:rPr>
          <w:rFonts w:ascii="Times New Roman" w:hAnsi="Times New Roman" w:cs="Times New Roman"/>
          <w:sz w:val="24"/>
          <w:szCs w:val="24"/>
        </w:rPr>
        <w:t>espondent</w:t>
      </w:r>
      <w:r w:rsidR="00353317" w:rsidRPr="00EB3210">
        <w:rPr>
          <w:rFonts w:ascii="Times New Roman" w:hAnsi="Times New Roman" w:cs="Times New Roman"/>
          <w:sz w:val="24"/>
          <w:szCs w:val="24"/>
        </w:rPr>
        <w:t>, an administrative authority tasked with the collection of taxes in Zimbabwe,</w:t>
      </w:r>
      <w:r w:rsidR="00B471E3" w:rsidRPr="00EB3210">
        <w:rPr>
          <w:rFonts w:ascii="Times New Roman" w:hAnsi="Times New Roman" w:cs="Times New Roman"/>
          <w:sz w:val="24"/>
          <w:szCs w:val="24"/>
        </w:rPr>
        <w:t xml:space="preserve"> carried out </w:t>
      </w:r>
      <w:r w:rsidR="00AA6D1F" w:rsidRPr="00EB3210">
        <w:rPr>
          <w:rFonts w:ascii="Times New Roman" w:hAnsi="Times New Roman" w:cs="Times New Roman"/>
          <w:sz w:val="24"/>
          <w:szCs w:val="24"/>
        </w:rPr>
        <w:t>tax invest</w:t>
      </w:r>
      <w:r w:rsidR="00353317" w:rsidRPr="00EB3210">
        <w:rPr>
          <w:rFonts w:ascii="Times New Roman" w:hAnsi="Times New Roman" w:cs="Times New Roman"/>
          <w:sz w:val="24"/>
          <w:szCs w:val="24"/>
        </w:rPr>
        <w:t>igations on the affairs of the a</w:t>
      </w:r>
      <w:r w:rsidR="00AA6D1F" w:rsidRPr="00EB3210">
        <w:rPr>
          <w:rFonts w:ascii="Times New Roman" w:hAnsi="Times New Roman" w:cs="Times New Roman"/>
          <w:sz w:val="24"/>
          <w:szCs w:val="24"/>
        </w:rPr>
        <w:t>ppellant</w:t>
      </w:r>
      <w:r w:rsidR="002C3EFD" w:rsidRPr="00EB3210">
        <w:rPr>
          <w:rFonts w:ascii="Times New Roman" w:hAnsi="Times New Roman" w:cs="Times New Roman"/>
          <w:sz w:val="24"/>
          <w:szCs w:val="24"/>
        </w:rPr>
        <w:t xml:space="preserve"> for the tax years 2009</w:t>
      </w:r>
      <w:r w:rsidR="00353317" w:rsidRPr="00EB3210">
        <w:rPr>
          <w:rFonts w:ascii="Times New Roman" w:hAnsi="Times New Roman" w:cs="Times New Roman"/>
          <w:sz w:val="24"/>
          <w:szCs w:val="24"/>
        </w:rPr>
        <w:t xml:space="preserve"> to 2012. </w:t>
      </w:r>
    </w:p>
    <w:p w:rsidR="00353317" w:rsidRPr="00EB3210" w:rsidRDefault="00353317" w:rsidP="00EB3210">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The income tax collection system in Zimbabwe is embodied in the ITA and involves submission of self-assessments of one’s income tax, which is however subject to audit by the respondent.  The system therefore largely relies on self-assessments by the income earners.  This is so mainly because the Respondent does not have the requisite capacity, technology and manpower to effectively monitor every income earner’s liability for income tax.  To ensure that tax payers comply with the requirements of the ITA, the respondent carries out periodic audits.</w:t>
      </w:r>
    </w:p>
    <w:p w:rsidR="00384ABD" w:rsidRPr="00EB3210" w:rsidRDefault="00353317" w:rsidP="00EB3210">
      <w:pPr>
        <w:spacing w:after="0" w:line="360" w:lineRule="auto"/>
        <w:jc w:val="both"/>
        <w:rPr>
          <w:rFonts w:ascii="Times New Roman" w:hAnsi="Times New Roman" w:cs="Times New Roman"/>
          <w:sz w:val="24"/>
          <w:szCs w:val="24"/>
        </w:rPr>
      </w:pPr>
      <w:r w:rsidRPr="00EB3210">
        <w:rPr>
          <w:rFonts w:ascii="Times New Roman" w:hAnsi="Times New Roman" w:cs="Times New Roman"/>
          <w:sz w:val="24"/>
          <w:szCs w:val="24"/>
        </w:rPr>
        <w:t xml:space="preserve">  </w:t>
      </w:r>
      <w:r w:rsidR="00EB3210">
        <w:rPr>
          <w:rFonts w:ascii="Times New Roman" w:hAnsi="Times New Roman" w:cs="Times New Roman"/>
          <w:sz w:val="24"/>
          <w:szCs w:val="24"/>
        </w:rPr>
        <w:tab/>
      </w:r>
      <w:r w:rsidRPr="00EB3210">
        <w:rPr>
          <w:rFonts w:ascii="Times New Roman" w:hAnsi="Times New Roman" w:cs="Times New Roman"/>
          <w:sz w:val="24"/>
          <w:szCs w:val="24"/>
        </w:rPr>
        <w:t xml:space="preserve"> On 18 July 2014 the r</w:t>
      </w:r>
      <w:r w:rsidR="002C3EFD" w:rsidRPr="00EB3210">
        <w:rPr>
          <w:rFonts w:ascii="Times New Roman" w:hAnsi="Times New Roman" w:cs="Times New Roman"/>
          <w:sz w:val="24"/>
          <w:szCs w:val="24"/>
        </w:rPr>
        <w:t xml:space="preserve">espondent issued amended assessments namely 3331, 3332, 3510, 3511,3512, 3513, 3514, 3515, 3516, 3517,3518, 3519, 3520-3227 inclusive.   </w:t>
      </w:r>
    </w:p>
    <w:p w:rsidR="00353317" w:rsidRPr="00EB3210" w:rsidRDefault="00353317" w:rsidP="00EB3210">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On 15 August 2014, the a</w:t>
      </w:r>
      <w:r w:rsidR="002C3EFD" w:rsidRPr="00EB3210">
        <w:rPr>
          <w:rFonts w:ascii="Times New Roman" w:hAnsi="Times New Roman" w:cs="Times New Roman"/>
          <w:sz w:val="24"/>
          <w:szCs w:val="24"/>
        </w:rPr>
        <w:t xml:space="preserve">ppellant objected to these assessments </w:t>
      </w:r>
      <w:r w:rsidRPr="00EB3210">
        <w:rPr>
          <w:rFonts w:ascii="Times New Roman" w:hAnsi="Times New Roman" w:cs="Times New Roman"/>
          <w:sz w:val="24"/>
          <w:szCs w:val="24"/>
        </w:rPr>
        <w:t>through its tax advisors.  The r</w:t>
      </w:r>
      <w:r w:rsidR="002C3EFD" w:rsidRPr="00EB3210">
        <w:rPr>
          <w:rFonts w:ascii="Times New Roman" w:hAnsi="Times New Roman" w:cs="Times New Roman"/>
          <w:sz w:val="24"/>
          <w:szCs w:val="24"/>
        </w:rPr>
        <w:t>espondent dismissed the objection</w:t>
      </w:r>
      <w:r w:rsidR="005F3DF1" w:rsidRPr="00EB3210">
        <w:rPr>
          <w:rFonts w:ascii="Times New Roman" w:hAnsi="Times New Roman" w:cs="Times New Roman"/>
          <w:sz w:val="24"/>
          <w:szCs w:val="24"/>
        </w:rPr>
        <w:t>s</w:t>
      </w:r>
      <w:r w:rsidR="00B64D18" w:rsidRPr="00EB3210">
        <w:rPr>
          <w:rFonts w:ascii="Times New Roman" w:hAnsi="Times New Roman" w:cs="Times New Roman"/>
          <w:sz w:val="24"/>
          <w:szCs w:val="24"/>
        </w:rPr>
        <w:t xml:space="preserve"> filed and notified th</w:t>
      </w:r>
      <w:r w:rsidRPr="00EB3210">
        <w:rPr>
          <w:rFonts w:ascii="Times New Roman" w:hAnsi="Times New Roman" w:cs="Times New Roman"/>
          <w:sz w:val="24"/>
          <w:szCs w:val="24"/>
        </w:rPr>
        <w:t xml:space="preserve">e appellant of its decision </w:t>
      </w:r>
      <w:r w:rsidR="00EB3210" w:rsidRPr="00EB3210">
        <w:rPr>
          <w:rFonts w:ascii="Times New Roman" w:hAnsi="Times New Roman" w:cs="Times New Roman"/>
          <w:sz w:val="24"/>
          <w:szCs w:val="24"/>
        </w:rPr>
        <w:t>on 9</w:t>
      </w:r>
      <w:r w:rsidRPr="00EB3210">
        <w:rPr>
          <w:rFonts w:ascii="Times New Roman" w:hAnsi="Times New Roman" w:cs="Times New Roman"/>
          <w:sz w:val="24"/>
          <w:szCs w:val="24"/>
        </w:rPr>
        <w:t xml:space="preserve"> </w:t>
      </w:r>
      <w:r w:rsidR="00B64D18" w:rsidRPr="00EB3210">
        <w:rPr>
          <w:rFonts w:ascii="Times New Roman" w:hAnsi="Times New Roman" w:cs="Times New Roman"/>
          <w:sz w:val="24"/>
          <w:szCs w:val="24"/>
        </w:rPr>
        <w:t>November</w:t>
      </w:r>
      <w:r w:rsidR="002C3EFD" w:rsidRPr="00EB3210">
        <w:rPr>
          <w:rFonts w:ascii="Times New Roman" w:hAnsi="Times New Roman" w:cs="Times New Roman"/>
          <w:sz w:val="24"/>
          <w:szCs w:val="24"/>
        </w:rPr>
        <w:t xml:space="preserve"> </w:t>
      </w:r>
      <w:r w:rsidR="00B64D18" w:rsidRPr="00EB3210">
        <w:rPr>
          <w:rFonts w:ascii="Times New Roman" w:hAnsi="Times New Roman" w:cs="Times New Roman"/>
          <w:sz w:val="24"/>
          <w:szCs w:val="24"/>
        </w:rPr>
        <w:t xml:space="preserve">2015. </w:t>
      </w:r>
    </w:p>
    <w:p w:rsidR="002C3EFD" w:rsidRPr="00EB3210" w:rsidRDefault="00B64D18" w:rsidP="00EB3210">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 xml:space="preserve"> This </w:t>
      </w:r>
      <w:r w:rsidR="00353317" w:rsidRPr="00EB3210">
        <w:rPr>
          <w:rFonts w:ascii="Times New Roman" w:hAnsi="Times New Roman" w:cs="Times New Roman"/>
          <w:sz w:val="24"/>
          <w:szCs w:val="24"/>
        </w:rPr>
        <w:t xml:space="preserve">appeal </w:t>
      </w:r>
      <w:r w:rsidR="005F3DF1" w:rsidRPr="00EB3210">
        <w:rPr>
          <w:rFonts w:ascii="Times New Roman" w:hAnsi="Times New Roman" w:cs="Times New Roman"/>
          <w:sz w:val="24"/>
          <w:szCs w:val="24"/>
        </w:rPr>
        <w:t xml:space="preserve">is </w:t>
      </w:r>
      <w:r w:rsidR="00353317" w:rsidRPr="00EB3210">
        <w:rPr>
          <w:rFonts w:ascii="Times New Roman" w:hAnsi="Times New Roman" w:cs="Times New Roman"/>
          <w:sz w:val="24"/>
          <w:szCs w:val="24"/>
        </w:rPr>
        <w:t>against the respondent’s dismissal of the a</w:t>
      </w:r>
      <w:r w:rsidRPr="00EB3210">
        <w:rPr>
          <w:rFonts w:ascii="Times New Roman" w:hAnsi="Times New Roman" w:cs="Times New Roman"/>
          <w:sz w:val="24"/>
          <w:szCs w:val="24"/>
        </w:rPr>
        <w:t xml:space="preserve">ppellant’s objections.  </w:t>
      </w:r>
    </w:p>
    <w:p w:rsidR="00CC5898" w:rsidRPr="00EB3210" w:rsidRDefault="00537A13" w:rsidP="000B35C7">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 xml:space="preserve">The grounds of appeal were </w:t>
      </w:r>
      <w:r w:rsidR="00AA75A9" w:rsidRPr="00EB3210">
        <w:rPr>
          <w:rFonts w:ascii="Times New Roman" w:hAnsi="Times New Roman" w:cs="Times New Roman"/>
          <w:sz w:val="24"/>
          <w:szCs w:val="24"/>
        </w:rPr>
        <w:t xml:space="preserve">listed </w:t>
      </w:r>
      <w:r w:rsidRPr="00EB3210">
        <w:rPr>
          <w:rFonts w:ascii="Times New Roman" w:hAnsi="Times New Roman" w:cs="Times New Roman"/>
          <w:sz w:val="24"/>
          <w:szCs w:val="24"/>
        </w:rPr>
        <w:t>as follows:</w:t>
      </w:r>
    </w:p>
    <w:p w:rsidR="00766DCB" w:rsidRPr="000B35C7" w:rsidRDefault="000B35C7" w:rsidP="000B35C7">
      <w:pPr>
        <w:pStyle w:val="ListParagraph"/>
        <w:spacing w:line="240" w:lineRule="auto"/>
        <w:ind w:left="1440" w:hanging="720"/>
        <w:jc w:val="both"/>
        <w:rPr>
          <w:rFonts w:ascii="Times New Roman" w:hAnsi="Times New Roman" w:cs="Times New Roman"/>
        </w:rPr>
      </w:pPr>
      <w:r w:rsidRPr="000B35C7">
        <w:rPr>
          <w:rFonts w:ascii="Times New Roman" w:hAnsi="Times New Roman" w:cs="Times New Roman"/>
        </w:rPr>
        <w:t>“</w:t>
      </w:r>
      <w:r w:rsidR="005F3DF1" w:rsidRPr="000B35C7">
        <w:rPr>
          <w:rFonts w:ascii="Times New Roman" w:hAnsi="Times New Roman" w:cs="Times New Roman"/>
        </w:rPr>
        <w:t xml:space="preserve">1. </w:t>
      </w:r>
      <w:r w:rsidR="00766DCB" w:rsidRPr="000B35C7">
        <w:rPr>
          <w:rFonts w:ascii="Times New Roman" w:hAnsi="Times New Roman" w:cs="Times New Roman"/>
        </w:rPr>
        <w:t>Whether or not the separa</w:t>
      </w:r>
      <w:r w:rsidR="00353317" w:rsidRPr="000B35C7">
        <w:rPr>
          <w:rFonts w:ascii="Times New Roman" w:hAnsi="Times New Roman" w:cs="Times New Roman"/>
        </w:rPr>
        <w:t>te mining operations under the a</w:t>
      </w:r>
      <w:r w:rsidR="00766DCB" w:rsidRPr="000B35C7">
        <w:rPr>
          <w:rFonts w:ascii="Times New Roman" w:hAnsi="Times New Roman" w:cs="Times New Roman"/>
        </w:rPr>
        <w:t xml:space="preserve">ppellant’s portfolio were inseparable and substantially interdependent, such that capital allowances in respect of the different mines should have been </w:t>
      </w:r>
      <w:r w:rsidR="00F82F58" w:rsidRPr="000B35C7">
        <w:rPr>
          <w:rFonts w:ascii="Times New Roman" w:hAnsi="Times New Roman" w:cs="Times New Roman"/>
        </w:rPr>
        <w:t>allowed under one tax return for each tax period.</w:t>
      </w:r>
    </w:p>
    <w:p w:rsidR="005F3DF1" w:rsidRPr="000B35C7" w:rsidRDefault="005F3DF1" w:rsidP="000B35C7">
      <w:pPr>
        <w:pStyle w:val="ListParagraph"/>
        <w:spacing w:line="240" w:lineRule="auto"/>
        <w:ind w:left="1440" w:hanging="720"/>
        <w:jc w:val="both"/>
        <w:rPr>
          <w:rFonts w:ascii="Times New Roman" w:hAnsi="Times New Roman" w:cs="Times New Roman"/>
        </w:rPr>
      </w:pPr>
    </w:p>
    <w:p w:rsidR="00F82F58" w:rsidRPr="000B35C7" w:rsidRDefault="00F82F58" w:rsidP="000B35C7">
      <w:pPr>
        <w:pStyle w:val="ListParagraph"/>
        <w:numPr>
          <w:ilvl w:val="0"/>
          <w:numId w:val="15"/>
        </w:numPr>
        <w:spacing w:line="240" w:lineRule="auto"/>
        <w:jc w:val="both"/>
        <w:rPr>
          <w:rFonts w:ascii="Times New Roman" w:hAnsi="Times New Roman" w:cs="Times New Roman"/>
        </w:rPr>
      </w:pPr>
      <w:r w:rsidRPr="000B35C7">
        <w:rPr>
          <w:rFonts w:ascii="Times New Roman" w:hAnsi="Times New Roman" w:cs="Times New Roman"/>
        </w:rPr>
        <w:t xml:space="preserve">Whether or not such assessments were invalid to the extent that </w:t>
      </w:r>
      <w:r w:rsidR="00701D48" w:rsidRPr="000B35C7">
        <w:rPr>
          <w:rFonts w:ascii="Times New Roman" w:hAnsi="Times New Roman" w:cs="Times New Roman"/>
        </w:rPr>
        <w:t>they did not take into account various expenses</w:t>
      </w:r>
      <w:r w:rsidR="00C55666" w:rsidRPr="000B35C7">
        <w:rPr>
          <w:rFonts w:ascii="Times New Roman" w:hAnsi="Times New Roman" w:cs="Times New Roman"/>
        </w:rPr>
        <w:t xml:space="preserve"> including </w:t>
      </w:r>
      <w:r w:rsidR="00353317" w:rsidRPr="000B35C7">
        <w:rPr>
          <w:rFonts w:ascii="Times New Roman" w:hAnsi="Times New Roman" w:cs="Times New Roman"/>
        </w:rPr>
        <w:t>those expenses incurred by the a</w:t>
      </w:r>
      <w:r w:rsidR="00C55666" w:rsidRPr="000B35C7">
        <w:rPr>
          <w:rFonts w:ascii="Times New Roman" w:hAnsi="Times New Roman" w:cs="Times New Roman"/>
        </w:rPr>
        <w:t xml:space="preserve">ppellant’s Head Office and it’s </w:t>
      </w:r>
      <w:r w:rsidR="00B9041F" w:rsidRPr="000B35C7">
        <w:rPr>
          <w:rFonts w:ascii="Times New Roman" w:hAnsi="Times New Roman" w:cs="Times New Roman"/>
        </w:rPr>
        <w:t>mining</w:t>
      </w:r>
      <w:r w:rsidR="00C55666" w:rsidRPr="000B35C7">
        <w:rPr>
          <w:rFonts w:ascii="Times New Roman" w:hAnsi="Times New Roman" w:cs="Times New Roman"/>
        </w:rPr>
        <w:t xml:space="preserve"> units.</w:t>
      </w:r>
      <w:r w:rsidR="000B35C7">
        <w:rPr>
          <w:rFonts w:ascii="Times New Roman" w:hAnsi="Times New Roman" w:cs="Times New Roman"/>
        </w:rPr>
        <w:t>”</w:t>
      </w:r>
    </w:p>
    <w:p w:rsidR="00C55666" w:rsidRPr="00EB3210" w:rsidRDefault="00C55666" w:rsidP="00EB3210">
      <w:pPr>
        <w:pStyle w:val="ListParagraph"/>
        <w:spacing w:line="360" w:lineRule="auto"/>
        <w:jc w:val="both"/>
        <w:rPr>
          <w:rFonts w:ascii="Times New Roman" w:hAnsi="Times New Roman" w:cs="Times New Roman"/>
          <w:sz w:val="24"/>
          <w:szCs w:val="24"/>
        </w:rPr>
      </w:pPr>
    </w:p>
    <w:p w:rsidR="00AA75A9" w:rsidRPr="00EB3210" w:rsidRDefault="000C64A1" w:rsidP="00EB3210">
      <w:pPr>
        <w:spacing w:line="360" w:lineRule="auto"/>
        <w:jc w:val="both"/>
        <w:rPr>
          <w:rFonts w:ascii="Times New Roman" w:hAnsi="Times New Roman" w:cs="Times New Roman"/>
          <w:b/>
          <w:sz w:val="24"/>
          <w:szCs w:val="24"/>
        </w:rPr>
      </w:pPr>
      <w:r w:rsidRPr="00EB3210">
        <w:rPr>
          <w:rFonts w:ascii="Times New Roman" w:hAnsi="Times New Roman" w:cs="Times New Roman"/>
          <w:b/>
          <w:i/>
          <w:sz w:val="24"/>
          <w:szCs w:val="24"/>
        </w:rPr>
        <w:t xml:space="preserve"> </w:t>
      </w:r>
      <w:r w:rsidR="00AA75A9" w:rsidRPr="00EB3210">
        <w:rPr>
          <w:rFonts w:ascii="Times New Roman" w:hAnsi="Times New Roman" w:cs="Times New Roman"/>
          <w:b/>
          <w:sz w:val="24"/>
          <w:szCs w:val="24"/>
        </w:rPr>
        <w:t>Evidence</w:t>
      </w:r>
    </w:p>
    <w:p w:rsidR="00055193" w:rsidRPr="00EB3210" w:rsidRDefault="00AA75A9" w:rsidP="000B35C7">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In support of its case the appellant called two witnesses</w:t>
      </w:r>
      <w:r w:rsidR="005315A6" w:rsidRPr="00EB3210">
        <w:rPr>
          <w:rFonts w:ascii="Times New Roman" w:hAnsi="Times New Roman" w:cs="Times New Roman"/>
          <w:sz w:val="24"/>
          <w:szCs w:val="24"/>
        </w:rPr>
        <w:t>. However, in view of my decision</w:t>
      </w:r>
      <w:r w:rsidR="00055193" w:rsidRPr="00EB3210">
        <w:rPr>
          <w:rFonts w:ascii="Times New Roman" w:hAnsi="Times New Roman" w:cs="Times New Roman"/>
          <w:sz w:val="24"/>
          <w:szCs w:val="24"/>
        </w:rPr>
        <w:t xml:space="preserve"> on the </w:t>
      </w:r>
      <w:r w:rsidR="00055193" w:rsidRPr="00EB3210">
        <w:rPr>
          <w:rFonts w:ascii="Times New Roman" w:hAnsi="Times New Roman" w:cs="Times New Roman"/>
          <w:i/>
          <w:sz w:val="24"/>
          <w:szCs w:val="24"/>
        </w:rPr>
        <w:t xml:space="preserve">point in </w:t>
      </w:r>
      <w:proofErr w:type="spellStart"/>
      <w:r w:rsidR="00055193" w:rsidRPr="00EB3210">
        <w:rPr>
          <w:rFonts w:ascii="Times New Roman" w:hAnsi="Times New Roman" w:cs="Times New Roman"/>
          <w:i/>
          <w:sz w:val="24"/>
          <w:szCs w:val="24"/>
        </w:rPr>
        <w:t>limine</w:t>
      </w:r>
      <w:proofErr w:type="spellEnd"/>
      <w:r w:rsidR="005315A6" w:rsidRPr="00EB3210">
        <w:rPr>
          <w:rFonts w:ascii="Times New Roman" w:hAnsi="Times New Roman" w:cs="Times New Roman"/>
          <w:sz w:val="24"/>
          <w:szCs w:val="24"/>
        </w:rPr>
        <w:t xml:space="preserve"> </w:t>
      </w:r>
      <w:r w:rsidR="00055193" w:rsidRPr="00EB3210">
        <w:rPr>
          <w:rFonts w:ascii="Times New Roman" w:hAnsi="Times New Roman" w:cs="Times New Roman"/>
          <w:sz w:val="24"/>
          <w:szCs w:val="24"/>
        </w:rPr>
        <w:t xml:space="preserve">raised by the respondent, it will now not be necessary to narrate the witnesses’ evidence. </w:t>
      </w:r>
    </w:p>
    <w:p w:rsidR="00E76CF6" w:rsidRPr="000B35C7" w:rsidRDefault="005315A6" w:rsidP="00344102">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 xml:space="preserve">The respondent did not lead evidence but </w:t>
      </w:r>
      <w:r w:rsidR="00055193" w:rsidRPr="00EB3210">
        <w:rPr>
          <w:rFonts w:ascii="Times New Roman" w:hAnsi="Times New Roman" w:cs="Times New Roman"/>
          <w:sz w:val="24"/>
          <w:szCs w:val="24"/>
        </w:rPr>
        <w:t xml:space="preserve">instead </w:t>
      </w:r>
      <w:r w:rsidRPr="00EB3210">
        <w:rPr>
          <w:rFonts w:ascii="Times New Roman" w:hAnsi="Times New Roman" w:cs="Times New Roman"/>
          <w:sz w:val="24"/>
          <w:szCs w:val="24"/>
        </w:rPr>
        <w:t>indicated that it would rely on</w:t>
      </w:r>
      <w:r w:rsidR="00055193" w:rsidRPr="00EB3210">
        <w:rPr>
          <w:rFonts w:ascii="Times New Roman" w:hAnsi="Times New Roman" w:cs="Times New Roman"/>
          <w:sz w:val="24"/>
          <w:szCs w:val="24"/>
        </w:rPr>
        <w:t xml:space="preserve"> </w:t>
      </w:r>
      <w:r w:rsidR="00C55666" w:rsidRPr="00EB3210">
        <w:rPr>
          <w:rFonts w:ascii="Times New Roman" w:hAnsi="Times New Roman" w:cs="Times New Roman"/>
          <w:sz w:val="24"/>
          <w:szCs w:val="24"/>
        </w:rPr>
        <w:t>the papers</w:t>
      </w:r>
      <w:r w:rsidRPr="00EB3210">
        <w:rPr>
          <w:rFonts w:ascii="Times New Roman" w:hAnsi="Times New Roman" w:cs="Times New Roman"/>
          <w:sz w:val="24"/>
          <w:szCs w:val="24"/>
        </w:rPr>
        <w:t xml:space="preserve"> filed</w:t>
      </w:r>
      <w:r w:rsidR="00055193" w:rsidRPr="00EB3210">
        <w:rPr>
          <w:rFonts w:ascii="Times New Roman" w:hAnsi="Times New Roman" w:cs="Times New Roman"/>
          <w:sz w:val="24"/>
          <w:szCs w:val="24"/>
        </w:rPr>
        <w:t xml:space="preserve"> of record</w:t>
      </w:r>
      <w:r w:rsidRPr="00EB3210">
        <w:rPr>
          <w:rFonts w:ascii="Times New Roman" w:hAnsi="Times New Roman" w:cs="Times New Roman"/>
          <w:sz w:val="24"/>
          <w:szCs w:val="24"/>
        </w:rPr>
        <w:t xml:space="preserve">.  </w:t>
      </w:r>
      <w:r w:rsidR="00E76CF6" w:rsidRPr="00EB3210">
        <w:rPr>
          <w:rFonts w:ascii="Times New Roman" w:hAnsi="Times New Roman" w:cs="Times New Roman"/>
          <w:b/>
          <w:sz w:val="24"/>
          <w:szCs w:val="24"/>
        </w:rPr>
        <w:t xml:space="preserve"> ‌</w:t>
      </w:r>
    </w:p>
    <w:p w:rsidR="00344102" w:rsidRDefault="00055193" w:rsidP="00344102">
      <w:pPr>
        <w:spacing w:after="0" w:line="360" w:lineRule="auto"/>
        <w:jc w:val="both"/>
        <w:rPr>
          <w:rFonts w:ascii="Times New Roman" w:hAnsi="Times New Roman" w:cs="Times New Roman"/>
          <w:b/>
          <w:sz w:val="24"/>
          <w:szCs w:val="24"/>
        </w:rPr>
      </w:pPr>
      <w:r w:rsidRPr="00EB3210">
        <w:rPr>
          <w:rFonts w:ascii="Times New Roman" w:hAnsi="Times New Roman" w:cs="Times New Roman"/>
          <w:b/>
          <w:i/>
          <w:sz w:val="24"/>
          <w:szCs w:val="24"/>
        </w:rPr>
        <w:t xml:space="preserve">Point in </w:t>
      </w:r>
      <w:proofErr w:type="spellStart"/>
      <w:r w:rsidRPr="00EB3210">
        <w:rPr>
          <w:rFonts w:ascii="Times New Roman" w:hAnsi="Times New Roman" w:cs="Times New Roman"/>
          <w:b/>
          <w:i/>
          <w:sz w:val="24"/>
          <w:szCs w:val="24"/>
        </w:rPr>
        <w:t>limine</w:t>
      </w:r>
      <w:proofErr w:type="spellEnd"/>
      <w:r w:rsidRPr="00EB3210">
        <w:rPr>
          <w:rFonts w:ascii="Times New Roman" w:hAnsi="Times New Roman" w:cs="Times New Roman"/>
          <w:b/>
          <w:i/>
          <w:sz w:val="24"/>
          <w:szCs w:val="24"/>
        </w:rPr>
        <w:t xml:space="preserve"> </w:t>
      </w:r>
      <w:r w:rsidRPr="00EB3210">
        <w:rPr>
          <w:rFonts w:ascii="Times New Roman" w:hAnsi="Times New Roman" w:cs="Times New Roman"/>
          <w:b/>
          <w:sz w:val="24"/>
          <w:szCs w:val="24"/>
        </w:rPr>
        <w:t>raised by the respondent and resolution of same.</w:t>
      </w:r>
    </w:p>
    <w:p w:rsidR="005315A6" w:rsidRPr="00344102" w:rsidRDefault="00055193" w:rsidP="00344102">
      <w:pPr>
        <w:spacing w:after="0" w:line="360" w:lineRule="auto"/>
        <w:ind w:firstLine="720"/>
        <w:jc w:val="both"/>
        <w:rPr>
          <w:rFonts w:ascii="Times New Roman" w:hAnsi="Times New Roman" w:cs="Times New Roman"/>
          <w:b/>
          <w:sz w:val="24"/>
          <w:szCs w:val="24"/>
        </w:rPr>
      </w:pPr>
      <w:r w:rsidRPr="00EB3210">
        <w:rPr>
          <w:rFonts w:ascii="Times New Roman" w:hAnsi="Times New Roman" w:cs="Times New Roman"/>
          <w:sz w:val="24"/>
          <w:szCs w:val="24"/>
        </w:rPr>
        <w:lastRenderedPageBreak/>
        <w:t>At the close of the hearing</w:t>
      </w:r>
      <w:r w:rsidR="006638FB" w:rsidRPr="00EB3210">
        <w:rPr>
          <w:rFonts w:ascii="Times New Roman" w:hAnsi="Times New Roman" w:cs="Times New Roman"/>
          <w:sz w:val="24"/>
          <w:szCs w:val="24"/>
        </w:rPr>
        <w:t xml:space="preserve">, </w:t>
      </w:r>
      <w:r w:rsidR="005315A6" w:rsidRPr="00EB3210">
        <w:rPr>
          <w:rFonts w:ascii="Times New Roman" w:hAnsi="Times New Roman" w:cs="Times New Roman"/>
          <w:sz w:val="24"/>
          <w:szCs w:val="24"/>
        </w:rPr>
        <w:t xml:space="preserve">I allowed parties to file written submissions as </w:t>
      </w:r>
      <w:proofErr w:type="gramStart"/>
      <w:r w:rsidR="005315A6" w:rsidRPr="00EB3210">
        <w:rPr>
          <w:rFonts w:ascii="Times New Roman" w:hAnsi="Times New Roman" w:cs="Times New Roman"/>
          <w:sz w:val="24"/>
          <w:szCs w:val="24"/>
        </w:rPr>
        <w:t>follows:-</w:t>
      </w:r>
      <w:proofErr w:type="gramEnd"/>
    </w:p>
    <w:p w:rsidR="005315A6" w:rsidRPr="00EB3210" w:rsidRDefault="00353317" w:rsidP="00EB3210">
      <w:p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ab/>
        <w:t>a</w:t>
      </w:r>
      <w:r w:rsidR="00C55666" w:rsidRPr="00EB3210">
        <w:rPr>
          <w:rFonts w:ascii="Times New Roman" w:hAnsi="Times New Roman" w:cs="Times New Roman"/>
          <w:sz w:val="24"/>
          <w:szCs w:val="24"/>
        </w:rPr>
        <w:t>ppellant: 25 March 2021</w:t>
      </w:r>
    </w:p>
    <w:p w:rsidR="005315A6" w:rsidRPr="00EB3210" w:rsidRDefault="00353317" w:rsidP="00EB3210">
      <w:p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ab/>
        <w:t>r</w:t>
      </w:r>
      <w:r w:rsidR="00C55666" w:rsidRPr="00EB3210">
        <w:rPr>
          <w:rFonts w:ascii="Times New Roman" w:hAnsi="Times New Roman" w:cs="Times New Roman"/>
          <w:sz w:val="24"/>
          <w:szCs w:val="24"/>
        </w:rPr>
        <w:t>espondent: 30 March 2021</w:t>
      </w:r>
    </w:p>
    <w:p w:rsidR="00B76AEE" w:rsidRPr="00EB3210" w:rsidRDefault="00B76AEE" w:rsidP="00344102">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 xml:space="preserve">The </w:t>
      </w:r>
      <w:r w:rsidR="006060E7" w:rsidRPr="00EB3210">
        <w:rPr>
          <w:rFonts w:ascii="Times New Roman" w:hAnsi="Times New Roman" w:cs="Times New Roman"/>
          <w:sz w:val="24"/>
          <w:szCs w:val="24"/>
        </w:rPr>
        <w:t xml:space="preserve">respondent </w:t>
      </w:r>
      <w:r w:rsidRPr="00EB3210">
        <w:rPr>
          <w:rFonts w:ascii="Times New Roman" w:hAnsi="Times New Roman" w:cs="Times New Roman"/>
          <w:sz w:val="24"/>
          <w:szCs w:val="24"/>
        </w:rPr>
        <w:t>filed its closing</w:t>
      </w:r>
      <w:r w:rsidR="00C55666" w:rsidRPr="00EB3210">
        <w:rPr>
          <w:rFonts w:ascii="Times New Roman" w:hAnsi="Times New Roman" w:cs="Times New Roman"/>
          <w:sz w:val="24"/>
          <w:szCs w:val="24"/>
        </w:rPr>
        <w:t xml:space="preserve"> submi</w:t>
      </w:r>
      <w:r w:rsidR="00353317" w:rsidRPr="00EB3210">
        <w:rPr>
          <w:rFonts w:ascii="Times New Roman" w:hAnsi="Times New Roman" w:cs="Times New Roman"/>
          <w:sz w:val="24"/>
          <w:szCs w:val="24"/>
        </w:rPr>
        <w:t xml:space="preserve">ssions on </w:t>
      </w:r>
      <w:r w:rsidR="006060E7" w:rsidRPr="00EB3210">
        <w:rPr>
          <w:rFonts w:ascii="Times New Roman" w:hAnsi="Times New Roman" w:cs="Times New Roman"/>
          <w:sz w:val="24"/>
          <w:szCs w:val="24"/>
        </w:rPr>
        <w:t>26 March 2021 while</w:t>
      </w:r>
      <w:r w:rsidR="00353317" w:rsidRPr="00EB3210">
        <w:rPr>
          <w:rFonts w:ascii="Times New Roman" w:hAnsi="Times New Roman" w:cs="Times New Roman"/>
          <w:sz w:val="24"/>
          <w:szCs w:val="24"/>
        </w:rPr>
        <w:t xml:space="preserve"> the </w:t>
      </w:r>
      <w:r w:rsidR="006060E7" w:rsidRPr="00EB3210">
        <w:rPr>
          <w:rFonts w:ascii="Times New Roman" w:hAnsi="Times New Roman" w:cs="Times New Roman"/>
          <w:sz w:val="24"/>
          <w:szCs w:val="24"/>
        </w:rPr>
        <w:t>appellant</w:t>
      </w:r>
      <w:r w:rsidRPr="00EB3210">
        <w:rPr>
          <w:rFonts w:ascii="Times New Roman" w:hAnsi="Times New Roman" w:cs="Times New Roman"/>
          <w:sz w:val="24"/>
          <w:szCs w:val="24"/>
        </w:rPr>
        <w:t xml:space="preserve"> </w:t>
      </w:r>
      <w:r w:rsidR="006060E7" w:rsidRPr="00EB3210">
        <w:rPr>
          <w:rFonts w:ascii="Times New Roman" w:hAnsi="Times New Roman" w:cs="Times New Roman"/>
          <w:sz w:val="24"/>
          <w:szCs w:val="24"/>
        </w:rPr>
        <w:t xml:space="preserve">then </w:t>
      </w:r>
      <w:r w:rsidRPr="00EB3210">
        <w:rPr>
          <w:rFonts w:ascii="Times New Roman" w:hAnsi="Times New Roman" w:cs="Times New Roman"/>
          <w:sz w:val="24"/>
          <w:szCs w:val="24"/>
        </w:rPr>
        <w:t>f</w:t>
      </w:r>
      <w:r w:rsidR="00ED7192" w:rsidRPr="00EB3210">
        <w:rPr>
          <w:rFonts w:ascii="Times New Roman" w:hAnsi="Times New Roman" w:cs="Times New Roman"/>
          <w:sz w:val="24"/>
          <w:szCs w:val="24"/>
        </w:rPr>
        <w:t xml:space="preserve">iled its own on </w:t>
      </w:r>
      <w:r w:rsidR="006060E7" w:rsidRPr="00EB3210">
        <w:rPr>
          <w:rFonts w:ascii="Times New Roman" w:hAnsi="Times New Roman" w:cs="Times New Roman"/>
          <w:sz w:val="24"/>
          <w:szCs w:val="24"/>
        </w:rPr>
        <w:t xml:space="preserve">6 April </w:t>
      </w:r>
      <w:r w:rsidR="00ED7192" w:rsidRPr="00EB3210">
        <w:rPr>
          <w:rFonts w:ascii="Times New Roman" w:hAnsi="Times New Roman" w:cs="Times New Roman"/>
          <w:sz w:val="24"/>
          <w:szCs w:val="24"/>
        </w:rPr>
        <w:t>2021</w:t>
      </w:r>
      <w:r w:rsidRPr="00EB3210">
        <w:rPr>
          <w:rFonts w:ascii="Times New Roman" w:hAnsi="Times New Roman" w:cs="Times New Roman"/>
          <w:sz w:val="24"/>
          <w:szCs w:val="24"/>
        </w:rPr>
        <w:t>.</w:t>
      </w:r>
    </w:p>
    <w:p w:rsidR="00B76AEE" w:rsidRPr="00EB3210" w:rsidRDefault="00B76AEE" w:rsidP="00344102">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In its w</w:t>
      </w:r>
      <w:r w:rsidR="006060E7" w:rsidRPr="00EB3210">
        <w:rPr>
          <w:rFonts w:ascii="Times New Roman" w:hAnsi="Times New Roman" w:cs="Times New Roman"/>
          <w:sz w:val="24"/>
          <w:szCs w:val="24"/>
        </w:rPr>
        <w:t>ritten submissions, filed before the appellant’s submissions as indicated above, the r</w:t>
      </w:r>
      <w:r w:rsidRPr="00EB3210">
        <w:rPr>
          <w:rFonts w:ascii="Times New Roman" w:hAnsi="Times New Roman" w:cs="Times New Roman"/>
          <w:sz w:val="24"/>
          <w:szCs w:val="24"/>
        </w:rPr>
        <w:t>espondent raised</w:t>
      </w:r>
      <w:r w:rsidR="00055193" w:rsidRPr="00EB3210">
        <w:rPr>
          <w:rFonts w:ascii="Times New Roman" w:hAnsi="Times New Roman" w:cs="Times New Roman"/>
          <w:sz w:val="24"/>
          <w:szCs w:val="24"/>
        </w:rPr>
        <w:t>,</w:t>
      </w:r>
      <w:r w:rsidRPr="00EB3210">
        <w:rPr>
          <w:rFonts w:ascii="Times New Roman" w:hAnsi="Times New Roman" w:cs="Times New Roman"/>
          <w:sz w:val="24"/>
          <w:szCs w:val="24"/>
        </w:rPr>
        <w:t xml:space="preserve"> for the first time, a </w:t>
      </w:r>
      <w:r w:rsidRPr="00EB3210">
        <w:rPr>
          <w:rFonts w:ascii="Times New Roman" w:hAnsi="Times New Roman" w:cs="Times New Roman"/>
          <w:i/>
          <w:sz w:val="24"/>
          <w:szCs w:val="24"/>
        </w:rPr>
        <w:t xml:space="preserve">point in </w:t>
      </w:r>
      <w:proofErr w:type="spellStart"/>
      <w:r w:rsidRPr="00EB3210">
        <w:rPr>
          <w:rFonts w:ascii="Times New Roman" w:hAnsi="Times New Roman" w:cs="Times New Roman"/>
          <w:i/>
          <w:sz w:val="24"/>
          <w:szCs w:val="24"/>
        </w:rPr>
        <w:t>limine</w:t>
      </w:r>
      <w:proofErr w:type="spellEnd"/>
      <w:r w:rsidRPr="00EB3210">
        <w:rPr>
          <w:rFonts w:ascii="Times New Roman" w:hAnsi="Times New Roman" w:cs="Times New Roman"/>
          <w:sz w:val="24"/>
          <w:szCs w:val="24"/>
        </w:rPr>
        <w:t xml:space="preserve"> based on what </w:t>
      </w:r>
      <w:r w:rsidR="000F06FD" w:rsidRPr="00EB3210">
        <w:rPr>
          <w:rFonts w:ascii="Times New Roman" w:hAnsi="Times New Roman" w:cs="Times New Roman"/>
          <w:sz w:val="24"/>
          <w:szCs w:val="24"/>
        </w:rPr>
        <w:t xml:space="preserve">it </w:t>
      </w:r>
      <w:r w:rsidR="00ED7192" w:rsidRPr="00EB3210">
        <w:rPr>
          <w:rFonts w:ascii="Times New Roman" w:hAnsi="Times New Roman" w:cs="Times New Roman"/>
          <w:sz w:val="24"/>
          <w:szCs w:val="24"/>
        </w:rPr>
        <w:t>termed “a fatally defective</w:t>
      </w:r>
      <w:r w:rsidRPr="00EB3210">
        <w:rPr>
          <w:rFonts w:ascii="Times New Roman" w:hAnsi="Times New Roman" w:cs="Times New Roman"/>
          <w:sz w:val="24"/>
          <w:szCs w:val="24"/>
        </w:rPr>
        <w:t xml:space="preserve"> appeal”</w:t>
      </w:r>
      <w:r w:rsidR="006060E7" w:rsidRPr="00EB3210">
        <w:rPr>
          <w:rFonts w:ascii="Times New Roman" w:hAnsi="Times New Roman" w:cs="Times New Roman"/>
          <w:sz w:val="24"/>
          <w:szCs w:val="24"/>
        </w:rPr>
        <w:t>. To that end the r</w:t>
      </w:r>
      <w:r w:rsidR="00055193" w:rsidRPr="00EB3210">
        <w:rPr>
          <w:rFonts w:ascii="Times New Roman" w:hAnsi="Times New Roman" w:cs="Times New Roman"/>
          <w:sz w:val="24"/>
          <w:szCs w:val="24"/>
        </w:rPr>
        <w:t>espondent submitted:</w:t>
      </w:r>
    </w:p>
    <w:p w:rsidR="00D245F2" w:rsidRPr="002F23D0" w:rsidRDefault="00ED7192" w:rsidP="002F23D0">
      <w:pPr>
        <w:spacing w:line="240" w:lineRule="auto"/>
        <w:ind w:left="720"/>
        <w:jc w:val="both"/>
        <w:rPr>
          <w:rFonts w:ascii="Times New Roman" w:hAnsi="Times New Roman" w:cs="Times New Roman"/>
        </w:rPr>
      </w:pPr>
      <w:r w:rsidRPr="002F23D0">
        <w:rPr>
          <w:rFonts w:ascii="Times New Roman" w:hAnsi="Times New Roman" w:cs="Times New Roman"/>
        </w:rPr>
        <w:t>“1. The first instance, the citation of the Respondent renders the appeal fatally defective</w:t>
      </w:r>
      <w:r w:rsidR="00020921" w:rsidRPr="002F23D0">
        <w:rPr>
          <w:rFonts w:ascii="Times New Roman" w:hAnsi="Times New Roman" w:cs="Times New Roman"/>
        </w:rPr>
        <w:t>.  The person cited as the Respondent is the Commissioner General, Zimbabwe Revenue Authority.</w:t>
      </w:r>
    </w:p>
    <w:p w:rsidR="00D245F2" w:rsidRPr="002F23D0" w:rsidRDefault="00020921" w:rsidP="002F23D0">
      <w:pPr>
        <w:spacing w:line="240" w:lineRule="auto"/>
        <w:ind w:left="720"/>
        <w:jc w:val="both"/>
        <w:rPr>
          <w:rFonts w:ascii="Times New Roman" w:hAnsi="Times New Roman" w:cs="Times New Roman"/>
        </w:rPr>
      </w:pPr>
      <w:r w:rsidRPr="002F23D0">
        <w:rPr>
          <w:rFonts w:ascii="Times New Roman" w:hAnsi="Times New Roman" w:cs="Times New Roman"/>
        </w:rPr>
        <w:t>2</w:t>
      </w:r>
      <w:r w:rsidR="00D245F2" w:rsidRPr="002F23D0">
        <w:rPr>
          <w:rFonts w:ascii="Times New Roman" w:hAnsi="Times New Roman" w:cs="Times New Roman"/>
        </w:rPr>
        <w:t xml:space="preserve">. Section 3 of the Revenue Authority Act </w:t>
      </w:r>
      <w:r w:rsidRPr="002F23D0">
        <w:rPr>
          <w:rFonts w:ascii="Times New Roman" w:hAnsi="Times New Roman" w:cs="Times New Roman"/>
        </w:rPr>
        <w:t>(Chapter</w:t>
      </w:r>
      <w:r w:rsidR="00D245F2" w:rsidRPr="002F23D0">
        <w:rPr>
          <w:rFonts w:ascii="Times New Roman" w:hAnsi="Times New Roman" w:cs="Times New Roman"/>
        </w:rPr>
        <w:t xml:space="preserve"> 23: 11) provides for the establishment of the Zimbabwe Revenue Authority in the following manner:</w:t>
      </w:r>
    </w:p>
    <w:p w:rsidR="00D245F2" w:rsidRPr="002F23D0" w:rsidRDefault="00D245F2" w:rsidP="002F23D0">
      <w:pPr>
        <w:spacing w:line="240" w:lineRule="auto"/>
        <w:ind w:left="1440"/>
        <w:jc w:val="both"/>
        <w:rPr>
          <w:rFonts w:ascii="Times New Roman" w:hAnsi="Times New Roman" w:cs="Times New Roman"/>
        </w:rPr>
      </w:pPr>
      <w:r w:rsidRPr="002F23D0">
        <w:rPr>
          <w:rFonts w:ascii="Times New Roman" w:hAnsi="Times New Roman" w:cs="Times New Roman"/>
        </w:rPr>
        <w:t>“</w:t>
      </w:r>
      <w:r w:rsidRPr="002F23D0">
        <w:rPr>
          <w:rFonts w:ascii="Times New Roman" w:hAnsi="Times New Roman" w:cs="Times New Roman"/>
          <w:b/>
        </w:rPr>
        <w:t xml:space="preserve">There is hereby established an authority, to be known as the Zimbabwe Revenue Authority, which shall be body corporate capable of suing and being sued in its own name and, subject to this Act, of performing all acts that bodies corporate may by law perform.” </w:t>
      </w:r>
    </w:p>
    <w:p w:rsidR="006060E7" w:rsidRPr="00EB3210" w:rsidRDefault="006060E7" w:rsidP="002F23D0">
      <w:pPr>
        <w:spacing w:line="360" w:lineRule="auto"/>
        <w:ind w:firstLine="720"/>
        <w:jc w:val="both"/>
        <w:rPr>
          <w:rFonts w:ascii="Times New Roman" w:hAnsi="Times New Roman" w:cs="Times New Roman"/>
          <w:b/>
          <w:sz w:val="24"/>
          <w:szCs w:val="24"/>
        </w:rPr>
      </w:pPr>
      <w:r w:rsidRPr="00EB3210">
        <w:rPr>
          <w:rFonts w:ascii="Times New Roman" w:hAnsi="Times New Roman" w:cs="Times New Roman"/>
          <w:sz w:val="24"/>
          <w:szCs w:val="24"/>
        </w:rPr>
        <w:t xml:space="preserve">To support the above position relating to the </w:t>
      </w:r>
      <w:r w:rsidRPr="00EB3210">
        <w:rPr>
          <w:rFonts w:ascii="Times New Roman" w:hAnsi="Times New Roman" w:cs="Times New Roman"/>
          <w:i/>
          <w:sz w:val="24"/>
          <w:szCs w:val="24"/>
        </w:rPr>
        <w:t xml:space="preserve">point in </w:t>
      </w:r>
      <w:proofErr w:type="spellStart"/>
      <w:r w:rsidRPr="00EB3210">
        <w:rPr>
          <w:rFonts w:ascii="Times New Roman" w:hAnsi="Times New Roman" w:cs="Times New Roman"/>
          <w:i/>
          <w:sz w:val="24"/>
          <w:szCs w:val="24"/>
        </w:rPr>
        <w:t>limine</w:t>
      </w:r>
      <w:proofErr w:type="spellEnd"/>
      <w:r w:rsidRPr="00EB3210">
        <w:rPr>
          <w:rFonts w:ascii="Times New Roman" w:hAnsi="Times New Roman" w:cs="Times New Roman"/>
          <w:sz w:val="24"/>
          <w:szCs w:val="24"/>
        </w:rPr>
        <w:t xml:space="preserve"> </w:t>
      </w:r>
      <w:proofErr w:type="spellStart"/>
      <w:r w:rsidRPr="00EB3210">
        <w:rPr>
          <w:rFonts w:ascii="Times New Roman" w:hAnsi="Times New Roman" w:cs="Times New Roman"/>
          <w:sz w:val="24"/>
          <w:szCs w:val="24"/>
        </w:rPr>
        <w:t>Mr</w:t>
      </w:r>
      <w:proofErr w:type="spellEnd"/>
      <w:r w:rsidRPr="00EB3210">
        <w:rPr>
          <w:rFonts w:ascii="Times New Roman" w:hAnsi="Times New Roman" w:cs="Times New Roman"/>
          <w:sz w:val="24"/>
          <w:szCs w:val="24"/>
        </w:rPr>
        <w:t xml:space="preserve"> </w:t>
      </w:r>
      <w:proofErr w:type="spellStart"/>
      <w:r w:rsidRPr="00D67B07">
        <w:rPr>
          <w:rFonts w:ascii="Times New Roman" w:hAnsi="Times New Roman" w:cs="Times New Roman"/>
          <w:i/>
          <w:sz w:val="24"/>
          <w:szCs w:val="24"/>
        </w:rPr>
        <w:t>Magwaliba</w:t>
      </w:r>
      <w:proofErr w:type="spellEnd"/>
      <w:r w:rsidRPr="00EB3210">
        <w:rPr>
          <w:rFonts w:ascii="Times New Roman" w:hAnsi="Times New Roman" w:cs="Times New Roman"/>
          <w:sz w:val="24"/>
          <w:szCs w:val="24"/>
        </w:rPr>
        <w:t>, for the respondent cited a number of authorities which inc</w:t>
      </w:r>
      <w:r w:rsidR="00127DA6" w:rsidRPr="00EB3210">
        <w:rPr>
          <w:rFonts w:ascii="Times New Roman" w:hAnsi="Times New Roman" w:cs="Times New Roman"/>
          <w:sz w:val="24"/>
          <w:szCs w:val="24"/>
        </w:rPr>
        <w:t xml:space="preserve">luded the recently decided case, </w:t>
      </w:r>
      <w:r w:rsidRPr="00D67B07">
        <w:rPr>
          <w:rFonts w:ascii="Times New Roman" w:hAnsi="Times New Roman" w:cs="Times New Roman"/>
          <w:i/>
          <w:sz w:val="24"/>
          <w:szCs w:val="24"/>
        </w:rPr>
        <w:t>G</w:t>
      </w:r>
      <w:r w:rsidR="00D67B07" w:rsidRPr="00D67B07">
        <w:rPr>
          <w:rFonts w:ascii="Times New Roman" w:hAnsi="Times New Roman" w:cs="Times New Roman"/>
          <w:i/>
          <w:sz w:val="24"/>
          <w:szCs w:val="24"/>
        </w:rPr>
        <w:t xml:space="preserve"> </w:t>
      </w:r>
      <w:r w:rsidRPr="00D67B07">
        <w:rPr>
          <w:rFonts w:ascii="Times New Roman" w:hAnsi="Times New Roman" w:cs="Times New Roman"/>
          <w:i/>
          <w:sz w:val="24"/>
          <w:szCs w:val="24"/>
        </w:rPr>
        <w:t>(</w:t>
      </w:r>
      <w:proofErr w:type="spellStart"/>
      <w:r w:rsidRPr="00D67B07">
        <w:rPr>
          <w:rFonts w:ascii="Times New Roman" w:hAnsi="Times New Roman" w:cs="Times New Roman"/>
          <w:i/>
          <w:sz w:val="24"/>
          <w:szCs w:val="24"/>
        </w:rPr>
        <w:t>Pvt</w:t>
      </w:r>
      <w:proofErr w:type="spellEnd"/>
      <w:r w:rsidRPr="00D67B07">
        <w:rPr>
          <w:rFonts w:ascii="Times New Roman" w:hAnsi="Times New Roman" w:cs="Times New Roman"/>
          <w:i/>
          <w:sz w:val="24"/>
          <w:szCs w:val="24"/>
        </w:rPr>
        <w:t>)</w:t>
      </w:r>
      <w:r w:rsidR="00D67B07" w:rsidRPr="00D67B07">
        <w:rPr>
          <w:rFonts w:ascii="Times New Roman" w:hAnsi="Times New Roman" w:cs="Times New Roman"/>
          <w:i/>
          <w:sz w:val="24"/>
          <w:szCs w:val="24"/>
        </w:rPr>
        <w:t xml:space="preserve"> </w:t>
      </w:r>
      <w:r w:rsidRPr="00D67B07">
        <w:rPr>
          <w:rFonts w:ascii="Times New Roman" w:hAnsi="Times New Roman" w:cs="Times New Roman"/>
          <w:i/>
          <w:sz w:val="24"/>
          <w:szCs w:val="24"/>
        </w:rPr>
        <w:t>Ltd</w:t>
      </w:r>
      <w:r w:rsidRPr="00D67B07">
        <w:rPr>
          <w:rFonts w:ascii="Times New Roman" w:hAnsi="Times New Roman" w:cs="Times New Roman"/>
          <w:sz w:val="24"/>
          <w:szCs w:val="24"/>
        </w:rPr>
        <w:t xml:space="preserve"> v </w:t>
      </w:r>
      <w:r w:rsidRPr="00D67B07">
        <w:rPr>
          <w:rFonts w:ascii="Times New Roman" w:hAnsi="Times New Roman" w:cs="Times New Roman"/>
          <w:i/>
          <w:sz w:val="24"/>
          <w:szCs w:val="24"/>
        </w:rPr>
        <w:t>The Commissioner General Zimbabwe Revenue Authority</w:t>
      </w:r>
      <w:r w:rsidRPr="00D67B07">
        <w:rPr>
          <w:rFonts w:ascii="Times New Roman" w:hAnsi="Times New Roman" w:cs="Times New Roman"/>
          <w:sz w:val="24"/>
          <w:szCs w:val="24"/>
        </w:rPr>
        <w:t>, HH347/20</w:t>
      </w:r>
      <w:r w:rsidR="00127DA6" w:rsidRPr="00D67B07">
        <w:rPr>
          <w:rFonts w:ascii="Times New Roman" w:hAnsi="Times New Roman" w:cs="Times New Roman"/>
          <w:sz w:val="24"/>
          <w:szCs w:val="24"/>
        </w:rPr>
        <w:t xml:space="preserve">, </w:t>
      </w:r>
      <w:r w:rsidRPr="00D67B07">
        <w:rPr>
          <w:rFonts w:ascii="Times New Roman" w:hAnsi="Times New Roman" w:cs="Times New Roman"/>
          <w:sz w:val="24"/>
          <w:szCs w:val="24"/>
        </w:rPr>
        <w:t xml:space="preserve">where </w:t>
      </w:r>
      <w:proofErr w:type="spellStart"/>
      <w:r w:rsidRPr="00D67B07">
        <w:rPr>
          <w:rFonts w:ascii="Times New Roman" w:hAnsi="Times New Roman" w:cs="Times New Roman"/>
          <w:smallCaps/>
          <w:sz w:val="24"/>
          <w:szCs w:val="24"/>
        </w:rPr>
        <w:t>Ziyambi</w:t>
      </w:r>
      <w:proofErr w:type="spellEnd"/>
      <w:r w:rsidR="00D67B07">
        <w:rPr>
          <w:rFonts w:ascii="Times New Roman" w:hAnsi="Times New Roman" w:cs="Times New Roman"/>
          <w:sz w:val="24"/>
          <w:szCs w:val="24"/>
        </w:rPr>
        <w:t>, A</w:t>
      </w:r>
      <w:r w:rsidRPr="00D67B07">
        <w:rPr>
          <w:rFonts w:ascii="Times New Roman" w:hAnsi="Times New Roman" w:cs="Times New Roman"/>
          <w:sz w:val="24"/>
          <w:szCs w:val="24"/>
        </w:rPr>
        <w:t>J,</w:t>
      </w:r>
      <w:r w:rsidRPr="00EB3210">
        <w:rPr>
          <w:rFonts w:ascii="Times New Roman" w:hAnsi="Times New Roman" w:cs="Times New Roman"/>
          <w:b/>
          <w:sz w:val="24"/>
          <w:szCs w:val="24"/>
        </w:rPr>
        <w:t xml:space="preserve"> </w:t>
      </w:r>
      <w:r w:rsidRPr="00EB3210">
        <w:rPr>
          <w:rFonts w:ascii="Times New Roman" w:hAnsi="Times New Roman" w:cs="Times New Roman"/>
          <w:sz w:val="24"/>
          <w:szCs w:val="24"/>
        </w:rPr>
        <w:t>said:</w:t>
      </w:r>
    </w:p>
    <w:p w:rsidR="002B2B4A" w:rsidRPr="00D67B07" w:rsidRDefault="002B2B4A" w:rsidP="00D67B07">
      <w:pPr>
        <w:spacing w:line="240" w:lineRule="auto"/>
        <w:ind w:left="720"/>
        <w:jc w:val="both"/>
        <w:rPr>
          <w:rFonts w:ascii="Times New Roman" w:hAnsi="Times New Roman" w:cs="Times New Roman"/>
        </w:rPr>
      </w:pPr>
      <w:r w:rsidRPr="00D67B07">
        <w:rPr>
          <w:rFonts w:ascii="Times New Roman" w:hAnsi="Times New Roman" w:cs="Times New Roman"/>
        </w:rPr>
        <w:t xml:space="preserve">“It seems to me that the law on the matter has been clearly stated.  For the purposes of this application there is no legally recognized respondent before this court.  Unfortunately for the appellant, there is no </w:t>
      </w:r>
      <w:proofErr w:type="spellStart"/>
      <w:r w:rsidRPr="00D67B07">
        <w:rPr>
          <w:rFonts w:ascii="Times New Roman" w:hAnsi="Times New Roman" w:cs="Times New Roman"/>
        </w:rPr>
        <w:t>mis</w:t>
      </w:r>
      <w:proofErr w:type="spellEnd"/>
      <w:r w:rsidRPr="00D67B07">
        <w:rPr>
          <w:rFonts w:ascii="Times New Roman" w:hAnsi="Times New Roman" w:cs="Times New Roman"/>
        </w:rPr>
        <w:t xml:space="preserve">-description that can be </w:t>
      </w:r>
      <w:r w:rsidR="00B9041F" w:rsidRPr="00D67B07">
        <w:rPr>
          <w:rFonts w:ascii="Times New Roman" w:hAnsi="Times New Roman" w:cs="Times New Roman"/>
        </w:rPr>
        <w:t>rectified by amendment.  It is an</w:t>
      </w:r>
      <w:r w:rsidRPr="00D67B07">
        <w:rPr>
          <w:rFonts w:ascii="Times New Roman" w:hAnsi="Times New Roman" w:cs="Times New Roman"/>
        </w:rPr>
        <w:t xml:space="preserve"> invalid citation contrary to statute- the Revenue Authority Act [Chapter 23:11] which has specific power to litigate to the Zimbabwe Revenue Authority.  It is a nullity and cannot be amended.  In the circumstances, the application is invalid in that there is no respondent before the court.  The matter must be accordingly </w:t>
      </w:r>
      <w:proofErr w:type="gramStart"/>
      <w:r w:rsidRPr="00D67B07">
        <w:rPr>
          <w:rFonts w:ascii="Times New Roman" w:hAnsi="Times New Roman" w:cs="Times New Roman"/>
        </w:rPr>
        <w:t>be</w:t>
      </w:r>
      <w:proofErr w:type="gramEnd"/>
      <w:r w:rsidRPr="00D67B07">
        <w:rPr>
          <w:rFonts w:ascii="Times New Roman" w:hAnsi="Times New Roman" w:cs="Times New Roman"/>
        </w:rPr>
        <w:t xml:space="preserve"> struck off the role.”</w:t>
      </w:r>
    </w:p>
    <w:p w:rsidR="003204D3" w:rsidRPr="00EB3210" w:rsidRDefault="003204D3" w:rsidP="00D67B07">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 xml:space="preserve">In response to the above, </w:t>
      </w:r>
      <w:proofErr w:type="spellStart"/>
      <w:r w:rsidRPr="00EB3210">
        <w:rPr>
          <w:rFonts w:ascii="Times New Roman" w:hAnsi="Times New Roman" w:cs="Times New Roman"/>
          <w:sz w:val="24"/>
          <w:szCs w:val="24"/>
        </w:rPr>
        <w:t>Mr</w:t>
      </w:r>
      <w:proofErr w:type="spellEnd"/>
      <w:r w:rsidRPr="00EB3210">
        <w:rPr>
          <w:rFonts w:ascii="Times New Roman" w:hAnsi="Times New Roman" w:cs="Times New Roman"/>
          <w:sz w:val="24"/>
          <w:szCs w:val="24"/>
        </w:rPr>
        <w:t xml:space="preserve"> </w:t>
      </w:r>
      <w:r w:rsidRPr="00D67B07">
        <w:rPr>
          <w:rFonts w:ascii="Times New Roman" w:hAnsi="Times New Roman" w:cs="Times New Roman"/>
          <w:i/>
          <w:sz w:val="24"/>
          <w:szCs w:val="24"/>
        </w:rPr>
        <w:t xml:space="preserve">D. </w:t>
      </w:r>
      <w:proofErr w:type="spellStart"/>
      <w:r w:rsidRPr="00D67B07">
        <w:rPr>
          <w:rFonts w:ascii="Times New Roman" w:hAnsi="Times New Roman" w:cs="Times New Roman"/>
          <w:i/>
          <w:sz w:val="24"/>
          <w:szCs w:val="24"/>
        </w:rPr>
        <w:t>Ochieng</w:t>
      </w:r>
      <w:proofErr w:type="spellEnd"/>
      <w:r w:rsidRPr="00EB3210">
        <w:rPr>
          <w:rFonts w:ascii="Times New Roman" w:hAnsi="Times New Roman" w:cs="Times New Roman"/>
          <w:sz w:val="24"/>
          <w:szCs w:val="24"/>
        </w:rPr>
        <w:t>, for the appellant made the following submissions:</w:t>
      </w:r>
    </w:p>
    <w:p w:rsidR="003204D3" w:rsidRPr="00A2119F" w:rsidRDefault="003204D3" w:rsidP="00A2119F">
      <w:pPr>
        <w:spacing w:line="240" w:lineRule="auto"/>
        <w:ind w:left="1440"/>
        <w:jc w:val="both"/>
        <w:rPr>
          <w:rFonts w:ascii="Times New Roman" w:hAnsi="Times New Roman" w:cs="Times New Roman"/>
        </w:rPr>
      </w:pPr>
      <w:r w:rsidRPr="00A2119F">
        <w:rPr>
          <w:rFonts w:ascii="Times New Roman" w:hAnsi="Times New Roman" w:cs="Times New Roman"/>
        </w:rPr>
        <w:t>“13</w:t>
      </w:r>
      <w:r w:rsidR="00C72F71" w:rsidRPr="00A2119F">
        <w:rPr>
          <w:rFonts w:ascii="Times New Roman" w:hAnsi="Times New Roman" w:cs="Times New Roman"/>
        </w:rPr>
        <w:t>.</w:t>
      </w:r>
      <w:r w:rsidRPr="00A2119F">
        <w:rPr>
          <w:rFonts w:ascii="Times New Roman" w:hAnsi="Times New Roman" w:cs="Times New Roman"/>
        </w:rPr>
        <w:t xml:space="preserve"> For its part the respondent chose not to lead any evidence and is content to rely on the documents filed prior to the hearing. Only after the hearing was complete did the respondent affect to raise some objections </w:t>
      </w:r>
      <w:r w:rsidRPr="00A2119F">
        <w:rPr>
          <w:rFonts w:ascii="Times New Roman" w:hAnsi="Times New Roman" w:cs="Times New Roman"/>
          <w:i/>
        </w:rPr>
        <w:t xml:space="preserve">in </w:t>
      </w:r>
      <w:proofErr w:type="spellStart"/>
      <w:r w:rsidRPr="00A2119F">
        <w:rPr>
          <w:rFonts w:ascii="Times New Roman" w:hAnsi="Times New Roman" w:cs="Times New Roman"/>
          <w:i/>
        </w:rPr>
        <w:t>limine</w:t>
      </w:r>
      <w:proofErr w:type="spellEnd"/>
      <w:r w:rsidRPr="00A2119F">
        <w:rPr>
          <w:rFonts w:ascii="Times New Roman" w:hAnsi="Times New Roman" w:cs="Times New Roman"/>
        </w:rPr>
        <w:t xml:space="preserve"> in its submissions. </w:t>
      </w:r>
      <w:r w:rsidR="0091214F" w:rsidRPr="00A2119F">
        <w:rPr>
          <w:rFonts w:ascii="Times New Roman" w:hAnsi="Times New Roman" w:cs="Times New Roman"/>
        </w:rPr>
        <w:t xml:space="preserve">It would appear that it </w:t>
      </w:r>
      <w:r w:rsidRPr="00A2119F">
        <w:rPr>
          <w:rFonts w:ascii="Times New Roman" w:hAnsi="Times New Roman" w:cs="Times New Roman"/>
        </w:rPr>
        <w:t xml:space="preserve">chose not to object during the five years that this matter has been pending out of the realization </w:t>
      </w:r>
      <w:r w:rsidR="00A2119F" w:rsidRPr="00A2119F">
        <w:rPr>
          <w:rFonts w:ascii="Times New Roman" w:hAnsi="Times New Roman" w:cs="Times New Roman"/>
        </w:rPr>
        <w:t>that there</w:t>
      </w:r>
      <w:r w:rsidRPr="00A2119F">
        <w:rPr>
          <w:rFonts w:ascii="Times New Roman" w:hAnsi="Times New Roman" w:cs="Times New Roman"/>
        </w:rPr>
        <w:t xml:space="preserve"> was no objective prejudice to it on account of the matters that it now pleads. The unfortunate impression is formed</w:t>
      </w:r>
      <w:r w:rsidR="0091214F" w:rsidRPr="00A2119F">
        <w:rPr>
          <w:rFonts w:ascii="Times New Roman" w:hAnsi="Times New Roman" w:cs="Times New Roman"/>
        </w:rPr>
        <w:t xml:space="preserve"> </w:t>
      </w:r>
      <w:r w:rsidRPr="00A2119F">
        <w:rPr>
          <w:rFonts w:ascii="Times New Roman" w:hAnsi="Times New Roman" w:cs="Times New Roman"/>
        </w:rPr>
        <w:t xml:space="preserve">that it is only after it was further confirmed through the evidence that its position was untenable on the merits that the respondent </w:t>
      </w:r>
      <w:r w:rsidRPr="00A2119F">
        <w:rPr>
          <w:rFonts w:ascii="Times New Roman" w:hAnsi="Times New Roman" w:cs="Times New Roman"/>
        </w:rPr>
        <w:lastRenderedPageBreak/>
        <w:t>scrambled to gather some dust to throw about in the hope of detracting from the substance of the matter:</w:t>
      </w:r>
    </w:p>
    <w:p w:rsidR="003204D3" w:rsidRPr="00A2119F" w:rsidRDefault="003204D3" w:rsidP="00A2119F">
      <w:pPr>
        <w:spacing w:line="240" w:lineRule="auto"/>
        <w:ind w:left="720"/>
        <w:jc w:val="both"/>
        <w:rPr>
          <w:rFonts w:ascii="Times New Roman" w:hAnsi="Times New Roman" w:cs="Times New Roman"/>
        </w:rPr>
      </w:pPr>
      <w:r w:rsidRPr="00A2119F">
        <w:rPr>
          <w:rFonts w:ascii="Times New Roman" w:hAnsi="Times New Roman" w:cs="Times New Roman"/>
        </w:rPr>
        <w:tab/>
      </w:r>
      <w:proofErr w:type="spellStart"/>
      <w:r w:rsidRPr="00A2119F">
        <w:rPr>
          <w:rFonts w:ascii="Times New Roman" w:hAnsi="Times New Roman" w:cs="Times New Roman"/>
          <w:i/>
        </w:rPr>
        <w:t>Telecel</w:t>
      </w:r>
      <w:proofErr w:type="spellEnd"/>
      <w:r w:rsidRPr="00A2119F">
        <w:rPr>
          <w:rFonts w:ascii="Times New Roman" w:hAnsi="Times New Roman" w:cs="Times New Roman"/>
          <w:i/>
        </w:rPr>
        <w:t xml:space="preserve"> </w:t>
      </w:r>
      <w:proofErr w:type="spellStart"/>
      <w:r w:rsidRPr="00A2119F">
        <w:rPr>
          <w:rFonts w:ascii="Times New Roman" w:hAnsi="Times New Roman" w:cs="Times New Roman"/>
          <w:i/>
        </w:rPr>
        <w:t>Zim</w:t>
      </w:r>
      <w:proofErr w:type="spellEnd"/>
      <w:r w:rsidRPr="00A2119F">
        <w:rPr>
          <w:rFonts w:ascii="Times New Roman" w:hAnsi="Times New Roman" w:cs="Times New Roman"/>
          <w:i/>
        </w:rPr>
        <w:t xml:space="preserve"> (</w:t>
      </w:r>
      <w:proofErr w:type="spellStart"/>
      <w:r w:rsidRPr="00A2119F">
        <w:rPr>
          <w:rFonts w:ascii="Times New Roman" w:hAnsi="Times New Roman" w:cs="Times New Roman"/>
          <w:i/>
        </w:rPr>
        <w:t>Pvt</w:t>
      </w:r>
      <w:proofErr w:type="spellEnd"/>
      <w:r w:rsidRPr="00A2119F">
        <w:rPr>
          <w:rFonts w:ascii="Times New Roman" w:hAnsi="Times New Roman" w:cs="Times New Roman"/>
          <w:i/>
        </w:rPr>
        <w:t xml:space="preserve">)Ltd </w:t>
      </w:r>
      <w:r w:rsidRPr="00A2119F">
        <w:rPr>
          <w:rFonts w:ascii="Times New Roman" w:hAnsi="Times New Roman" w:cs="Times New Roman"/>
        </w:rPr>
        <w:t>v</w:t>
      </w:r>
      <w:r w:rsidRPr="00A2119F">
        <w:rPr>
          <w:rFonts w:ascii="Times New Roman" w:hAnsi="Times New Roman" w:cs="Times New Roman"/>
          <w:i/>
        </w:rPr>
        <w:t xml:space="preserve"> POTRAZ &amp; </w:t>
      </w:r>
      <w:proofErr w:type="spellStart"/>
      <w:r w:rsidRPr="00A2119F">
        <w:rPr>
          <w:rFonts w:ascii="Times New Roman" w:hAnsi="Times New Roman" w:cs="Times New Roman"/>
          <w:i/>
        </w:rPr>
        <w:t>Ors</w:t>
      </w:r>
      <w:proofErr w:type="spellEnd"/>
      <w:r w:rsidRPr="00A2119F">
        <w:rPr>
          <w:rFonts w:ascii="Times New Roman" w:hAnsi="Times New Roman" w:cs="Times New Roman"/>
        </w:rPr>
        <w:t xml:space="preserve"> 2015 (1) ZLR 651 (H) at 659D-</w:t>
      </w:r>
    </w:p>
    <w:p w:rsidR="003204D3" w:rsidRPr="00A2119F" w:rsidRDefault="003204D3" w:rsidP="00A2119F">
      <w:pPr>
        <w:spacing w:line="240" w:lineRule="auto"/>
        <w:ind w:left="1440"/>
        <w:jc w:val="both"/>
        <w:rPr>
          <w:rFonts w:ascii="Times New Roman" w:hAnsi="Times New Roman" w:cs="Times New Roman"/>
        </w:rPr>
      </w:pPr>
      <w:proofErr w:type="gramStart"/>
      <w:r w:rsidRPr="00A2119F">
        <w:rPr>
          <w:rFonts w:ascii="Times New Roman" w:hAnsi="Times New Roman" w:cs="Times New Roman"/>
        </w:rPr>
        <w:t xml:space="preserve">14 </w:t>
      </w:r>
      <w:r w:rsidR="00C72F71" w:rsidRPr="00A2119F">
        <w:rPr>
          <w:rFonts w:ascii="Times New Roman" w:hAnsi="Times New Roman" w:cs="Times New Roman"/>
        </w:rPr>
        <w:t>.</w:t>
      </w:r>
      <w:proofErr w:type="gramEnd"/>
      <w:r w:rsidR="00C72F71" w:rsidRPr="00A2119F">
        <w:rPr>
          <w:rFonts w:ascii="Times New Roman" w:hAnsi="Times New Roman" w:cs="Times New Roman"/>
        </w:rPr>
        <w:t xml:space="preserve"> </w:t>
      </w:r>
      <w:r w:rsidRPr="00A2119F">
        <w:rPr>
          <w:rFonts w:ascii="Times New Roman" w:hAnsi="Times New Roman" w:cs="Times New Roman"/>
        </w:rPr>
        <w:t xml:space="preserve">In the first objection, taken after the conclusion of the hearing but expressed in terms that reveal a much earlier decision, the respondent affects to dispute the validity of proceedings in which it freely participated for years- even to the point of seeking resolution of many of the known issues. In the circumstances, and as the Supreme Court held in </w:t>
      </w:r>
      <w:proofErr w:type="spellStart"/>
      <w:r w:rsidRPr="00A2119F">
        <w:rPr>
          <w:rFonts w:ascii="Times New Roman" w:hAnsi="Times New Roman" w:cs="Times New Roman"/>
          <w:i/>
        </w:rPr>
        <w:t>Muskwe</w:t>
      </w:r>
      <w:proofErr w:type="spellEnd"/>
      <w:r w:rsidRPr="00A2119F">
        <w:rPr>
          <w:rFonts w:ascii="Times New Roman" w:hAnsi="Times New Roman" w:cs="Times New Roman"/>
        </w:rPr>
        <w:t xml:space="preserve"> v </w:t>
      </w:r>
      <w:proofErr w:type="spellStart"/>
      <w:r w:rsidRPr="00A2119F">
        <w:rPr>
          <w:rFonts w:ascii="Times New Roman" w:hAnsi="Times New Roman" w:cs="Times New Roman"/>
          <w:i/>
        </w:rPr>
        <w:t>Nyajina</w:t>
      </w:r>
      <w:proofErr w:type="spellEnd"/>
      <w:r w:rsidRPr="00A2119F">
        <w:rPr>
          <w:rFonts w:ascii="Times New Roman" w:hAnsi="Times New Roman" w:cs="Times New Roman"/>
          <w:i/>
        </w:rPr>
        <w:t xml:space="preserve"> &amp; </w:t>
      </w:r>
      <w:proofErr w:type="spellStart"/>
      <w:r w:rsidRPr="00A2119F">
        <w:rPr>
          <w:rFonts w:ascii="Times New Roman" w:hAnsi="Times New Roman" w:cs="Times New Roman"/>
          <w:i/>
        </w:rPr>
        <w:t>Ors</w:t>
      </w:r>
      <w:proofErr w:type="spellEnd"/>
      <w:r w:rsidRPr="00A2119F">
        <w:rPr>
          <w:rFonts w:ascii="Times New Roman" w:hAnsi="Times New Roman" w:cs="Times New Roman"/>
        </w:rPr>
        <w:t xml:space="preserve"> S-17-12, the respondent should not be permitted even too take the point. The respondent admits its true identity in the second paragraph </w:t>
      </w:r>
      <w:r w:rsidR="00C72F71" w:rsidRPr="00A2119F">
        <w:rPr>
          <w:rFonts w:ascii="Times New Roman" w:hAnsi="Times New Roman" w:cs="Times New Roman"/>
        </w:rPr>
        <w:t xml:space="preserve">2 of the Commissioner General and no ‘the Commissioner.” On the face of its own pleadings, therefore, the reality is that the true respondent is the Zimbabwe Revenue Authority. This creates an issue </w:t>
      </w:r>
      <w:proofErr w:type="gramStart"/>
      <w:r w:rsidR="00C72F71" w:rsidRPr="00A2119F">
        <w:rPr>
          <w:rFonts w:ascii="Times New Roman" w:hAnsi="Times New Roman" w:cs="Times New Roman"/>
        </w:rPr>
        <w:t>estoppel  as</w:t>
      </w:r>
      <w:proofErr w:type="gramEnd"/>
      <w:r w:rsidR="00C72F71" w:rsidRPr="00A2119F">
        <w:rPr>
          <w:rFonts w:ascii="Times New Roman" w:hAnsi="Times New Roman" w:cs="Times New Roman"/>
        </w:rPr>
        <w:t xml:space="preserve"> re</w:t>
      </w:r>
      <w:r w:rsidR="00A2119F">
        <w:rPr>
          <w:rFonts w:ascii="Times New Roman" w:hAnsi="Times New Roman" w:cs="Times New Roman"/>
        </w:rPr>
        <w:t xml:space="preserve">gards the </w:t>
      </w:r>
      <w:r w:rsidR="00A2119F" w:rsidRPr="00A2119F">
        <w:rPr>
          <w:rFonts w:ascii="Times New Roman" w:hAnsi="Times New Roman" w:cs="Times New Roman"/>
          <w:i/>
        </w:rPr>
        <w:t xml:space="preserve">locus </w:t>
      </w:r>
      <w:proofErr w:type="spellStart"/>
      <w:r w:rsidR="00A2119F" w:rsidRPr="00A2119F">
        <w:rPr>
          <w:rFonts w:ascii="Times New Roman" w:hAnsi="Times New Roman" w:cs="Times New Roman"/>
          <w:i/>
        </w:rPr>
        <w:t>s</w:t>
      </w:r>
      <w:r w:rsidR="00C72F71" w:rsidRPr="00A2119F">
        <w:rPr>
          <w:rFonts w:ascii="Times New Roman" w:hAnsi="Times New Roman" w:cs="Times New Roman"/>
          <w:i/>
        </w:rPr>
        <w:t>t</w:t>
      </w:r>
      <w:r w:rsidR="00A2119F" w:rsidRPr="00A2119F">
        <w:rPr>
          <w:rFonts w:ascii="Times New Roman" w:hAnsi="Times New Roman" w:cs="Times New Roman"/>
          <w:i/>
        </w:rPr>
        <w:t>a</w:t>
      </w:r>
      <w:r w:rsidR="00C72F71" w:rsidRPr="00A2119F">
        <w:rPr>
          <w:rFonts w:ascii="Times New Roman" w:hAnsi="Times New Roman" w:cs="Times New Roman"/>
          <w:i/>
        </w:rPr>
        <w:t>ndi</w:t>
      </w:r>
      <w:proofErr w:type="spellEnd"/>
      <w:r w:rsidR="00C72F71" w:rsidRPr="00A2119F">
        <w:rPr>
          <w:rFonts w:ascii="Times New Roman" w:hAnsi="Times New Roman" w:cs="Times New Roman"/>
        </w:rPr>
        <w:t xml:space="preserve"> and identity of the respondent:</w:t>
      </w:r>
    </w:p>
    <w:p w:rsidR="00C72F71" w:rsidRPr="00A2119F" w:rsidRDefault="00A2119F" w:rsidP="00A2119F">
      <w:pPr>
        <w:spacing w:line="240" w:lineRule="auto"/>
        <w:ind w:left="720"/>
        <w:jc w:val="both"/>
        <w:rPr>
          <w:rFonts w:ascii="Times New Roman" w:hAnsi="Times New Roman" w:cs="Times New Roman"/>
        </w:rPr>
      </w:pPr>
      <w:r>
        <w:rPr>
          <w:rFonts w:ascii="Times New Roman" w:hAnsi="Times New Roman" w:cs="Times New Roman"/>
        </w:rPr>
        <w:tab/>
      </w:r>
      <w:proofErr w:type="spellStart"/>
      <w:r w:rsidR="00C72F71" w:rsidRPr="00A2119F">
        <w:rPr>
          <w:rFonts w:ascii="Times New Roman" w:hAnsi="Times New Roman" w:cs="Times New Roman"/>
          <w:i/>
        </w:rPr>
        <w:t>Galante</w:t>
      </w:r>
      <w:proofErr w:type="spellEnd"/>
      <w:r w:rsidR="00C72F71" w:rsidRPr="00A2119F">
        <w:rPr>
          <w:rFonts w:ascii="Times New Roman" w:hAnsi="Times New Roman" w:cs="Times New Roman"/>
          <w:i/>
        </w:rPr>
        <w:t xml:space="preserve"> </w:t>
      </w:r>
      <w:r w:rsidR="00C72F71" w:rsidRPr="00A2119F">
        <w:rPr>
          <w:rFonts w:ascii="Times New Roman" w:hAnsi="Times New Roman" w:cs="Times New Roman"/>
        </w:rPr>
        <w:t xml:space="preserve">v </w:t>
      </w:r>
      <w:proofErr w:type="spellStart"/>
      <w:r w:rsidR="00C72F71" w:rsidRPr="00A2119F">
        <w:rPr>
          <w:rFonts w:ascii="Times New Roman" w:hAnsi="Times New Roman" w:cs="Times New Roman"/>
          <w:i/>
        </w:rPr>
        <w:t>Galante</w:t>
      </w:r>
      <w:proofErr w:type="spellEnd"/>
      <w:r w:rsidR="00C72F71" w:rsidRPr="00A2119F">
        <w:rPr>
          <w:rFonts w:ascii="Times New Roman" w:hAnsi="Times New Roman" w:cs="Times New Roman"/>
          <w:i/>
        </w:rPr>
        <w:t xml:space="preserve"> (1)</w:t>
      </w:r>
      <w:r w:rsidR="00C72F71" w:rsidRPr="00A2119F">
        <w:rPr>
          <w:rFonts w:ascii="Times New Roman" w:hAnsi="Times New Roman" w:cs="Times New Roman"/>
        </w:rPr>
        <w:t xml:space="preserve"> 2002 (1) ZLR 144 (H).</w:t>
      </w:r>
    </w:p>
    <w:p w:rsidR="00C72F71" w:rsidRPr="00A2119F" w:rsidRDefault="00C72F71" w:rsidP="00A2119F">
      <w:pPr>
        <w:spacing w:line="240" w:lineRule="auto"/>
        <w:ind w:left="1440"/>
        <w:jc w:val="both"/>
        <w:rPr>
          <w:rFonts w:ascii="Times New Roman" w:hAnsi="Times New Roman" w:cs="Times New Roman"/>
        </w:rPr>
      </w:pPr>
      <w:r w:rsidRPr="00A2119F">
        <w:rPr>
          <w:rFonts w:ascii="Times New Roman" w:hAnsi="Times New Roman" w:cs="Times New Roman"/>
        </w:rPr>
        <w:t xml:space="preserve">According, and in reliance on </w:t>
      </w:r>
      <w:proofErr w:type="spellStart"/>
      <w:r w:rsidRPr="00A2119F">
        <w:rPr>
          <w:rFonts w:ascii="Times New Roman" w:hAnsi="Times New Roman" w:cs="Times New Roman"/>
          <w:i/>
        </w:rPr>
        <w:t>Muskwe</w:t>
      </w:r>
      <w:r w:rsidRPr="00A2119F">
        <w:rPr>
          <w:rFonts w:ascii="Times New Roman" w:hAnsi="Times New Roman" w:cs="Times New Roman"/>
        </w:rPr>
        <w:t>’s</w:t>
      </w:r>
      <w:proofErr w:type="spellEnd"/>
      <w:r w:rsidRPr="00A2119F">
        <w:rPr>
          <w:rFonts w:ascii="Times New Roman" w:hAnsi="Times New Roman" w:cs="Times New Roman"/>
        </w:rPr>
        <w:t xml:space="preserve"> case, it is submitted, the common cause position as regards the identity of the respondent reveals that any </w:t>
      </w:r>
      <w:proofErr w:type="gramStart"/>
      <w:r w:rsidRPr="00A2119F">
        <w:rPr>
          <w:rFonts w:ascii="Times New Roman" w:hAnsi="Times New Roman" w:cs="Times New Roman"/>
        </w:rPr>
        <w:t>error  the</w:t>
      </w:r>
      <w:proofErr w:type="gramEnd"/>
      <w:r w:rsidRPr="00A2119F">
        <w:rPr>
          <w:rFonts w:ascii="Times New Roman" w:hAnsi="Times New Roman" w:cs="Times New Roman"/>
        </w:rPr>
        <w:t xml:space="preserve"> pleadings with regard to the descr</w:t>
      </w:r>
      <w:r w:rsidR="002D124E" w:rsidRPr="00A2119F">
        <w:rPr>
          <w:rFonts w:ascii="Times New Roman" w:hAnsi="Times New Roman" w:cs="Times New Roman"/>
        </w:rPr>
        <w:t>i</w:t>
      </w:r>
      <w:r w:rsidRPr="00A2119F">
        <w:rPr>
          <w:rFonts w:ascii="Times New Roman" w:hAnsi="Times New Roman" w:cs="Times New Roman"/>
        </w:rPr>
        <w:t>ption of that known respondent does not beget a nullity:</w:t>
      </w:r>
    </w:p>
    <w:p w:rsidR="00C72F71" w:rsidRPr="00A2119F" w:rsidRDefault="00C72F71" w:rsidP="00A2119F">
      <w:pPr>
        <w:spacing w:line="240" w:lineRule="auto"/>
        <w:ind w:left="720" w:firstLine="720"/>
        <w:jc w:val="both"/>
        <w:rPr>
          <w:rFonts w:ascii="Times New Roman" w:hAnsi="Times New Roman" w:cs="Times New Roman"/>
        </w:rPr>
      </w:pPr>
      <w:proofErr w:type="spellStart"/>
      <w:r w:rsidRPr="00A2119F">
        <w:rPr>
          <w:rFonts w:ascii="Times New Roman" w:hAnsi="Times New Roman" w:cs="Times New Roman"/>
          <w:i/>
        </w:rPr>
        <w:t>McFroy</w:t>
      </w:r>
      <w:proofErr w:type="spellEnd"/>
      <w:r w:rsidRPr="00A2119F">
        <w:rPr>
          <w:rFonts w:ascii="Times New Roman" w:hAnsi="Times New Roman" w:cs="Times New Roman"/>
          <w:i/>
        </w:rPr>
        <w:t xml:space="preserve"> </w:t>
      </w:r>
      <w:r w:rsidRPr="00A2119F">
        <w:rPr>
          <w:rFonts w:ascii="Times New Roman" w:hAnsi="Times New Roman" w:cs="Times New Roman"/>
        </w:rPr>
        <w:t>v</w:t>
      </w:r>
      <w:r w:rsidRPr="00A2119F">
        <w:rPr>
          <w:rFonts w:ascii="Times New Roman" w:hAnsi="Times New Roman" w:cs="Times New Roman"/>
          <w:i/>
        </w:rPr>
        <w:t xml:space="preserve"> United Africa Co Ltd</w:t>
      </w:r>
      <w:r w:rsidRPr="00A2119F">
        <w:rPr>
          <w:rFonts w:ascii="Times New Roman" w:hAnsi="Times New Roman" w:cs="Times New Roman"/>
        </w:rPr>
        <w:t xml:space="preserve"> [1961] 3 AIIER 1169 (PC) at 1173B-D”</w:t>
      </w:r>
    </w:p>
    <w:p w:rsidR="003204D3" w:rsidRPr="00EB3210" w:rsidRDefault="00C72F71" w:rsidP="00A2119F">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Admittedly, this issue, which is a point of law capable of being raised in the manner it was,</w:t>
      </w:r>
      <w:r w:rsidR="002D124E" w:rsidRPr="00EB3210">
        <w:rPr>
          <w:rFonts w:ascii="Times New Roman" w:hAnsi="Times New Roman" w:cs="Times New Roman"/>
          <w:sz w:val="24"/>
          <w:szCs w:val="24"/>
        </w:rPr>
        <w:t xml:space="preserve"> came in the form of an ambush to both the court and the appellant. This practice, if deliberate, should be frowned upon. The points raised in the authorities quoted by the appellant in the above passages</w:t>
      </w:r>
      <w:r w:rsidR="00F074B5" w:rsidRPr="00EB3210">
        <w:rPr>
          <w:rFonts w:ascii="Times New Roman" w:hAnsi="Times New Roman" w:cs="Times New Roman"/>
          <w:sz w:val="24"/>
          <w:szCs w:val="24"/>
        </w:rPr>
        <w:t>, particularly the issue of prejudice,</w:t>
      </w:r>
      <w:r w:rsidR="002D124E" w:rsidRPr="00EB3210">
        <w:rPr>
          <w:rFonts w:ascii="Times New Roman" w:hAnsi="Times New Roman" w:cs="Times New Roman"/>
          <w:sz w:val="24"/>
          <w:szCs w:val="24"/>
        </w:rPr>
        <w:t xml:space="preserve"> are important. </w:t>
      </w:r>
      <w:r w:rsidRPr="00EB3210">
        <w:rPr>
          <w:rFonts w:ascii="Times New Roman" w:hAnsi="Times New Roman" w:cs="Times New Roman"/>
          <w:sz w:val="24"/>
          <w:szCs w:val="24"/>
        </w:rPr>
        <w:t xml:space="preserve"> </w:t>
      </w:r>
      <w:r w:rsidR="002D124E" w:rsidRPr="00EB3210">
        <w:rPr>
          <w:rFonts w:ascii="Times New Roman" w:hAnsi="Times New Roman" w:cs="Times New Roman"/>
          <w:sz w:val="24"/>
          <w:szCs w:val="24"/>
        </w:rPr>
        <w:t xml:space="preserve">However, in terms of applying the law as stated in </w:t>
      </w:r>
      <w:r w:rsidR="002D124E" w:rsidRPr="000D0A88">
        <w:rPr>
          <w:rFonts w:ascii="Times New Roman" w:hAnsi="Times New Roman" w:cs="Times New Roman"/>
          <w:i/>
          <w:sz w:val="24"/>
          <w:szCs w:val="24"/>
        </w:rPr>
        <w:t>G (</w:t>
      </w:r>
      <w:proofErr w:type="spellStart"/>
      <w:r w:rsidR="002D124E" w:rsidRPr="000D0A88">
        <w:rPr>
          <w:rFonts w:ascii="Times New Roman" w:hAnsi="Times New Roman" w:cs="Times New Roman"/>
          <w:i/>
          <w:sz w:val="24"/>
          <w:szCs w:val="24"/>
        </w:rPr>
        <w:t>Pvt</w:t>
      </w:r>
      <w:proofErr w:type="spellEnd"/>
      <w:r w:rsidR="002D124E" w:rsidRPr="000D0A88">
        <w:rPr>
          <w:rFonts w:ascii="Times New Roman" w:hAnsi="Times New Roman" w:cs="Times New Roman"/>
          <w:i/>
          <w:sz w:val="24"/>
          <w:szCs w:val="24"/>
        </w:rPr>
        <w:t>) Ltd supra</w:t>
      </w:r>
      <w:r w:rsidR="002D124E" w:rsidRPr="00EB3210">
        <w:rPr>
          <w:rFonts w:ascii="Times New Roman" w:hAnsi="Times New Roman" w:cs="Times New Roman"/>
          <w:sz w:val="24"/>
          <w:szCs w:val="24"/>
        </w:rPr>
        <w:t xml:space="preserve">, l find myself in a situation where departure </w:t>
      </w:r>
      <w:r w:rsidR="00127DA6" w:rsidRPr="00EB3210">
        <w:rPr>
          <w:rFonts w:ascii="Times New Roman" w:hAnsi="Times New Roman" w:cs="Times New Roman"/>
          <w:sz w:val="24"/>
          <w:szCs w:val="24"/>
        </w:rPr>
        <w:t xml:space="preserve">from </w:t>
      </w:r>
      <w:r w:rsidR="000D0A88" w:rsidRPr="00EB3210">
        <w:rPr>
          <w:rFonts w:ascii="Times New Roman" w:hAnsi="Times New Roman" w:cs="Times New Roman"/>
          <w:sz w:val="24"/>
          <w:szCs w:val="24"/>
        </w:rPr>
        <w:t>the already</w:t>
      </w:r>
      <w:r w:rsidR="002D124E" w:rsidRPr="00EB3210">
        <w:rPr>
          <w:rFonts w:ascii="Times New Roman" w:hAnsi="Times New Roman" w:cs="Times New Roman"/>
          <w:sz w:val="24"/>
          <w:szCs w:val="24"/>
        </w:rPr>
        <w:t xml:space="preserve"> stated position will not enjoy the support of the law. </w:t>
      </w:r>
      <w:r w:rsidR="00127DA6" w:rsidRPr="00EB3210">
        <w:rPr>
          <w:rFonts w:ascii="Times New Roman" w:hAnsi="Times New Roman" w:cs="Times New Roman"/>
          <w:sz w:val="24"/>
          <w:szCs w:val="24"/>
        </w:rPr>
        <w:t xml:space="preserve">That stated position of the law does not allow the issue of estoppel as suggested in the case cited in the second passage </w:t>
      </w:r>
      <w:r w:rsidR="000D0A88" w:rsidRPr="00EB3210">
        <w:rPr>
          <w:rFonts w:ascii="Times New Roman" w:hAnsi="Times New Roman" w:cs="Times New Roman"/>
          <w:sz w:val="24"/>
          <w:szCs w:val="24"/>
        </w:rPr>
        <w:t>above. That</w:t>
      </w:r>
      <w:r w:rsidR="002D124E" w:rsidRPr="00EB3210">
        <w:rPr>
          <w:rFonts w:ascii="Times New Roman" w:hAnsi="Times New Roman" w:cs="Times New Roman"/>
          <w:sz w:val="24"/>
          <w:szCs w:val="24"/>
        </w:rPr>
        <w:t xml:space="preserve"> position is further enhanced </w:t>
      </w:r>
      <w:r w:rsidR="000D0A88" w:rsidRPr="000D0A88">
        <w:rPr>
          <w:rFonts w:ascii="Times New Roman" w:hAnsi="Times New Roman" w:cs="Times New Roman"/>
          <w:sz w:val="24"/>
          <w:szCs w:val="24"/>
        </w:rPr>
        <w:t>in</w:t>
      </w:r>
      <w:r w:rsidR="000D0A88" w:rsidRPr="000D0A88">
        <w:rPr>
          <w:rFonts w:ascii="Times New Roman" w:hAnsi="Times New Roman" w:cs="Times New Roman"/>
          <w:i/>
          <w:sz w:val="24"/>
          <w:szCs w:val="24"/>
        </w:rPr>
        <w:t xml:space="preserve"> MARANGE</w:t>
      </w:r>
      <w:r w:rsidR="002D124E" w:rsidRPr="000D0A88">
        <w:rPr>
          <w:rFonts w:ascii="Times New Roman" w:hAnsi="Times New Roman" w:cs="Times New Roman"/>
          <w:i/>
          <w:sz w:val="24"/>
          <w:szCs w:val="24"/>
        </w:rPr>
        <w:t xml:space="preserve"> RESOURCES (PRIVATE) LIMITED </w:t>
      </w:r>
      <w:r w:rsidR="002D124E" w:rsidRPr="000D0A88">
        <w:rPr>
          <w:rFonts w:ascii="Times New Roman" w:hAnsi="Times New Roman" w:cs="Times New Roman"/>
          <w:sz w:val="24"/>
          <w:szCs w:val="24"/>
        </w:rPr>
        <w:t>v</w:t>
      </w:r>
      <w:r w:rsidR="002D124E" w:rsidRPr="000D0A88">
        <w:rPr>
          <w:rFonts w:ascii="Times New Roman" w:hAnsi="Times New Roman" w:cs="Times New Roman"/>
          <w:i/>
          <w:sz w:val="24"/>
          <w:szCs w:val="24"/>
        </w:rPr>
        <w:t xml:space="preserve"> CORE MINING &amp; MINERALS (PRIVATE) LIMITED </w:t>
      </w:r>
      <w:proofErr w:type="gramStart"/>
      <w:r w:rsidR="002D124E" w:rsidRPr="000D0A88">
        <w:rPr>
          <w:rFonts w:ascii="Times New Roman" w:hAnsi="Times New Roman" w:cs="Times New Roman"/>
          <w:i/>
          <w:sz w:val="24"/>
          <w:szCs w:val="24"/>
        </w:rPr>
        <w:t>( IN</w:t>
      </w:r>
      <w:proofErr w:type="gramEnd"/>
      <w:r w:rsidR="002D124E" w:rsidRPr="000D0A88">
        <w:rPr>
          <w:rFonts w:ascii="Times New Roman" w:hAnsi="Times New Roman" w:cs="Times New Roman"/>
          <w:i/>
          <w:sz w:val="24"/>
          <w:szCs w:val="24"/>
        </w:rPr>
        <w:t xml:space="preserve"> LIQUIDATION) AND 3 OTHERS. </w:t>
      </w:r>
      <w:r w:rsidR="002D124E" w:rsidRPr="000D0A88">
        <w:rPr>
          <w:rFonts w:ascii="Times New Roman" w:hAnsi="Times New Roman" w:cs="Times New Roman"/>
          <w:sz w:val="24"/>
          <w:szCs w:val="24"/>
        </w:rPr>
        <w:t>SC 37/</w:t>
      </w:r>
      <w:proofErr w:type="gramStart"/>
      <w:r w:rsidR="002D124E" w:rsidRPr="000D0A88">
        <w:rPr>
          <w:rFonts w:ascii="Times New Roman" w:hAnsi="Times New Roman" w:cs="Times New Roman"/>
          <w:sz w:val="24"/>
          <w:szCs w:val="24"/>
        </w:rPr>
        <w:t>16</w:t>
      </w:r>
      <w:r w:rsidR="002D124E" w:rsidRPr="00EB3210">
        <w:rPr>
          <w:rFonts w:ascii="Times New Roman" w:hAnsi="Times New Roman" w:cs="Times New Roman"/>
          <w:b/>
          <w:sz w:val="24"/>
          <w:szCs w:val="24"/>
        </w:rPr>
        <w:t xml:space="preserve">  </w:t>
      </w:r>
      <w:r w:rsidR="002D124E" w:rsidRPr="00EB3210">
        <w:rPr>
          <w:rFonts w:ascii="Times New Roman" w:hAnsi="Times New Roman" w:cs="Times New Roman"/>
          <w:sz w:val="24"/>
          <w:szCs w:val="24"/>
        </w:rPr>
        <w:t>w</w:t>
      </w:r>
      <w:r w:rsidR="00127DA6" w:rsidRPr="00EB3210">
        <w:rPr>
          <w:rFonts w:ascii="Times New Roman" w:hAnsi="Times New Roman" w:cs="Times New Roman"/>
          <w:sz w:val="24"/>
          <w:szCs w:val="24"/>
        </w:rPr>
        <w:t>h</w:t>
      </w:r>
      <w:r w:rsidR="002D124E" w:rsidRPr="00EB3210">
        <w:rPr>
          <w:rFonts w:ascii="Times New Roman" w:hAnsi="Times New Roman" w:cs="Times New Roman"/>
          <w:sz w:val="24"/>
          <w:szCs w:val="24"/>
        </w:rPr>
        <w:t>ere</w:t>
      </w:r>
      <w:proofErr w:type="gramEnd"/>
      <w:r w:rsidR="002D124E" w:rsidRPr="00EB3210">
        <w:rPr>
          <w:rFonts w:ascii="Times New Roman" w:hAnsi="Times New Roman" w:cs="Times New Roman"/>
          <w:sz w:val="24"/>
          <w:szCs w:val="24"/>
        </w:rPr>
        <w:t xml:space="preserve"> the Supreme Court</w:t>
      </w:r>
      <w:r w:rsidRPr="00EB3210">
        <w:rPr>
          <w:rFonts w:ascii="Times New Roman" w:hAnsi="Times New Roman" w:cs="Times New Roman"/>
          <w:sz w:val="24"/>
          <w:szCs w:val="24"/>
        </w:rPr>
        <w:t xml:space="preserve"> </w:t>
      </w:r>
      <w:r w:rsidR="002D124E" w:rsidRPr="00EB3210">
        <w:rPr>
          <w:rFonts w:ascii="Times New Roman" w:hAnsi="Times New Roman" w:cs="Times New Roman"/>
          <w:sz w:val="24"/>
          <w:szCs w:val="24"/>
        </w:rPr>
        <w:t xml:space="preserve">quoted from the </w:t>
      </w:r>
      <w:r w:rsidR="002D124E" w:rsidRPr="000D0A88">
        <w:rPr>
          <w:rFonts w:ascii="Times New Roman" w:hAnsi="Times New Roman" w:cs="Times New Roman"/>
          <w:i/>
          <w:sz w:val="24"/>
          <w:szCs w:val="24"/>
        </w:rPr>
        <w:t>Civil Practice of the High Court of South Africa</w:t>
      </w:r>
      <w:r w:rsidR="002D124E" w:rsidRPr="00EB3210">
        <w:rPr>
          <w:rFonts w:ascii="Times New Roman" w:hAnsi="Times New Roman" w:cs="Times New Roman"/>
          <w:sz w:val="24"/>
          <w:szCs w:val="24"/>
        </w:rPr>
        <w:t xml:space="preserve"> as follows: </w:t>
      </w:r>
    </w:p>
    <w:p w:rsidR="00C93D42" w:rsidRPr="00EB3210" w:rsidRDefault="002D124E" w:rsidP="00EB3210">
      <w:pPr>
        <w:spacing w:line="360" w:lineRule="auto"/>
        <w:ind w:left="720"/>
        <w:jc w:val="both"/>
        <w:rPr>
          <w:rFonts w:ascii="Times New Roman" w:hAnsi="Times New Roman" w:cs="Times New Roman"/>
          <w:sz w:val="24"/>
          <w:szCs w:val="24"/>
        </w:rPr>
      </w:pPr>
      <w:r w:rsidRPr="00EB3210">
        <w:rPr>
          <w:rFonts w:ascii="Times New Roman" w:hAnsi="Times New Roman" w:cs="Times New Roman"/>
          <w:sz w:val="24"/>
          <w:szCs w:val="24"/>
        </w:rPr>
        <w:t xml:space="preserve"> </w:t>
      </w:r>
      <w:r w:rsidR="00C93D42" w:rsidRPr="00EB3210">
        <w:rPr>
          <w:rFonts w:ascii="Times New Roman" w:hAnsi="Times New Roman" w:cs="Times New Roman"/>
          <w:sz w:val="24"/>
          <w:szCs w:val="24"/>
        </w:rPr>
        <w:t>“The need for the proper citation of pa</w:t>
      </w:r>
      <w:r w:rsidR="00D169D0" w:rsidRPr="00EB3210">
        <w:rPr>
          <w:rFonts w:ascii="Times New Roman" w:hAnsi="Times New Roman" w:cs="Times New Roman"/>
          <w:sz w:val="24"/>
          <w:szCs w:val="24"/>
        </w:rPr>
        <w:t xml:space="preserve">rties is highlighted in, </w:t>
      </w:r>
      <w:proofErr w:type="spellStart"/>
      <w:r w:rsidR="00D169D0" w:rsidRPr="00EB3210">
        <w:rPr>
          <w:rFonts w:ascii="Times New Roman" w:hAnsi="Times New Roman" w:cs="Times New Roman"/>
          <w:sz w:val="24"/>
          <w:szCs w:val="24"/>
        </w:rPr>
        <w:t>Cilliers</w:t>
      </w:r>
      <w:proofErr w:type="spellEnd"/>
      <w:r w:rsidR="00D169D0" w:rsidRPr="00EB3210">
        <w:rPr>
          <w:rFonts w:ascii="Times New Roman" w:hAnsi="Times New Roman" w:cs="Times New Roman"/>
          <w:sz w:val="24"/>
          <w:szCs w:val="24"/>
        </w:rPr>
        <w:t xml:space="preserve">, A.C. et al in </w:t>
      </w:r>
      <w:proofErr w:type="spellStart"/>
      <w:r w:rsidR="00D169D0" w:rsidRPr="00EB3210">
        <w:rPr>
          <w:rFonts w:ascii="Times New Roman" w:hAnsi="Times New Roman" w:cs="Times New Roman"/>
          <w:sz w:val="24"/>
          <w:szCs w:val="24"/>
        </w:rPr>
        <w:t>Herbstein</w:t>
      </w:r>
      <w:proofErr w:type="spellEnd"/>
      <w:r w:rsidR="00D169D0" w:rsidRPr="00EB3210">
        <w:rPr>
          <w:rFonts w:ascii="Times New Roman" w:hAnsi="Times New Roman" w:cs="Times New Roman"/>
          <w:sz w:val="24"/>
          <w:szCs w:val="24"/>
        </w:rPr>
        <w:t xml:space="preserve"> &amp; van </w:t>
      </w:r>
      <w:proofErr w:type="spellStart"/>
      <w:r w:rsidR="00D169D0" w:rsidRPr="00EB3210">
        <w:rPr>
          <w:rFonts w:ascii="Times New Roman" w:hAnsi="Times New Roman" w:cs="Times New Roman"/>
          <w:sz w:val="24"/>
          <w:szCs w:val="24"/>
        </w:rPr>
        <w:t>Winsen’s</w:t>
      </w:r>
      <w:proofErr w:type="spellEnd"/>
      <w:r w:rsidR="00D169D0" w:rsidRPr="00EB3210">
        <w:rPr>
          <w:rFonts w:ascii="Times New Roman" w:hAnsi="Times New Roman" w:cs="Times New Roman"/>
          <w:sz w:val="24"/>
          <w:szCs w:val="24"/>
        </w:rPr>
        <w:t xml:space="preserve"> </w:t>
      </w:r>
      <w:proofErr w:type="gramStart"/>
      <w:r w:rsidR="00D169D0" w:rsidRPr="000D0A88">
        <w:rPr>
          <w:rFonts w:ascii="Times New Roman" w:hAnsi="Times New Roman" w:cs="Times New Roman"/>
          <w:i/>
          <w:sz w:val="24"/>
          <w:szCs w:val="24"/>
        </w:rPr>
        <w:t>The</w:t>
      </w:r>
      <w:proofErr w:type="gramEnd"/>
      <w:r w:rsidR="00D169D0" w:rsidRPr="000D0A88">
        <w:rPr>
          <w:rFonts w:ascii="Times New Roman" w:hAnsi="Times New Roman" w:cs="Times New Roman"/>
          <w:i/>
          <w:sz w:val="24"/>
          <w:szCs w:val="24"/>
        </w:rPr>
        <w:t xml:space="preserve"> Civil Practice of the High Courts of South Africa</w:t>
      </w:r>
      <w:r w:rsidR="00D169D0" w:rsidRPr="00EB3210">
        <w:rPr>
          <w:rFonts w:ascii="Times New Roman" w:hAnsi="Times New Roman" w:cs="Times New Roman"/>
          <w:sz w:val="24"/>
          <w:szCs w:val="24"/>
        </w:rPr>
        <w:t>, 5</w:t>
      </w:r>
      <w:r w:rsidR="00D169D0" w:rsidRPr="00EB3210">
        <w:rPr>
          <w:rFonts w:ascii="Times New Roman" w:hAnsi="Times New Roman" w:cs="Times New Roman"/>
          <w:sz w:val="24"/>
          <w:szCs w:val="24"/>
          <w:vertAlign w:val="superscript"/>
        </w:rPr>
        <w:t>th</w:t>
      </w:r>
      <w:r w:rsidR="00D169D0" w:rsidRPr="00EB3210">
        <w:rPr>
          <w:rFonts w:ascii="Times New Roman" w:hAnsi="Times New Roman" w:cs="Times New Roman"/>
          <w:sz w:val="24"/>
          <w:szCs w:val="24"/>
        </w:rPr>
        <w:t xml:space="preserve"> </w:t>
      </w:r>
      <w:proofErr w:type="spellStart"/>
      <w:r w:rsidR="00D169D0" w:rsidRPr="00EB3210">
        <w:rPr>
          <w:rFonts w:ascii="Times New Roman" w:hAnsi="Times New Roman" w:cs="Times New Roman"/>
          <w:sz w:val="24"/>
          <w:szCs w:val="24"/>
        </w:rPr>
        <w:t>ed</w:t>
      </w:r>
      <w:proofErr w:type="spellEnd"/>
      <w:r w:rsidR="00D169D0" w:rsidRPr="00EB3210">
        <w:rPr>
          <w:rFonts w:ascii="Times New Roman" w:hAnsi="Times New Roman" w:cs="Times New Roman"/>
          <w:sz w:val="24"/>
          <w:szCs w:val="24"/>
        </w:rPr>
        <w:t xml:space="preserve">, vol.1 page 143 as follows: “Before one cites a party in a summons or in </w:t>
      </w:r>
      <w:r w:rsidR="00B9041F" w:rsidRPr="00EB3210">
        <w:rPr>
          <w:rFonts w:ascii="Times New Roman" w:hAnsi="Times New Roman" w:cs="Times New Roman"/>
          <w:sz w:val="24"/>
          <w:szCs w:val="24"/>
        </w:rPr>
        <w:t>application proceedings</w:t>
      </w:r>
      <w:r w:rsidR="00D169D0" w:rsidRPr="00EB3210">
        <w:rPr>
          <w:rFonts w:ascii="Times New Roman" w:hAnsi="Times New Roman" w:cs="Times New Roman"/>
          <w:sz w:val="24"/>
          <w:szCs w:val="24"/>
        </w:rPr>
        <w:t xml:space="preserve">, it is important to consider whether the party has </w:t>
      </w:r>
      <w:r w:rsidR="00D169D0" w:rsidRPr="00EB3210">
        <w:rPr>
          <w:rFonts w:ascii="Times New Roman" w:hAnsi="Times New Roman" w:cs="Times New Roman"/>
          <w:i/>
          <w:sz w:val="24"/>
          <w:szCs w:val="24"/>
        </w:rPr>
        <w:t xml:space="preserve">locus </w:t>
      </w:r>
      <w:proofErr w:type="spellStart"/>
      <w:r w:rsidR="00B9041F" w:rsidRPr="00EB3210">
        <w:rPr>
          <w:rFonts w:ascii="Times New Roman" w:hAnsi="Times New Roman" w:cs="Times New Roman"/>
          <w:i/>
          <w:sz w:val="24"/>
          <w:szCs w:val="24"/>
        </w:rPr>
        <w:t>standi</w:t>
      </w:r>
      <w:proofErr w:type="spellEnd"/>
      <w:r w:rsidR="00B9041F" w:rsidRPr="00EB3210">
        <w:rPr>
          <w:rFonts w:ascii="Times New Roman" w:hAnsi="Times New Roman" w:cs="Times New Roman"/>
          <w:sz w:val="24"/>
          <w:szCs w:val="24"/>
        </w:rPr>
        <w:t xml:space="preserve"> to</w:t>
      </w:r>
      <w:r w:rsidR="00D169D0" w:rsidRPr="00EB3210">
        <w:rPr>
          <w:rFonts w:ascii="Times New Roman" w:hAnsi="Times New Roman" w:cs="Times New Roman"/>
          <w:sz w:val="24"/>
          <w:szCs w:val="24"/>
        </w:rPr>
        <w:t xml:space="preserve"> sue or be sued </w:t>
      </w:r>
      <w:r w:rsidR="000D0A88">
        <w:rPr>
          <w:rFonts w:ascii="Times New Roman" w:hAnsi="Times New Roman" w:cs="Times New Roman"/>
          <w:sz w:val="24"/>
          <w:szCs w:val="24"/>
        </w:rPr>
        <w:t>(</w:t>
      </w:r>
      <w:proofErr w:type="spellStart"/>
      <w:r w:rsidR="00D169D0" w:rsidRPr="000D0A88">
        <w:rPr>
          <w:rFonts w:ascii="Times New Roman" w:hAnsi="Times New Roman" w:cs="Times New Roman"/>
          <w:i/>
          <w:sz w:val="24"/>
          <w:szCs w:val="24"/>
        </w:rPr>
        <w:t>legitima</w:t>
      </w:r>
      <w:proofErr w:type="spellEnd"/>
      <w:r w:rsidR="00D169D0" w:rsidRPr="000D0A88">
        <w:rPr>
          <w:rFonts w:ascii="Times New Roman" w:hAnsi="Times New Roman" w:cs="Times New Roman"/>
          <w:i/>
          <w:sz w:val="24"/>
          <w:szCs w:val="24"/>
        </w:rPr>
        <w:t xml:space="preserve"> persona </w:t>
      </w:r>
      <w:proofErr w:type="spellStart"/>
      <w:r w:rsidR="00D169D0" w:rsidRPr="000D0A88">
        <w:rPr>
          <w:rFonts w:ascii="Times New Roman" w:hAnsi="Times New Roman" w:cs="Times New Roman"/>
          <w:i/>
          <w:sz w:val="24"/>
          <w:szCs w:val="24"/>
        </w:rPr>
        <w:t>standi</w:t>
      </w:r>
      <w:proofErr w:type="spellEnd"/>
      <w:r w:rsidR="00D169D0" w:rsidRPr="000D0A88">
        <w:rPr>
          <w:rFonts w:ascii="Times New Roman" w:hAnsi="Times New Roman" w:cs="Times New Roman"/>
          <w:i/>
          <w:sz w:val="24"/>
          <w:szCs w:val="24"/>
        </w:rPr>
        <w:t xml:space="preserve"> in </w:t>
      </w:r>
      <w:proofErr w:type="spellStart"/>
      <w:r w:rsidR="00D169D0" w:rsidRPr="000D0A88">
        <w:rPr>
          <w:rFonts w:ascii="Times New Roman" w:hAnsi="Times New Roman" w:cs="Times New Roman"/>
          <w:i/>
          <w:sz w:val="24"/>
          <w:szCs w:val="24"/>
        </w:rPr>
        <w:t>judicio</w:t>
      </w:r>
      <w:proofErr w:type="spellEnd"/>
      <w:r w:rsidR="00D169D0" w:rsidRPr="00EB3210">
        <w:rPr>
          <w:rFonts w:ascii="Times New Roman" w:hAnsi="Times New Roman" w:cs="Times New Roman"/>
          <w:sz w:val="24"/>
          <w:szCs w:val="24"/>
        </w:rPr>
        <w:t xml:space="preserve">) </w:t>
      </w:r>
      <w:r w:rsidR="00D169D0" w:rsidRPr="00EB3210">
        <w:rPr>
          <w:rFonts w:ascii="Times New Roman" w:hAnsi="Times New Roman" w:cs="Times New Roman"/>
          <w:b/>
          <w:sz w:val="24"/>
          <w:szCs w:val="24"/>
        </w:rPr>
        <w:t>and to ascertain what the correct citation of the party</w:t>
      </w:r>
      <w:r w:rsidR="00D169D0" w:rsidRPr="00EB3210">
        <w:rPr>
          <w:rFonts w:ascii="Times New Roman" w:hAnsi="Times New Roman" w:cs="Times New Roman"/>
          <w:sz w:val="24"/>
          <w:szCs w:val="24"/>
        </w:rPr>
        <w:t xml:space="preserve"> is.” </w:t>
      </w:r>
      <w:r w:rsidR="000D0A88" w:rsidRPr="00EB3210">
        <w:rPr>
          <w:rFonts w:ascii="Times New Roman" w:hAnsi="Times New Roman" w:cs="Times New Roman"/>
          <w:sz w:val="24"/>
          <w:szCs w:val="24"/>
        </w:rPr>
        <w:t>(emphasis</w:t>
      </w:r>
      <w:r w:rsidR="00D169D0" w:rsidRPr="00EB3210">
        <w:rPr>
          <w:rFonts w:ascii="Times New Roman" w:hAnsi="Times New Roman" w:cs="Times New Roman"/>
          <w:sz w:val="24"/>
          <w:szCs w:val="24"/>
        </w:rPr>
        <w:t xml:space="preserve"> added)</w:t>
      </w:r>
      <w:r w:rsidR="002F2244" w:rsidRPr="00EB3210">
        <w:rPr>
          <w:rFonts w:ascii="Times New Roman" w:hAnsi="Times New Roman" w:cs="Times New Roman"/>
          <w:sz w:val="24"/>
          <w:szCs w:val="24"/>
        </w:rPr>
        <w:t>.”</w:t>
      </w:r>
    </w:p>
    <w:p w:rsidR="00D169D0" w:rsidRPr="00EB3210" w:rsidRDefault="00165962" w:rsidP="000D0A88">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lastRenderedPageBreak/>
        <w:t>In dismissing the application for wrong citation in th</w:t>
      </w:r>
      <w:r w:rsidR="002D124E" w:rsidRPr="00EB3210">
        <w:rPr>
          <w:rFonts w:ascii="Times New Roman" w:hAnsi="Times New Roman" w:cs="Times New Roman"/>
          <w:sz w:val="24"/>
          <w:szCs w:val="24"/>
        </w:rPr>
        <w:t>at</w:t>
      </w:r>
      <w:r w:rsidRPr="00EB3210">
        <w:rPr>
          <w:rFonts w:ascii="Times New Roman" w:hAnsi="Times New Roman" w:cs="Times New Roman"/>
          <w:sz w:val="24"/>
          <w:szCs w:val="24"/>
        </w:rPr>
        <w:t xml:space="preserve"> case, the Supreme Court went further to say:</w:t>
      </w:r>
      <w:r w:rsidR="00D169D0" w:rsidRPr="00EB3210">
        <w:rPr>
          <w:rFonts w:ascii="Times New Roman" w:hAnsi="Times New Roman" w:cs="Times New Roman"/>
          <w:sz w:val="24"/>
          <w:szCs w:val="24"/>
        </w:rPr>
        <w:tab/>
      </w:r>
    </w:p>
    <w:p w:rsidR="00C93D42" w:rsidRPr="000D0A88" w:rsidRDefault="00165962" w:rsidP="000D0A88">
      <w:pPr>
        <w:spacing w:line="240" w:lineRule="auto"/>
        <w:ind w:left="720"/>
        <w:jc w:val="both"/>
        <w:rPr>
          <w:rFonts w:ascii="Times New Roman" w:hAnsi="Times New Roman" w:cs="Times New Roman"/>
        </w:rPr>
      </w:pPr>
      <w:r w:rsidRPr="00EB3210">
        <w:rPr>
          <w:rFonts w:ascii="Times New Roman" w:hAnsi="Times New Roman" w:cs="Times New Roman"/>
          <w:sz w:val="24"/>
          <w:szCs w:val="24"/>
        </w:rPr>
        <w:t xml:space="preserve"> </w:t>
      </w:r>
      <w:r w:rsidR="00C93D42" w:rsidRPr="000D0A88">
        <w:rPr>
          <w:rFonts w:ascii="Times New Roman" w:hAnsi="Times New Roman" w:cs="Times New Roman"/>
        </w:rPr>
        <w:t>“Thus, the fate of an application where a wrong party is cited is clear. The proceedings cannot be sustained……….”</w:t>
      </w:r>
    </w:p>
    <w:p w:rsidR="00764539" w:rsidRPr="00EB3210" w:rsidRDefault="00F074B5" w:rsidP="000D0A88">
      <w:pPr>
        <w:spacing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Apart from dwelling on the issue of possible prejudice, the appellant does not deny</w:t>
      </w:r>
      <w:r w:rsidR="00127DA6" w:rsidRPr="00EB3210">
        <w:rPr>
          <w:rFonts w:ascii="Times New Roman" w:hAnsi="Times New Roman" w:cs="Times New Roman"/>
          <w:sz w:val="24"/>
          <w:szCs w:val="24"/>
        </w:rPr>
        <w:t xml:space="preserve"> that a wrong party</w:t>
      </w:r>
      <w:r w:rsidRPr="00EB3210">
        <w:rPr>
          <w:rFonts w:ascii="Times New Roman" w:hAnsi="Times New Roman" w:cs="Times New Roman"/>
          <w:sz w:val="24"/>
          <w:szCs w:val="24"/>
        </w:rPr>
        <w:t xml:space="preserve"> was cited. The appellant merely objects to the timing with respect to the raising of the </w:t>
      </w:r>
      <w:r w:rsidR="00193803" w:rsidRPr="00EB3210">
        <w:rPr>
          <w:rFonts w:ascii="Times New Roman" w:hAnsi="Times New Roman" w:cs="Times New Roman"/>
          <w:i/>
          <w:sz w:val="24"/>
          <w:szCs w:val="24"/>
        </w:rPr>
        <w:t xml:space="preserve">point in </w:t>
      </w:r>
      <w:proofErr w:type="spellStart"/>
      <w:r w:rsidR="00193803" w:rsidRPr="00EB3210">
        <w:rPr>
          <w:rFonts w:ascii="Times New Roman" w:hAnsi="Times New Roman" w:cs="Times New Roman"/>
          <w:i/>
          <w:sz w:val="24"/>
          <w:szCs w:val="24"/>
        </w:rPr>
        <w:t>limine</w:t>
      </w:r>
      <w:proofErr w:type="spellEnd"/>
      <w:r w:rsidR="00193803" w:rsidRPr="00EB3210">
        <w:rPr>
          <w:rFonts w:ascii="Times New Roman" w:hAnsi="Times New Roman" w:cs="Times New Roman"/>
          <w:sz w:val="24"/>
          <w:szCs w:val="24"/>
        </w:rPr>
        <w:t xml:space="preserve">. </w:t>
      </w:r>
      <w:proofErr w:type="gramStart"/>
      <w:r w:rsidRPr="00EB3210">
        <w:rPr>
          <w:rFonts w:ascii="Times New Roman" w:hAnsi="Times New Roman" w:cs="Times New Roman"/>
          <w:sz w:val="24"/>
          <w:szCs w:val="24"/>
        </w:rPr>
        <w:t>Unfortunately</w:t>
      </w:r>
      <w:proofErr w:type="gramEnd"/>
      <w:r w:rsidRPr="00EB3210">
        <w:rPr>
          <w:rFonts w:ascii="Times New Roman" w:hAnsi="Times New Roman" w:cs="Times New Roman"/>
          <w:sz w:val="24"/>
          <w:szCs w:val="24"/>
        </w:rPr>
        <w:t xml:space="preserve"> the law permits the raising of the issue at any time before judgment. In view of this position of the law, l am disabled from rejecting the point in </w:t>
      </w:r>
      <w:proofErr w:type="spellStart"/>
      <w:r w:rsidRPr="00EB3210">
        <w:rPr>
          <w:rFonts w:ascii="Times New Roman" w:hAnsi="Times New Roman" w:cs="Times New Roman"/>
          <w:i/>
          <w:sz w:val="24"/>
          <w:szCs w:val="24"/>
        </w:rPr>
        <w:t>limine</w:t>
      </w:r>
      <w:proofErr w:type="spellEnd"/>
      <w:r w:rsidRPr="00EB3210">
        <w:rPr>
          <w:rFonts w:ascii="Times New Roman" w:hAnsi="Times New Roman" w:cs="Times New Roman"/>
          <w:sz w:val="24"/>
          <w:szCs w:val="24"/>
        </w:rPr>
        <w:t xml:space="preserve"> raised by the respondent. To that end, the point in </w:t>
      </w:r>
      <w:proofErr w:type="spellStart"/>
      <w:r w:rsidRPr="00EB3210">
        <w:rPr>
          <w:rFonts w:ascii="Times New Roman" w:hAnsi="Times New Roman" w:cs="Times New Roman"/>
          <w:i/>
          <w:sz w:val="24"/>
          <w:szCs w:val="24"/>
        </w:rPr>
        <w:t>limine</w:t>
      </w:r>
      <w:proofErr w:type="spellEnd"/>
      <w:r w:rsidRPr="00EB3210">
        <w:rPr>
          <w:rFonts w:ascii="Times New Roman" w:hAnsi="Times New Roman" w:cs="Times New Roman"/>
          <w:i/>
          <w:sz w:val="24"/>
          <w:szCs w:val="24"/>
        </w:rPr>
        <w:t xml:space="preserve"> </w:t>
      </w:r>
      <w:r w:rsidRPr="00EB3210">
        <w:rPr>
          <w:rFonts w:ascii="Times New Roman" w:hAnsi="Times New Roman" w:cs="Times New Roman"/>
          <w:sz w:val="24"/>
          <w:szCs w:val="24"/>
        </w:rPr>
        <w:t xml:space="preserve">should be upheld. That means the appeal should be struck of the role. </w:t>
      </w:r>
      <w:r w:rsidR="00193803" w:rsidRPr="00EB3210">
        <w:rPr>
          <w:rFonts w:ascii="Times New Roman" w:hAnsi="Times New Roman" w:cs="Times New Roman"/>
          <w:sz w:val="24"/>
          <w:szCs w:val="24"/>
        </w:rPr>
        <w:t>That decision</w:t>
      </w:r>
      <w:r w:rsidRPr="00EB3210">
        <w:rPr>
          <w:rFonts w:ascii="Times New Roman" w:hAnsi="Times New Roman" w:cs="Times New Roman"/>
          <w:sz w:val="24"/>
          <w:szCs w:val="24"/>
        </w:rPr>
        <w:t xml:space="preserve"> means there is no appeal before this court and accordingly the merits of the case</w:t>
      </w:r>
      <w:r w:rsidR="00764539" w:rsidRPr="00EB3210">
        <w:rPr>
          <w:rFonts w:ascii="Times New Roman" w:hAnsi="Times New Roman" w:cs="Times New Roman"/>
          <w:sz w:val="24"/>
          <w:szCs w:val="24"/>
        </w:rPr>
        <w:t>,</w:t>
      </w:r>
      <w:r w:rsidRPr="00EB3210">
        <w:rPr>
          <w:rFonts w:ascii="Times New Roman" w:hAnsi="Times New Roman" w:cs="Times New Roman"/>
          <w:sz w:val="24"/>
          <w:szCs w:val="24"/>
        </w:rPr>
        <w:t xml:space="preserve"> </w:t>
      </w:r>
      <w:r w:rsidR="00764539" w:rsidRPr="00EB3210">
        <w:rPr>
          <w:rFonts w:ascii="Times New Roman" w:hAnsi="Times New Roman" w:cs="Times New Roman"/>
          <w:sz w:val="24"/>
          <w:szCs w:val="24"/>
        </w:rPr>
        <w:t xml:space="preserve">and indeed any other issue pertaining to the case, </w:t>
      </w:r>
      <w:r w:rsidRPr="00EB3210">
        <w:rPr>
          <w:rFonts w:ascii="Times New Roman" w:hAnsi="Times New Roman" w:cs="Times New Roman"/>
          <w:sz w:val="24"/>
          <w:szCs w:val="24"/>
        </w:rPr>
        <w:t xml:space="preserve">cannot </w:t>
      </w:r>
      <w:r w:rsidR="000D0A88" w:rsidRPr="00EB3210">
        <w:rPr>
          <w:rFonts w:ascii="Times New Roman" w:hAnsi="Times New Roman" w:cs="Times New Roman"/>
          <w:sz w:val="24"/>
          <w:szCs w:val="24"/>
        </w:rPr>
        <w:t>be addressed</w:t>
      </w:r>
      <w:r w:rsidRPr="00EB3210">
        <w:rPr>
          <w:rFonts w:ascii="Times New Roman" w:hAnsi="Times New Roman" w:cs="Times New Roman"/>
          <w:sz w:val="24"/>
          <w:szCs w:val="24"/>
        </w:rPr>
        <w:t xml:space="preserve">. </w:t>
      </w:r>
      <w:r w:rsidR="00764539" w:rsidRPr="00EB3210">
        <w:rPr>
          <w:rFonts w:ascii="Times New Roman" w:hAnsi="Times New Roman" w:cs="Times New Roman"/>
          <w:sz w:val="24"/>
          <w:szCs w:val="24"/>
        </w:rPr>
        <w:t>Proceeding further, would be improper because there is no proper appeal before the court.</w:t>
      </w:r>
    </w:p>
    <w:p w:rsidR="00F074B5" w:rsidRPr="00EB3210" w:rsidRDefault="00764539" w:rsidP="00F31678">
      <w:pPr>
        <w:spacing w:after="0" w:line="360" w:lineRule="auto"/>
        <w:jc w:val="both"/>
        <w:rPr>
          <w:rFonts w:ascii="Times New Roman" w:hAnsi="Times New Roman" w:cs="Times New Roman"/>
          <w:b/>
          <w:sz w:val="24"/>
          <w:szCs w:val="24"/>
        </w:rPr>
      </w:pPr>
      <w:proofErr w:type="spellStart"/>
      <w:r w:rsidRPr="00EB3210">
        <w:rPr>
          <w:rFonts w:ascii="Times New Roman" w:hAnsi="Times New Roman" w:cs="Times New Roman"/>
          <w:b/>
          <w:sz w:val="24"/>
          <w:szCs w:val="24"/>
        </w:rPr>
        <w:t>Dispositon</w:t>
      </w:r>
      <w:proofErr w:type="spellEnd"/>
      <w:r w:rsidR="00F074B5" w:rsidRPr="00EB3210">
        <w:rPr>
          <w:rFonts w:ascii="Times New Roman" w:hAnsi="Times New Roman" w:cs="Times New Roman"/>
          <w:b/>
          <w:sz w:val="24"/>
          <w:szCs w:val="24"/>
        </w:rPr>
        <w:t xml:space="preserve"> </w:t>
      </w:r>
    </w:p>
    <w:p w:rsidR="00AB11A4" w:rsidRPr="00EB3210" w:rsidRDefault="00AB11A4" w:rsidP="00F31678">
      <w:pPr>
        <w:spacing w:after="0" w:line="360" w:lineRule="auto"/>
        <w:ind w:firstLine="720"/>
        <w:jc w:val="both"/>
        <w:rPr>
          <w:rFonts w:ascii="Times New Roman" w:hAnsi="Times New Roman" w:cs="Times New Roman"/>
          <w:sz w:val="24"/>
          <w:szCs w:val="24"/>
        </w:rPr>
      </w:pPr>
      <w:r w:rsidRPr="00EB3210">
        <w:rPr>
          <w:rFonts w:ascii="Times New Roman" w:hAnsi="Times New Roman" w:cs="Times New Roman"/>
          <w:sz w:val="24"/>
          <w:szCs w:val="24"/>
        </w:rPr>
        <w:t>I therefore order as follows:</w:t>
      </w:r>
    </w:p>
    <w:p w:rsidR="00AB11A4" w:rsidRPr="00EB3210" w:rsidRDefault="00AB11A4" w:rsidP="00EB3210">
      <w:pPr>
        <w:pStyle w:val="ListParagraph"/>
        <w:numPr>
          <w:ilvl w:val="0"/>
          <w:numId w:val="13"/>
        </w:num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Th</w:t>
      </w:r>
      <w:r w:rsidR="00764539" w:rsidRPr="00EB3210">
        <w:rPr>
          <w:rFonts w:ascii="Times New Roman" w:hAnsi="Times New Roman" w:cs="Times New Roman"/>
          <w:sz w:val="24"/>
          <w:szCs w:val="24"/>
        </w:rPr>
        <w:t xml:space="preserve">e appeal is struck off the </w:t>
      </w:r>
      <w:r w:rsidR="00F31678" w:rsidRPr="00EB3210">
        <w:rPr>
          <w:rFonts w:ascii="Times New Roman" w:hAnsi="Times New Roman" w:cs="Times New Roman"/>
          <w:sz w:val="24"/>
          <w:szCs w:val="24"/>
        </w:rPr>
        <w:t>roll; and</w:t>
      </w:r>
    </w:p>
    <w:p w:rsidR="00AB11A4" w:rsidRPr="00EB3210" w:rsidRDefault="00AB11A4" w:rsidP="00EB3210">
      <w:pPr>
        <w:pStyle w:val="ListParagraph"/>
        <w:numPr>
          <w:ilvl w:val="0"/>
          <w:numId w:val="13"/>
        </w:num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Each party shall bear its own costs.</w:t>
      </w:r>
    </w:p>
    <w:p w:rsidR="00E76CF6" w:rsidRPr="00EB3210" w:rsidRDefault="00E76CF6" w:rsidP="00EB3210">
      <w:pPr>
        <w:spacing w:line="360" w:lineRule="auto"/>
        <w:jc w:val="both"/>
        <w:rPr>
          <w:rFonts w:ascii="Times New Roman" w:hAnsi="Times New Roman" w:cs="Times New Roman"/>
          <w:sz w:val="24"/>
          <w:szCs w:val="24"/>
        </w:rPr>
      </w:pPr>
    </w:p>
    <w:p w:rsidR="00660F0D" w:rsidRPr="00EB3210" w:rsidRDefault="00425E3F" w:rsidP="00425E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C72FF" w:rsidRPr="00081AFF">
        <w:rPr>
          <w:rFonts w:ascii="Times New Roman" w:hAnsi="Times New Roman" w:cs="Times New Roman"/>
          <w:i/>
          <w:sz w:val="24"/>
          <w:szCs w:val="24"/>
        </w:rPr>
        <w:t>Atherstone</w:t>
      </w:r>
      <w:proofErr w:type="spellEnd"/>
      <w:r w:rsidR="00BC72FF" w:rsidRPr="00081AFF">
        <w:rPr>
          <w:rFonts w:ascii="Times New Roman" w:hAnsi="Times New Roman" w:cs="Times New Roman"/>
          <w:i/>
          <w:sz w:val="24"/>
          <w:szCs w:val="24"/>
        </w:rPr>
        <w:t xml:space="preserve"> &amp; </w:t>
      </w:r>
      <w:r w:rsidR="002E103D" w:rsidRPr="00081AFF">
        <w:rPr>
          <w:rFonts w:ascii="Times New Roman" w:hAnsi="Times New Roman" w:cs="Times New Roman"/>
          <w:i/>
          <w:sz w:val="24"/>
          <w:szCs w:val="24"/>
        </w:rPr>
        <w:t>Cook</w:t>
      </w:r>
      <w:r w:rsidR="002E103D" w:rsidRPr="00EB3210">
        <w:rPr>
          <w:rFonts w:ascii="Times New Roman" w:hAnsi="Times New Roman" w:cs="Times New Roman"/>
          <w:sz w:val="24"/>
          <w:szCs w:val="24"/>
        </w:rPr>
        <w:t>,</w:t>
      </w:r>
      <w:r>
        <w:rPr>
          <w:rFonts w:ascii="Times New Roman" w:hAnsi="Times New Roman" w:cs="Times New Roman"/>
          <w:sz w:val="24"/>
          <w:szCs w:val="24"/>
        </w:rPr>
        <w:t xml:space="preserve"> a</w:t>
      </w:r>
      <w:r w:rsidR="00E76CF6" w:rsidRPr="00EB3210">
        <w:rPr>
          <w:rFonts w:ascii="Times New Roman" w:hAnsi="Times New Roman" w:cs="Times New Roman"/>
          <w:sz w:val="24"/>
          <w:szCs w:val="24"/>
        </w:rPr>
        <w:t>ppellant’s‌ ‌</w:t>
      </w:r>
      <w:r>
        <w:rPr>
          <w:rFonts w:ascii="Times New Roman" w:hAnsi="Times New Roman" w:cs="Times New Roman"/>
          <w:sz w:val="24"/>
          <w:szCs w:val="24"/>
        </w:rPr>
        <w:t>legal‌ ‌p</w:t>
      </w:r>
      <w:r w:rsidR="00E76CF6" w:rsidRPr="00EB3210">
        <w:rPr>
          <w:rFonts w:ascii="Times New Roman" w:hAnsi="Times New Roman" w:cs="Times New Roman"/>
          <w:sz w:val="24"/>
          <w:szCs w:val="24"/>
        </w:rPr>
        <w:t>ractitioners</w:t>
      </w:r>
    </w:p>
    <w:p w:rsidR="00E76CF6" w:rsidRPr="00EB3210" w:rsidRDefault="00660F0D" w:rsidP="00425E3F">
      <w:pPr>
        <w:spacing w:after="0" w:line="240" w:lineRule="auto"/>
        <w:jc w:val="both"/>
        <w:rPr>
          <w:rFonts w:ascii="Times New Roman" w:hAnsi="Times New Roman" w:cs="Times New Roman"/>
          <w:sz w:val="24"/>
          <w:szCs w:val="24"/>
        </w:rPr>
      </w:pPr>
      <w:r w:rsidRPr="002E103D">
        <w:rPr>
          <w:rFonts w:ascii="Times New Roman" w:hAnsi="Times New Roman" w:cs="Times New Roman"/>
          <w:i/>
          <w:sz w:val="24"/>
          <w:szCs w:val="24"/>
        </w:rPr>
        <w:t>The</w:t>
      </w:r>
      <w:r w:rsidR="00081AFF" w:rsidRPr="002E103D">
        <w:rPr>
          <w:rFonts w:ascii="Times New Roman" w:hAnsi="Times New Roman" w:cs="Times New Roman"/>
          <w:i/>
          <w:sz w:val="24"/>
          <w:szCs w:val="24"/>
        </w:rPr>
        <w:t xml:space="preserve"> Legal Department</w:t>
      </w:r>
      <w:r w:rsidR="00081AFF">
        <w:rPr>
          <w:rFonts w:ascii="Times New Roman" w:hAnsi="Times New Roman" w:cs="Times New Roman"/>
          <w:sz w:val="24"/>
          <w:szCs w:val="24"/>
        </w:rPr>
        <w:t xml:space="preserve">, respondent’s legal </w:t>
      </w:r>
      <w:r w:rsidR="002E103D">
        <w:rPr>
          <w:rFonts w:ascii="Times New Roman" w:hAnsi="Times New Roman" w:cs="Times New Roman"/>
          <w:sz w:val="24"/>
          <w:szCs w:val="24"/>
        </w:rPr>
        <w:t>practitioners</w:t>
      </w:r>
      <w:r w:rsidR="00E76CF6" w:rsidRPr="00EB3210">
        <w:rPr>
          <w:rFonts w:ascii="Times New Roman" w:hAnsi="Times New Roman" w:cs="Times New Roman"/>
          <w:sz w:val="24"/>
          <w:szCs w:val="24"/>
        </w:rPr>
        <w:t xml:space="preserve"> ‌</w:t>
      </w:r>
    </w:p>
    <w:p w:rsidR="00E76CF6" w:rsidRPr="00EB3210" w:rsidRDefault="00E76CF6" w:rsidP="00EB3210">
      <w:p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 xml:space="preserve"> ‌</w:t>
      </w:r>
    </w:p>
    <w:p w:rsidR="00E76CF6" w:rsidRPr="00EB3210" w:rsidRDefault="00E76CF6" w:rsidP="00EB3210">
      <w:p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 xml:space="preserve"> ‌</w:t>
      </w:r>
    </w:p>
    <w:p w:rsidR="00007AF5" w:rsidRPr="00EB3210" w:rsidRDefault="00E76CF6" w:rsidP="00EB3210">
      <w:pPr>
        <w:spacing w:line="360" w:lineRule="auto"/>
        <w:jc w:val="both"/>
        <w:rPr>
          <w:rFonts w:ascii="Times New Roman" w:hAnsi="Times New Roman" w:cs="Times New Roman"/>
          <w:sz w:val="24"/>
          <w:szCs w:val="24"/>
        </w:rPr>
      </w:pPr>
      <w:r w:rsidRPr="00EB3210">
        <w:rPr>
          <w:rFonts w:ascii="Times New Roman" w:hAnsi="Times New Roman" w:cs="Times New Roman"/>
          <w:sz w:val="24"/>
          <w:szCs w:val="24"/>
        </w:rPr>
        <w:t xml:space="preserve"> ‌</w:t>
      </w:r>
    </w:p>
    <w:sectPr w:rsidR="00007AF5" w:rsidRPr="00EB32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243" w:rsidRDefault="001D1243" w:rsidP="00253CF9">
      <w:pPr>
        <w:spacing w:after="0" w:line="240" w:lineRule="auto"/>
      </w:pPr>
      <w:r>
        <w:separator/>
      </w:r>
    </w:p>
  </w:endnote>
  <w:endnote w:type="continuationSeparator" w:id="0">
    <w:p w:rsidR="001D1243" w:rsidRDefault="001D1243" w:rsidP="0025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0" w:rsidRDefault="00EA7AA0">
    <w:pPr>
      <w:pStyle w:val="Footer"/>
      <w:jc w:val="center"/>
    </w:pPr>
  </w:p>
  <w:p w:rsidR="00EA7AA0" w:rsidRDefault="00EA7A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243" w:rsidRDefault="001D1243" w:rsidP="00253CF9">
      <w:pPr>
        <w:spacing w:after="0" w:line="240" w:lineRule="auto"/>
      </w:pPr>
      <w:r>
        <w:separator/>
      </w:r>
    </w:p>
  </w:footnote>
  <w:footnote w:type="continuationSeparator" w:id="0">
    <w:p w:rsidR="001D1243" w:rsidRDefault="001D1243" w:rsidP="00253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056626"/>
      <w:docPartObj>
        <w:docPartGallery w:val="Page Numbers (Top of Page)"/>
        <w:docPartUnique/>
      </w:docPartObj>
    </w:sdtPr>
    <w:sdtEndPr>
      <w:rPr>
        <w:noProof/>
      </w:rPr>
    </w:sdtEndPr>
    <w:sdtContent>
      <w:p w:rsidR="00EB3210" w:rsidRDefault="00EB3210">
        <w:pPr>
          <w:pStyle w:val="Header"/>
          <w:jc w:val="right"/>
          <w:rPr>
            <w:noProof/>
          </w:rPr>
        </w:pPr>
        <w:r>
          <w:fldChar w:fldCharType="begin"/>
        </w:r>
        <w:r>
          <w:instrText xml:space="preserve"> PAGE   \* MERGEFORMAT </w:instrText>
        </w:r>
        <w:r>
          <w:fldChar w:fldCharType="separate"/>
        </w:r>
        <w:r w:rsidR="0005048A">
          <w:rPr>
            <w:noProof/>
          </w:rPr>
          <w:t>1</w:t>
        </w:r>
        <w:r>
          <w:rPr>
            <w:noProof/>
          </w:rPr>
          <w:fldChar w:fldCharType="end"/>
        </w:r>
      </w:p>
      <w:p w:rsidR="00EB3210" w:rsidRDefault="00EB3210">
        <w:pPr>
          <w:pStyle w:val="Header"/>
          <w:jc w:val="right"/>
          <w:rPr>
            <w:noProof/>
          </w:rPr>
        </w:pPr>
        <w:r>
          <w:rPr>
            <w:noProof/>
          </w:rPr>
          <w:t>HH</w:t>
        </w:r>
        <w:r w:rsidR="0073065D">
          <w:rPr>
            <w:noProof/>
          </w:rPr>
          <w:t xml:space="preserve"> 269-21</w:t>
        </w:r>
      </w:p>
      <w:p w:rsidR="00EB3210" w:rsidRDefault="00EB3210">
        <w:pPr>
          <w:pStyle w:val="Header"/>
          <w:jc w:val="right"/>
        </w:pPr>
        <w:r>
          <w:rPr>
            <w:noProof/>
          </w:rPr>
          <w:t>ITC 01/16</w:t>
        </w:r>
      </w:p>
    </w:sdtContent>
  </w:sdt>
  <w:p w:rsidR="00EB3210" w:rsidRDefault="00EB32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62B7"/>
    <w:multiLevelType w:val="hybridMultilevel"/>
    <w:tmpl w:val="C0BC7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6F97"/>
    <w:multiLevelType w:val="hybridMultilevel"/>
    <w:tmpl w:val="C30C4FDA"/>
    <w:lvl w:ilvl="0" w:tplc="AD4E00D2">
      <w:start w:val="1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91C4D"/>
    <w:multiLevelType w:val="hybridMultilevel"/>
    <w:tmpl w:val="FB546326"/>
    <w:lvl w:ilvl="0" w:tplc="5540EF9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A6D7CDB"/>
    <w:multiLevelType w:val="hybridMultilevel"/>
    <w:tmpl w:val="3F68EA70"/>
    <w:lvl w:ilvl="0" w:tplc="EC7E3F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883D8E"/>
    <w:multiLevelType w:val="hybridMultilevel"/>
    <w:tmpl w:val="B150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A2478"/>
    <w:multiLevelType w:val="hybridMultilevel"/>
    <w:tmpl w:val="B77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EEA"/>
    <w:multiLevelType w:val="hybridMultilevel"/>
    <w:tmpl w:val="A62ECFB6"/>
    <w:lvl w:ilvl="0" w:tplc="5C721A7E">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A5A59"/>
    <w:multiLevelType w:val="hybridMultilevel"/>
    <w:tmpl w:val="93E42AD4"/>
    <w:lvl w:ilvl="0" w:tplc="EC7E3F34">
      <w:start w:val="1"/>
      <w:numFmt w:val="decimal"/>
      <w:lvlText w:val="%1."/>
      <w:lvlJc w:val="left"/>
      <w:pPr>
        <w:ind w:left="19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10C6122"/>
    <w:multiLevelType w:val="hybridMultilevel"/>
    <w:tmpl w:val="6A2EE9D6"/>
    <w:lvl w:ilvl="0" w:tplc="2D0EFB90">
      <w:start w:val="1"/>
      <w:numFmt w:val="lowerRoman"/>
      <w:lvlText w:val="(%1)"/>
      <w:lvlJc w:val="left"/>
      <w:pPr>
        <w:ind w:left="2595" w:hanging="72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9" w15:restartNumberingAfterBreak="0">
    <w:nsid w:val="38640292"/>
    <w:multiLevelType w:val="hybridMultilevel"/>
    <w:tmpl w:val="9D3C8686"/>
    <w:lvl w:ilvl="0" w:tplc="ED6AC1F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3263AD7"/>
    <w:multiLevelType w:val="hybridMultilevel"/>
    <w:tmpl w:val="006C821E"/>
    <w:lvl w:ilvl="0" w:tplc="EC7E3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844734"/>
    <w:multiLevelType w:val="hybridMultilevel"/>
    <w:tmpl w:val="9424A0EA"/>
    <w:lvl w:ilvl="0" w:tplc="B07CF57E">
      <w:start w:val="1"/>
      <w:numFmt w:val="lowerLetter"/>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62065DDD"/>
    <w:multiLevelType w:val="hybridMultilevel"/>
    <w:tmpl w:val="A1E8D42C"/>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8CF7DDF"/>
    <w:multiLevelType w:val="hybridMultilevel"/>
    <w:tmpl w:val="429CB2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7FDD258E"/>
    <w:multiLevelType w:val="hybridMultilevel"/>
    <w:tmpl w:val="56D24692"/>
    <w:lvl w:ilvl="0" w:tplc="87B22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1"/>
  </w:num>
  <w:num w:numId="5">
    <w:abstractNumId w:val="8"/>
  </w:num>
  <w:num w:numId="6">
    <w:abstractNumId w:val="9"/>
  </w:num>
  <w:num w:numId="7">
    <w:abstractNumId w:val="2"/>
  </w:num>
  <w:num w:numId="8">
    <w:abstractNumId w:val="13"/>
  </w:num>
  <w:num w:numId="9">
    <w:abstractNumId w:val="5"/>
  </w:num>
  <w:num w:numId="10">
    <w:abstractNumId w:val="4"/>
  </w:num>
  <w:num w:numId="11">
    <w:abstractNumId w:val="10"/>
  </w:num>
  <w:num w:numId="12">
    <w:abstractNumId w:val="7"/>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59"/>
    <w:rsid w:val="00007AF5"/>
    <w:rsid w:val="00017C3D"/>
    <w:rsid w:val="00020921"/>
    <w:rsid w:val="00031588"/>
    <w:rsid w:val="00041D59"/>
    <w:rsid w:val="00043B58"/>
    <w:rsid w:val="000469CB"/>
    <w:rsid w:val="0005048A"/>
    <w:rsid w:val="00055193"/>
    <w:rsid w:val="00081AFF"/>
    <w:rsid w:val="00090E5B"/>
    <w:rsid w:val="0009699B"/>
    <w:rsid w:val="000B35C7"/>
    <w:rsid w:val="000C64A1"/>
    <w:rsid w:val="000C6B38"/>
    <w:rsid w:val="000D0A88"/>
    <w:rsid w:val="000D579A"/>
    <w:rsid w:val="000E3531"/>
    <w:rsid w:val="000F06FD"/>
    <w:rsid w:val="000F7C9B"/>
    <w:rsid w:val="00103472"/>
    <w:rsid w:val="0012614A"/>
    <w:rsid w:val="00127DA6"/>
    <w:rsid w:val="001500BC"/>
    <w:rsid w:val="00165962"/>
    <w:rsid w:val="001666E1"/>
    <w:rsid w:val="00183925"/>
    <w:rsid w:val="00193803"/>
    <w:rsid w:val="001A0F3C"/>
    <w:rsid w:val="001B3762"/>
    <w:rsid w:val="001C1E64"/>
    <w:rsid w:val="001C5335"/>
    <w:rsid w:val="001D1243"/>
    <w:rsid w:val="001D4E1E"/>
    <w:rsid w:val="00240C03"/>
    <w:rsid w:val="002463CD"/>
    <w:rsid w:val="00253CF9"/>
    <w:rsid w:val="0028423D"/>
    <w:rsid w:val="0029225B"/>
    <w:rsid w:val="002A693A"/>
    <w:rsid w:val="002B2B4A"/>
    <w:rsid w:val="002B6216"/>
    <w:rsid w:val="002C3EFD"/>
    <w:rsid w:val="002D124E"/>
    <w:rsid w:val="002E103D"/>
    <w:rsid w:val="002F2244"/>
    <w:rsid w:val="002F23D0"/>
    <w:rsid w:val="002F3DCD"/>
    <w:rsid w:val="00301800"/>
    <w:rsid w:val="003123A0"/>
    <w:rsid w:val="00314211"/>
    <w:rsid w:val="003204D3"/>
    <w:rsid w:val="00325E68"/>
    <w:rsid w:val="003432CA"/>
    <w:rsid w:val="00344102"/>
    <w:rsid w:val="00353317"/>
    <w:rsid w:val="00355B83"/>
    <w:rsid w:val="0036110D"/>
    <w:rsid w:val="00384ABD"/>
    <w:rsid w:val="003A1FD2"/>
    <w:rsid w:val="003A7C42"/>
    <w:rsid w:val="003D23EB"/>
    <w:rsid w:val="00417E5E"/>
    <w:rsid w:val="00420259"/>
    <w:rsid w:val="00425E3F"/>
    <w:rsid w:val="00426F94"/>
    <w:rsid w:val="00462C7B"/>
    <w:rsid w:val="00470927"/>
    <w:rsid w:val="004A6F59"/>
    <w:rsid w:val="005104CE"/>
    <w:rsid w:val="005315A6"/>
    <w:rsid w:val="00537A13"/>
    <w:rsid w:val="00560BBB"/>
    <w:rsid w:val="005672E8"/>
    <w:rsid w:val="005731EA"/>
    <w:rsid w:val="00587133"/>
    <w:rsid w:val="00587FCC"/>
    <w:rsid w:val="005A4441"/>
    <w:rsid w:val="005E2DC3"/>
    <w:rsid w:val="005F3DF1"/>
    <w:rsid w:val="005F6827"/>
    <w:rsid w:val="006060E7"/>
    <w:rsid w:val="00606FB7"/>
    <w:rsid w:val="00614A8F"/>
    <w:rsid w:val="00646BA3"/>
    <w:rsid w:val="00660F0D"/>
    <w:rsid w:val="006638FB"/>
    <w:rsid w:val="00696E28"/>
    <w:rsid w:val="006C0857"/>
    <w:rsid w:val="006F61C5"/>
    <w:rsid w:val="00701D48"/>
    <w:rsid w:val="00702FE5"/>
    <w:rsid w:val="00707ED4"/>
    <w:rsid w:val="00710185"/>
    <w:rsid w:val="007128B4"/>
    <w:rsid w:val="007232F6"/>
    <w:rsid w:val="0073065D"/>
    <w:rsid w:val="00764539"/>
    <w:rsid w:val="00766DCB"/>
    <w:rsid w:val="007715B5"/>
    <w:rsid w:val="00771E3F"/>
    <w:rsid w:val="0077274A"/>
    <w:rsid w:val="007914B5"/>
    <w:rsid w:val="007B7A2A"/>
    <w:rsid w:val="007D3E29"/>
    <w:rsid w:val="008021C2"/>
    <w:rsid w:val="008348DE"/>
    <w:rsid w:val="00873437"/>
    <w:rsid w:val="0089435B"/>
    <w:rsid w:val="008A7591"/>
    <w:rsid w:val="008C055D"/>
    <w:rsid w:val="008D3B23"/>
    <w:rsid w:val="008D6EE8"/>
    <w:rsid w:val="008F7A9A"/>
    <w:rsid w:val="0091214F"/>
    <w:rsid w:val="009158F5"/>
    <w:rsid w:val="0093683E"/>
    <w:rsid w:val="00941085"/>
    <w:rsid w:val="00950D0B"/>
    <w:rsid w:val="00970903"/>
    <w:rsid w:val="00980514"/>
    <w:rsid w:val="0098649E"/>
    <w:rsid w:val="00986A5D"/>
    <w:rsid w:val="009B18A6"/>
    <w:rsid w:val="009E355D"/>
    <w:rsid w:val="009E5586"/>
    <w:rsid w:val="00A16ADE"/>
    <w:rsid w:val="00A2119F"/>
    <w:rsid w:val="00A215D4"/>
    <w:rsid w:val="00A24E01"/>
    <w:rsid w:val="00A25A36"/>
    <w:rsid w:val="00A51250"/>
    <w:rsid w:val="00A7223C"/>
    <w:rsid w:val="00AA6D1F"/>
    <w:rsid w:val="00AA75A9"/>
    <w:rsid w:val="00AB11A4"/>
    <w:rsid w:val="00AB7659"/>
    <w:rsid w:val="00AC5E0B"/>
    <w:rsid w:val="00AF60F7"/>
    <w:rsid w:val="00B003C7"/>
    <w:rsid w:val="00B471E3"/>
    <w:rsid w:val="00B64D18"/>
    <w:rsid w:val="00B76AEE"/>
    <w:rsid w:val="00B9041F"/>
    <w:rsid w:val="00B97DBD"/>
    <w:rsid w:val="00BA4785"/>
    <w:rsid w:val="00BC4C67"/>
    <w:rsid w:val="00BC72FF"/>
    <w:rsid w:val="00BD3473"/>
    <w:rsid w:val="00BD6A74"/>
    <w:rsid w:val="00BF5EA9"/>
    <w:rsid w:val="00C12381"/>
    <w:rsid w:val="00C36F88"/>
    <w:rsid w:val="00C55666"/>
    <w:rsid w:val="00C56588"/>
    <w:rsid w:val="00C72F71"/>
    <w:rsid w:val="00C93D42"/>
    <w:rsid w:val="00CA5F71"/>
    <w:rsid w:val="00CB01ED"/>
    <w:rsid w:val="00CB7432"/>
    <w:rsid w:val="00CC5898"/>
    <w:rsid w:val="00CD2282"/>
    <w:rsid w:val="00D01731"/>
    <w:rsid w:val="00D169D0"/>
    <w:rsid w:val="00D16A78"/>
    <w:rsid w:val="00D245F2"/>
    <w:rsid w:val="00D305F5"/>
    <w:rsid w:val="00D53DE3"/>
    <w:rsid w:val="00D67B07"/>
    <w:rsid w:val="00D87194"/>
    <w:rsid w:val="00DC3049"/>
    <w:rsid w:val="00E15A5B"/>
    <w:rsid w:val="00E334B3"/>
    <w:rsid w:val="00E46B36"/>
    <w:rsid w:val="00E76CF6"/>
    <w:rsid w:val="00E904A0"/>
    <w:rsid w:val="00E91780"/>
    <w:rsid w:val="00EA1737"/>
    <w:rsid w:val="00EA3EDD"/>
    <w:rsid w:val="00EA7AA0"/>
    <w:rsid w:val="00EB3210"/>
    <w:rsid w:val="00EC2E3F"/>
    <w:rsid w:val="00ED7192"/>
    <w:rsid w:val="00EE6893"/>
    <w:rsid w:val="00F074B5"/>
    <w:rsid w:val="00F10E64"/>
    <w:rsid w:val="00F15412"/>
    <w:rsid w:val="00F31678"/>
    <w:rsid w:val="00F464DB"/>
    <w:rsid w:val="00F4785E"/>
    <w:rsid w:val="00F606C3"/>
    <w:rsid w:val="00F82F58"/>
    <w:rsid w:val="00F92AEB"/>
    <w:rsid w:val="00FA1AC3"/>
    <w:rsid w:val="00FB73BA"/>
    <w:rsid w:val="00FC1203"/>
    <w:rsid w:val="00FC3BE8"/>
    <w:rsid w:val="00FD53E5"/>
    <w:rsid w:val="00FE7395"/>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D567F-BF54-48DE-9846-5D74A9F5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A74"/>
    <w:pPr>
      <w:ind w:left="720"/>
      <w:contextualSpacing/>
    </w:pPr>
  </w:style>
  <w:style w:type="paragraph" w:styleId="Header">
    <w:name w:val="header"/>
    <w:basedOn w:val="Normal"/>
    <w:link w:val="HeaderChar"/>
    <w:uiPriority w:val="99"/>
    <w:unhideWhenUsed/>
    <w:rsid w:val="0025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F9"/>
  </w:style>
  <w:style w:type="paragraph" w:styleId="Footer">
    <w:name w:val="footer"/>
    <w:basedOn w:val="Normal"/>
    <w:link w:val="FooterChar"/>
    <w:uiPriority w:val="99"/>
    <w:unhideWhenUsed/>
    <w:rsid w:val="0025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F9"/>
  </w:style>
  <w:style w:type="paragraph" w:styleId="BalloonText">
    <w:name w:val="Balloon Text"/>
    <w:basedOn w:val="Normal"/>
    <w:link w:val="BalloonTextChar"/>
    <w:uiPriority w:val="99"/>
    <w:semiHidden/>
    <w:unhideWhenUsed/>
    <w:rsid w:val="00A21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D4"/>
    <w:rPr>
      <w:rFonts w:ascii="Tahoma" w:hAnsi="Tahoma" w:cs="Tahoma"/>
      <w:sz w:val="16"/>
      <w:szCs w:val="16"/>
    </w:rPr>
  </w:style>
  <w:style w:type="paragraph" w:styleId="FootnoteText">
    <w:name w:val="footnote text"/>
    <w:basedOn w:val="Normal"/>
    <w:link w:val="FootnoteTextChar"/>
    <w:uiPriority w:val="99"/>
    <w:semiHidden/>
    <w:unhideWhenUsed/>
    <w:rsid w:val="00936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83E"/>
    <w:rPr>
      <w:sz w:val="20"/>
      <w:szCs w:val="20"/>
    </w:rPr>
  </w:style>
  <w:style w:type="character" w:styleId="FootnoteReference">
    <w:name w:val="footnote reference"/>
    <w:basedOn w:val="DefaultParagraphFont"/>
    <w:uiPriority w:val="99"/>
    <w:semiHidden/>
    <w:unhideWhenUsed/>
    <w:rsid w:val="00936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A1FF-36B4-4B42-821A-D1F52C54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November T Mtshiya</dc:creator>
  <cp:lastModifiedBy>JSC</cp:lastModifiedBy>
  <cp:revision>2</cp:revision>
  <cp:lastPrinted>2021-05-26T18:33:00Z</cp:lastPrinted>
  <dcterms:created xsi:type="dcterms:W3CDTF">2021-06-04T09:10:00Z</dcterms:created>
  <dcterms:modified xsi:type="dcterms:W3CDTF">2021-06-04T09:10:00Z</dcterms:modified>
</cp:coreProperties>
</file>