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F85" w:rsidRPr="001F7976" w:rsidRDefault="00D150D5" w:rsidP="008E3494">
      <w:pPr>
        <w:spacing w:after="0"/>
        <w:jc w:val="both"/>
        <w:rPr>
          <w:rFonts w:ascii="Times New Roman" w:hAnsi="Times New Roman" w:cs="Times New Roman"/>
          <w:b/>
          <w:sz w:val="24"/>
          <w:szCs w:val="24"/>
        </w:rPr>
      </w:pPr>
      <w:bookmarkStart w:id="0" w:name="_GoBack"/>
      <w:bookmarkEnd w:id="0"/>
      <w:r w:rsidRPr="001F7976">
        <w:rPr>
          <w:rFonts w:ascii="Times New Roman" w:hAnsi="Times New Roman" w:cs="Times New Roman"/>
          <w:b/>
          <w:sz w:val="24"/>
          <w:szCs w:val="24"/>
          <w:u w:val="single"/>
        </w:rPr>
        <w:t>REPORTABLE</w:t>
      </w:r>
      <w:r w:rsidRPr="001F7976">
        <w:rPr>
          <w:rFonts w:ascii="Times New Roman" w:hAnsi="Times New Roman" w:cs="Times New Roman"/>
          <w:b/>
          <w:sz w:val="24"/>
          <w:szCs w:val="24"/>
        </w:rPr>
        <w:tab/>
        <w:t>(13)</w:t>
      </w:r>
    </w:p>
    <w:p w:rsidR="009431BE" w:rsidRPr="001F7976" w:rsidRDefault="009431BE" w:rsidP="008E3494">
      <w:pPr>
        <w:spacing w:after="0"/>
        <w:jc w:val="both"/>
        <w:rPr>
          <w:rFonts w:ascii="Times New Roman" w:hAnsi="Times New Roman" w:cs="Times New Roman"/>
          <w:b/>
          <w:sz w:val="24"/>
          <w:szCs w:val="24"/>
        </w:rPr>
      </w:pPr>
    </w:p>
    <w:p w:rsidR="00265F85" w:rsidRPr="001F7976" w:rsidRDefault="00265F85" w:rsidP="008E3494">
      <w:pPr>
        <w:spacing w:after="0" w:line="240" w:lineRule="auto"/>
        <w:jc w:val="both"/>
        <w:rPr>
          <w:rFonts w:ascii="Times New Roman" w:hAnsi="Times New Roman" w:cs="Times New Roman"/>
          <w:b/>
          <w:sz w:val="24"/>
          <w:szCs w:val="24"/>
        </w:rPr>
      </w:pPr>
    </w:p>
    <w:p w:rsidR="00265F85" w:rsidRPr="001F7976" w:rsidRDefault="00265F85" w:rsidP="008E3494">
      <w:pPr>
        <w:pStyle w:val="ListParagraph"/>
        <w:spacing w:after="0" w:line="240" w:lineRule="auto"/>
        <w:ind w:left="0"/>
        <w:jc w:val="center"/>
        <w:rPr>
          <w:rFonts w:ascii="Times New Roman" w:hAnsi="Times New Roman" w:cs="Times New Roman"/>
          <w:b/>
          <w:sz w:val="24"/>
          <w:szCs w:val="24"/>
        </w:rPr>
      </w:pPr>
      <w:r w:rsidRPr="001F7976">
        <w:rPr>
          <w:rFonts w:ascii="Times New Roman" w:hAnsi="Times New Roman" w:cs="Times New Roman"/>
          <w:b/>
          <w:sz w:val="24"/>
          <w:szCs w:val="24"/>
        </w:rPr>
        <w:t>MCR</w:t>
      </w:r>
      <w:r w:rsidR="00A4593C" w:rsidRPr="001F7976">
        <w:rPr>
          <w:rFonts w:ascii="Times New Roman" w:hAnsi="Times New Roman" w:cs="Times New Roman"/>
          <w:b/>
          <w:sz w:val="24"/>
          <w:szCs w:val="24"/>
        </w:rPr>
        <w:t xml:space="preserve">     </w:t>
      </w:r>
      <w:r w:rsidRPr="001F7976">
        <w:rPr>
          <w:rFonts w:ascii="Times New Roman" w:hAnsi="Times New Roman" w:cs="Times New Roman"/>
          <w:b/>
          <w:sz w:val="24"/>
          <w:szCs w:val="24"/>
        </w:rPr>
        <w:t>VENGESAYI</w:t>
      </w:r>
      <w:r w:rsidR="00A4593C" w:rsidRPr="001F7976">
        <w:rPr>
          <w:rFonts w:ascii="Times New Roman" w:hAnsi="Times New Roman" w:cs="Times New Roman"/>
          <w:b/>
          <w:sz w:val="24"/>
          <w:szCs w:val="24"/>
        </w:rPr>
        <w:t xml:space="preserve">     </w:t>
      </w:r>
      <w:r w:rsidR="005A5C13" w:rsidRPr="001F7976">
        <w:rPr>
          <w:rFonts w:ascii="Times New Roman" w:hAnsi="Times New Roman" w:cs="Times New Roman"/>
          <w:b/>
          <w:sz w:val="24"/>
          <w:szCs w:val="24"/>
        </w:rPr>
        <w:t xml:space="preserve">AND     </w:t>
      </w:r>
      <w:r w:rsidRPr="001F7976">
        <w:rPr>
          <w:rFonts w:ascii="Times New Roman" w:hAnsi="Times New Roman" w:cs="Times New Roman"/>
          <w:b/>
          <w:sz w:val="24"/>
          <w:szCs w:val="24"/>
        </w:rPr>
        <w:t xml:space="preserve">AGNES </w:t>
      </w:r>
      <w:r w:rsidR="005A5C13" w:rsidRPr="001F7976">
        <w:rPr>
          <w:rFonts w:ascii="Times New Roman" w:hAnsi="Times New Roman" w:cs="Times New Roman"/>
          <w:b/>
          <w:sz w:val="24"/>
          <w:szCs w:val="24"/>
        </w:rPr>
        <w:t xml:space="preserve">    </w:t>
      </w:r>
      <w:r w:rsidRPr="001F7976">
        <w:rPr>
          <w:rFonts w:ascii="Times New Roman" w:hAnsi="Times New Roman" w:cs="Times New Roman"/>
          <w:b/>
          <w:sz w:val="24"/>
          <w:szCs w:val="24"/>
        </w:rPr>
        <w:t>VENGESAYI</w:t>
      </w:r>
      <w:r w:rsidR="005A5C13" w:rsidRPr="001F7976">
        <w:rPr>
          <w:rFonts w:ascii="Times New Roman" w:hAnsi="Times New Roman" w:cs="Times New Roman"/>
          <w:b/>
          <w:sz w:val="24"/>
          <w:szCs w:val="24"/>
        </w:rPr>
        <w:t xml:space="preserve">     carrying </w:t>
      </w:r>
      <w:r w:rsidR="00913C8E" w:rsidRPr="001F7976">
        <w:rPr>
          <w:rFonts w:ascii="Times New Roman" w:hAnsi="Times New Roman" w:cs="Times New Roman"/>
          <w:b/>
          <w:sz w:val="24"/>
          <w:szCs w:val="24"/>
        </w:rPr>
        <w:t xml:space="preserve">    </w:t>
      </w:r>
      <w:r w:rsidR="005A5C13" w:rsidRPr="001F7976">
        <w:rPr>
          <w:rFonts w:ascii="Times New Roman" w:hAnsi="Times New Roman" w:cs="Times New Roman"/>
          <w:b/>
          <w:sz w:val="24"/>
          <w:szCs w:val="24"/>
        </w:rPr>
        <w:t>on     business     in     partnership     under     the</w:t>
      </w:r>
      <w:r w:rsidR="001A7723" w:rsidRPr="001F7976">
        <w:rPr>
          <w:rFonts w:ascii="Times New Roman" w:hAnsi="Times New Roman" w:cs="Times New Roman"/>
          <w:b/>
          <w:sz w:val="24"/>
          <w:szCs w:val="24"/>
        </w:rPr>
        <w:t xml:space="preserve">    </w:t>
      </w:r>
      <w:r w:rsidR="005A5C13" w:rsidRPr="001F7976">
        <w:rPr>
          <w:rFonts w:ascii="Times New Roman" w:hAnsi="Times New Roman" w:cs="Times New Roman"/>
          <w:b/>
          <w:sz w:val="24"/>
          <w:szCs w:val="24"/>
        </w:rPr>
        <w:t xml:space="preserve"> name     STYLE     VENGESAYI</w:t>
      </w:r>
      <w:r w:rsidR="00E01876" w:rsidRPr="001F7976">
        <w:rPr>
          <w:rFonts w:ascii="Times New Roman" w:hAnsi="Times New Roman" w:cs="Times New Roman"/>
          <w:b/>
          <w:sz w:val="24"/>
          <w:szCs w:val="24"/>
        </w:rPr>
        <w:t xml:space="preserve"> </w:t>
      </w:r>
      <w:r w:rsidR="001A7723" w:rsidRPr="001F7976">
        <w:rPr>
          <w:rFonts w:ascii="Times New Roman" w:hAnsi="Times New Roman" w:cs="Times New Roman"/>
          <w:b/>
          <w:sz w:val="24"/>
          <w:szCs w:val="24"/>
        </w:rPr>
        <w:t xml:space="preserve">    </w:t>
      </w:r>
      <w:r w:rsidR="00E01876" w:rsidRPr="001F7976">
        <w:rPr>
          <w:rFonts w:ascii="Times New Roman" w:hAnsi="Times New Roman" w:cs="Times New Roman"/>
          <w:b/>
          <w:sz w:val="24"/>
          <w:szCs w:val="24"/>
        </w:rPr>
        <w:t>ARCHITECTS</w:t>
      </w:r>
    </w:p>
    <w:p w:rsidR="00265F85" w:rsidRPr="001F7976" w:rsidRDefault="00265F85" w:rsidP="008E3494">
      <w:pPr>
        <w:spacing w:after="0" w:line="240" w:lineRule="auto"/>
        <w:jc w:val="center"/>
        <w:rPr>
          <w:rFonts w:ascii="Times New Roman" w:hAnsi="Times New Roman" w:cs="Times New Roman"/>
          <w:b/>
          <w:sz w:val="24"/>
          <w:szCs w:val="24"/>
        </w:rPr>
      </w:pPr>
      <w:r w:rsidRPr="001F7976">
        <w:rPr>
          <w:rFonts w:ascii="Times New Roman" w:hAnsi="Times New Roman" w:cs="Times New Roman"/>
          <w:b/>
          <w:sz w:val="24"/>
          <w:szCs w:val="24"/>
        </w:rPr>
        <w:t>v</w:t>
      </w:r>
    </w:p>
    <w:p w:rsidR="00265F85" w:rsidRPr="001F7976" w:rsidRDefault="00265F85" w:rsidP="008E3494">
      <w:pPr>
        <w:pStyle w:val="ListParagraph"/>
        <w:spacing w:after="0"/>
        <w:ind w:left="0"/>
        <w:jc w:val="center"/>
        <w:rPr>
          <w:rFonts w:ascii="Times New Roman" w:hAnsi="Times New Roman" w:cs="Times New Roman"/>
          <w:b/>
          <w:sz w:val="24"/>
          <w:szCs w:val="24"/>
        </w:rPr>
      </w:pPr>
      <w:r w:rsidRPr="001F7976">
        <w:rPr>
          <w:rFonts w:ascii="Times New Roman" w:hAnsi="Times New Roman" w:cs="Times New Roman"/>
          <w:b/>
          <w:sz w:val="24"/>
          <w:szCs w:val="24"/>
        </w:rPr>
        <w:t>BELVEDERE</w:t>
      </w:r>
      <w:r w:rsidR="00A4593C" w:rsidRPr="001F7976">
        <w:rPr>
          <w:rFonts w:ascii="Times New Roman" w:hAnsi="Times New Roman" w:cs="Times New Roman"/>
          <w:b/>
          <w:sz w:val="24"/>
          <w:szCs w:val="24"/>
        </w:rPr>
        <w:t xml:space="preserve">     </w:t>
      </w:r>
      <w:r w:rsidRPr="001F7976">
        <w:rPr>
          <w:rFonts w:ascii="Times New Roman" w:hAnsi="Times New Roman" w:cs="Times New Roman"/>
          <w:b/>
          <w:sz w:val="24"/>
          <w:szCs w:val="24"/>
        </w:rPr>
        <w:t xml:space="preserve"> NURSING     HOME     (PRIVATE)     LIMITED</w:t>
      </w:r>
    </w:p>
    <w:p w:rsidR="00265F85" w:rsidRPr="001F7976" w:rsidRDefault="00265F85" w:rsidP="008E3494">
      <w:pPr>
        <w:spacing w:after="0"/>
        <w:jc w:val="both"/>
        <w:rPr>
          <w:rFonts w:ascii="Times New Roman" w:hAnsi="Times New Roman" w:cs="Times New Roman"/>
          <w:sz w:val="24"/>
          <w:szCs w:val="24"/>
        </w:rPr>
      </w:pPr>
    </w:p>
    <w:p w:rsidR="00265F85" w:rsidRPr="001F7976" w:rsidRDefault="00265F85" w:rsidP="008E3494">
      <w:pPr>
        <w:spacing w:after="0"/>
        <w:jc w:val="both"/>
        <w:rPr>
          <w:rFonts w:ascii="Times New Roman" w:hAnsi="Times New Roman" w:cs="Times New Roman"/>
          <w:sz w:val="24"/>
          <w:szCs w:val="24"/>
        </w:rPr>
      </w:pPr>
    </w:p>
    <w:p w:rsidR="00265F85" w:rsidRPr="001F7976" w:rsidRDefault="00265F85" w:rsidP="008E3494">
      <w:pPr>
        <w:spacing w:after="0"/>
        <w:jc w:val="both"/>
        <w:rPr>
          <w:rFonts w:ascii="Times New Roman" w:hAnsi="Times New Roman" w:cs="Times New Roman"/>
          <w:sz w:val="24"/>
          <w:szCs w:val="24"/>
        </w:rPr>
      </w:pPr>
    </w:p>
    <w:p w:rsidR="00265F85" w:rsidRPr="001F7976" w:rsidRDefault="00265F85" w:rsidP="008E3494">
      <w:pPr>
        <w:spacing w:after="0"/>
        <w:jc w:val="both"/>
        <w:rPr>
          <w:rFonts w:ascii="Times New Roman" w:hAnsi="Times New Roman" w:cs="Times New Roman"/>
          <w:b/>
          <w:sz w:val="24"/>
          <w:szCs w:val="24"/>
        </w:rPr>
      </w:pPr>
      <w:r w:rsidRPr="001F7976">
        <w:rPr>
          <w:rFonts w:ascii="Times New Roman" w:hAnsi="Times New Roman" w:cs="Times New Roman"/>
          <w:b/>
          <w:sz w:val="24"/>
          <w:szCs w:val="24"/>
        </w:rPr>
        <w:t>SUPREME COURT OF ZIMBABWE</w:t>
      </w:r>
    </w:p>
    <w:p w:rsidR="005A5C13" w:rsidRPr="001F7976" w:rsidRDefault="005A5C13" w:rsidP="008E3494">
      <w:pPr>
        <w:spacing w:after="0"/>
        <w:jc w:val="both"/>
        <w:rPr>
          <w:rFonts w:ascii="Times New Roman" w:hAnsi="Times New Roman" w:cs="Times New Roman"/>
          <w:b/>
          <w:sz w:val="24"/>
          <w:szCs w:val="24"/>
        </w:rPr>
      </w:pPr>
      <w:r w:rsidRPr="001F7976">
        <w:rPr>
          <w:rFonts w:ascii="Times New Roman" w:hAnsi="Times New Roman" w:cs="Times New Roman"/>
          <w:b/>
          <w:sz w:val="24"/>
          <w:szCs w:val="24"/>
        </w:rPr>
        <w:t>GUVAVA JA, BERE JA &amp; MATHONSI JA</w:t>
      </w:r>
    </w:p>
    <w:p w:rsidR="00265F85" w:rsidRPr="001F7976" w:rsidRDefault="00265F85" w:rsidP="008E3494">
      <w:pPr>
        <w:spacing w:after="0"/>
        <w:jc w:val="both"/>
        <w:rPr>
          <w:rFonts w:ascii="Times New Roman" w:hAnsi="Times New Roman" w:cs="Times New Roman"/>
          <w:b/>
          <w:sz w:val="24"/>
          <w:szCs w:val="24"/>
        </w:rPr>
      </w:pPr>
      <w:r w:rsidRPr="001F7976">
        <w:rPr>
          <w:rFonts w:ascii="Times New Roman" w:hAnsi="Times New Roman" w:cs="Times New Roman"/>
          <w:b/>
          <w:sz w:val="24"/>
          <w:szCs w:val="24"/>
        </w:rPr>
        <w:t>HARARE:</w:t>
      </w:r>
      <w:r w:rsidR="00D15476" w:rsidRPr="001F7976">
        <w:rPr>
          <w:rFonts w:ascii="Times New Roman" w:hAnsi="Times New Roman" w:cs="Times New Roman"/>
          <w:b/>
          <w:sz w:val="24"/>
          <w:szCs w:val="24"/>
        </w:rPr>
        <w:tab/>
      </w:r>
      <w:r w:rsidR="00F90400" w:rsidRPr="001F7976">
        <w:rPr>
          <w:rFonts w:ascii="Times New Roman" w:hAnsi="Times New Roman" w:cs="Times New Roman"/>
          <w:b/>
          <w:sz w:val="24"/>
          <w:szCs w:val="24"/>
        </w:rPr>
        <w:t xml:space="preserve"> </w:t>
      </w:r>
      <w:r w:rsidR="005A5C13" w:rsidRPr="001F7976">
        <w:rPr>
          <w:rFonts w:ascii="Times New Roman" w:hAnsi="Times New Roman" w:cs="Times New Roman"/>
          <w:b/>
          <w:sz w:val="24"/>
          <w:szCs w:val="24"/>
        </w:rPr>
        <w:t>NOVEMBER 1, 2019 &amp;</w:t>
      </w:r>
      <w:r w:rsidR="00193B41" w:rsidRPr="001F7976">
        <w:rPr>
          <w:rFonts w:ascii="Times New Roman" w:hAnsi="Times New Roman" w:cs="Times New Roman"/>
          <w:b/>
          <w:sz w:val="24"/>
          <w:szCs w:val="24"/>
        </w:rPr>
        <w:t xml:space="preserve"> FEBRUARY 6</w:t>
      </w:r>
      <w:r w:rsidR="002D0677" w:rsidRPr="001F7976">
        <w:rPr>
          <w:rFonts w:ascii="Times New Roman" w:hAnsi="Times New Roman" w:cs="Times New Roman"/>
          <w:b/>
          <w:sz w:val="24"/>
          <w:szCs w:val="24"/>
        </w:rPr>
        <w:t xml:space="preserve">, </w:t>
      </w:r>
      <w:r w:rsidR="005A5C13" w:rsidRPr="001F7976">
        <w:rPr>
          <w:rFonts w:ascii="Times New Roman" w:hAnsi="Times New Roman" w:cs="Times New Roman"/>
          <w:b/>
          <w:sz w:val="24"/>
          <w:szCs w:val="24"/>
        </w:rPr>
        <w:t>2020</w:t>
      </w:r>
      <w:r w:rsidRPr="001F7976">
        <w:rPr>
          <w:rFonts w:ascii="Times New Roman" w:hAnsi="Times New Roman" w:cs="Times New Roman"/>
          <w:b/>
          <w:sz w:val="24"/>
          <w:szCs w:val="24"/>
        </w:rPr>
        <w:t xml:space="preserve">  </w:t>
      </w:r>
    </w:p>
    <w:p w:rsidR="00265F85" w:rsidRPr="001F7976" w:rsidRDefault="00265F85" w:rsidP="008E3494">
      <w:pPr>
        <w:spacing w:after="0"/>
        <w:jc w:val="both"/>
        <w:rPr>
          <w:rFonts w:ascii="Times New Roman" w:hAnsi="Times New Roman" w:cs="Times New Roman"/>
          <w:sz w:val="24"/>
          <w:szCs w:val="24"/>
        </w:rPr>
      </w:pPr>
    </w:p>
    <w:p w:rsidR="00265F85" w:rsidRPr="001F7976" w:rsidRDefault="00265F85" w:rsidP="008E3494">
      <w:pPr>
        <w:spacing w:after="0"/>
        <w:jc w:val="both"/>
        <w:rPr>
          <w:rFonts w:ascii="Times New Roman" w:hAnsi="Times New Roman" w:cs="Times New Roman"/>
          <w:sz w:val="24"/>
          <w:szCs w:val="24"/>
        </w:rPr>
      </w:pPr>
    </w:p>
    <w:p w:rsidR="00265F85" w:rsidRPr="001F7976" w:rsidRDefault="00265F85" w:rsidP="008E3494">
      <w:pPr>
        <w:spacing w:after="0"/>
        <w:jc w:val="both"/>
        <w:rPr>
          <w:rFonts w:ascii="Times New Roman" w:hAnsi="Times New Roman" w:cs="Times New Roman"/>
          <w:sz w:val="24"/>
          <w:szCs w:val="24"/>
        </w:rPr>
      </w:pPr>
    </w:p>
    <w:p w:rsidR="00265F85" w:rsidRPr="001F7976" w:rsidRDefault="00265F85" w:rsidP="008E3494">
      <w:pPr>
        <w:spacing w:after="0" w:line="480" w:lineRule="auto"/>
        <w:jc w:val="both"/>
        <w:rPr>
          <w:rFonts w:ascii="Times New Roman" w:hAnsi="Times New Roman" w:cs="Times New Roman"/>
          <w:i/>
          <w:sz w:val="24"/>
          <w:szCs w:val="24"/>
        </w:rPr>
      </w:pPr>
      <w:r w:rsidRPr="001F7976">
        <w:rPr>
          <w:rFonts w:ascii="Times New Roman" w:hAnsi="Times New Roman" w:cs="Times New Roman"/>
          <w:i/>
          <w:sz w:val="24"/>
          <w:szCs w:val="24"/>
        </w:rPr>
        <w:t xml:space="preserve">T. Zhuwarara, </w:t>
      </w:r>
      <w:r w:rsidRPr="001F7976">
        <w:rPr>
          <w:rFonts w:ascii="Times New Roman" w:hAnsi="Times New Roman" w:cs="Times New Roman"/>
          <w:sz w:val="24"/>
          <w:szCs w:val="24"/>
        </w:rPr>
        <w:t>for the appellants</w:t>
      </w:r>
      <w:r w:rsidRPr="001F7976">
        <w:rPr>
          <w:rFonts w:ascii="Times New Roman" w:hAnsi="Times New Roman" w:cs="Times New Roman"/>
          <w:i/>
          <w:sz w:val="24"/>
          <w:szCs w:val="24"/>
        </w:rPr>
        <w:t>.</w:t>
      </w:r>
    </w:p>
    <w:p w:rsidR="00265F85" w:rsidRPr="001F7976" w:rsidRDefault="00265F85" w:rsidP="008E3494">
      <w:pPr>
        <w:spacing w:after="0" w:line="480" w:lineRule="auto"/>
        <w:jc w:val="both"/>
        <w:rPr>
          <w:rFonts w:ascii="Times New Roman" w:hAnsi="Times New Roman" w:cs="Times New Roman"/>
          <w:i/>
          <w:sz w:val="24"/>
          <w:szCs w:val="24"/>
        </w:rPr>
      </w:pPr>
      <w:r w:rsidRPr="001F7976">
        <w:rPr>
          <w:rFonts w:ascii="Times New Roman" w:hAnsi="Times New Roman" w:cs="Times New Roman"/>
          <w:i/>
          <w:sz w:val="24"/>
          <w:szCs w:val="24"/>
        </w:rPr>
        <w:t>E.T.</w:t>
      </w:r>
      <w:r w:rsidR="009431BE" w:rsidRPr="001F7976">
        <w:rPr>
          <w:rFonts w:ascii="Times New Roman" w:hAnsi="Times New Roman" w:cs="Times New Roman"/>
          <w:i/>
          <w:sz w:val="24"/>
          <w:szCs w:val="24"/>
        </w:rPr>
        <w:t xml:space="preserve"> </w:t>
      </w:r>
      <w:r w:rsidRPr="001F7976">
        <w:rPr>
          <w:rFonts w:ascii="Times New Roman" w:hAnsi="Times New Roman" w:cs="Times New Roman"/>
          <w:i/>
          <w:sz w:val="24"/>
          <w:szCs w:val="24"/>
        </w:rPr>
        <w:t xml:space="preserve">Matinenga, </w:t>
      </w:r>
      <w:r w:rsidRPr="001F7976">
        <w:rPr>
          <w:rFonts w:ascii="Times New Roman" w:hAnsi="Times New Roman" w:cs="Times New Roman"/>
          <w:sz w:val="24"/>
          <w:szCs w:val="24"/>
        </w:rPr>
        <w:t>for the respondent</w:t>
      </w:r>
      <w:r w:rsidRPr="001F7976">
        <w:rPr>
          <w:rFonts w:ascii="Times New Roman" w:hAnsi="Times New Roman" w:cs="Times New Roman"/>
          <w:i/>
          <w:sz w:val="24"/>
          <w:szCs w:val="24"/>
        </w:rPr>
        <w:t>.</w:t>
      </w:r>
    </w:p>
    <w:p w:rsidR="00265F85" w:rsidRPr="001F7976" w:rsidRDefault="00265F85" w:rsidP="008E3494">
      <w:pPr>
        <w:spacing w:after="0"/>
        <w:jc w:val="both"/>
        <w:rPr>
          <w:rFonts w:ascii="Times New Roman" w:hAnsi="Times New Roman" w:cs="Times New Roman"/>
          <w:i/>
          <w:sz w:val="24"/>
          <w:szCs w:val="24"/>
        </w:rPr>
      </w:pPr>
    </w:p>
    <w:p w:rsidR="00265F85" w:rsidRPr="001F7976" w:rsidRDefault="00265F85" w:rsidP="008E3494">
      <w:pPr>
        <w:spacing w:after="0" w:line="240" w:lineRule="auto"/>
        <w:jc w:val="both"/>
        <w:rPr>
          <w:rFonts w:ascii="Times New Roman" w:hAnsi="Times New Roman" w:cs="Times New Roman"/>
          <w:i/>
          <w:sz w:val="24"/>
          <w:szCs w:val="24"/>
        </w:rPr>
      </w:pPr>
    </w:p>
    <w:p w:rsidR="004B3938" w:rsidRPr="001F7976" w:rsidRDefault="004B3938" w:rsidP="004B3938">
      <w:pPr>
        <w:spacing w:after="0" w:line="480" w:lineRule="auto"/>
        <w:jc w:val="both"/>
        <w:rPr>
          <w:rFonts w:ascii="Times New Roman" w:hAnsi="Times New Roman" w:cs="Times New Roman"/>
          <w:i/>
          <w:sz w:val="24"/>
          <w:szCs w:val="24"/>
        </w:rPr>
      </w:pPr>
    </w:p>
    <w:p w:rsidR="00265F85" w:rsidRPr="001F7976" w:rsidRDefault="00265F85" w:rsidP="004B3938">
      <w:pPr>
        <w:spacing w:after="0" w:line="480" w:lineRule="auto"/>
        <w:ind w:firstLine="720"/>
        <w:jc w:val="both"/>
        <w:rPr>
          <w:rFonts w:ascii="Times New Roman" w:hAnsi="Times New Roman" w:cs="Times New Roman"/>
          <w:sz w:val="24"/>
          <w:szCs w:val="24"/>
        </w:rPr>
      </w:pPr>
      <w:r w:rsidRPr="001F7976">
        <w:rPr>
          <w:rFonts w:ascii="Times New Roman" w:hAnsi="Times New Roman" w:cs="Times New Roman"/>
          <w:b/>
          <w:sz w:val="24"/>
          <w:szCs w:val="24"/>
        </w:rPr>
        <w:t xml:space="preserve">MATHONSI JA: </w:t>
      </w:r>
      <w:r w:rsidRPr="001F7976">
        <w:rPr>
          <w:rFonts w:ascii="Times New Roman" w:hAnsi="Times New Roman" w:cs="Times New Roman"/>
          <w:sz w:val="24"/>
          <w:szCs w:val="24"/>
        </w:rPr>
        <w:t>This is an appeal against the whole judgment of the High Court handed down on 18 February 2015 in which it dismissed with costs the appellants’ claim for payment for architectural services allegedly rendered to the respondent at its special instance and request.</w:t>
      </w:r>
    </w:p>
    <w:p w:rsidR="00265F85" w:rsidRPr="001F7976" w:rsidRDefault="00265F85" w:rsidP="008E3494">
      <w:pPr>
        <w:spacing w:after="0" w:line="480" w:lineRule="auto"/>
        <w:ind w:firstLine="1134"/>
        <w:jc w:val="both"/>
        <w:rPr>
          <w:rFonts w:ascii="Times New Roman" w:hAnsi="Times New Roman" w:cs="Times New Roman"/>
          <w:sz w:val="24"/>
          <w:szCs w:val="24"/>
        </w:rPr>
      </w:pPr>
    </w:p>
    <w:p w:rsidR="00265F85" w:rsidRPr="001F7976" w:rsidRDefault="00265F85" w:rsidP="008E3494">
      <w:pPr>
        <w:spacing w:after="0" w:line="480" w:lineRule="auto"/>
        <w:jc w:val="both"/>
        <w:rPr>
          <w:rFonts w:ascii="Times New Roman" w:hAnsi="Times New Roman" w:cs="Times New Roman"/>
          <w:b/>
          <w:sz w:val="24"/>
          <w:szCs w:val="24"/>
          <w:u w:val="single"/>
        </w:rPr>
      </w:pPr>
      <w:r w:rsidRPr="001F7976">
        <w:rPr>
          <w:rFonts w:ascii="Times New Roman" w:hAnsi="Times New Roman" w:cs="Times New Roman"/>
          <w:b/>
          <w:sz w:val="24"/>
          <w:szCs w:val="24"/>
          <w:u w:val="single"/>
        </w:rPr>
        <w:t>FACTUAL BACKGROUND</w:t>
      </w:r>
    </w:p>
    <w:p w:rsidR="00265F85" w:rsidRPr="001F7976" w:rsidRDefault="00265F85"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The respondent desired to effect certain improvements on its property located on stands 6803 and</w:t>
      </w:r>
      <w:r w:rsidR="00665EF1" w:rsidRPr="001F7976">
        <w:rPr>
          <w:rFonts w:ascii="Times New Roman" w:hAnsi="Times New Roman" w:cs="Times New Roman"/>
          <w:sz w:val="24"/>
          <w:szCs w:val="24"/>
        </w:rPr>
        <w:t xml:space="preserve"> </w:t>
      </w:r>
      <w:r w:rsidRPr="001F7976">
        <w:rPr>
          <w:rFonts w:ascii="Times New Roman" w:hAnsi="Times New Roman" w:cs="Times New Roman"/>
          <w:sz w:val="24"/>
          <w:szCs w:val="24"/>
        </w:rPr>
        <w:t>6804</w:t>
      </w:r>
      <w:r w:rsidR="000D6CC6" w:rsidRPr="001F7976">
        <w:rPr>
          <w:rFonts w:ascii="Times New Roman" w:hAnsi="Times New Roman" w:cs="Times New Roman"/>
          <w:sz w:val="24"/>
          <w:szCs w:val="24"/>
        </w:rPr>
        <w:t xml:space="preserve"> Salisbury Township</w:t>
      </w:r>
      <w:r w:rsidRPr="001F7976">
        <w:rPr>
          <w:rFonts w:ascii="Times New Roman" w:hAnsi="Times New Roman" w:cs="Times New Roman"/>
          <w:sz w:val="24"/>
          <w:szCs w:val="24"/>
        </w:rPr>
        <w:t>, being No. 17 Prince</w:t>
      </w:r>
      <w:r w:rsidR="00D15476" w:rsidRPr="001F7976">
        <w:rPr>
          <w:rFonts w:ascii="Times New Roman" w:hAnsi="Times New Roman" w:cs="Times New Roman"/>
          <w:sz w:val="24"/>
          <w:szCs w:val="24"/>
        </w:rPr>
        <w:t>s</w:t>
      </w:r>
      <w:r w:rsidRPr="001F7976">
        <w:rPr>
          <w:rFonts w:ascii="Times New Roman" w:hAnsi="Times New Roman" w:cs="Times New Roman"/>
          <w:sz w:val="24"/>
          <w:szCs w:val="24"/>
        </w:rPr>
        <w:t>s Road, Belvedere, Harare</w:t>
      </w:r>
      <w:r w:rsidR="00665EF1" w:rsidRPr="001F7976">
        <w:rPr>
          <w:rFonts w:ascii="Times New Roman" w:hAnsi="Times New Roman" w:cs="Times New Roman"/>
          <w:sz w:val="24"/>
          <w:szCs w:val="24"/>
        </w:rPr>
        <w:t xml:space="preserve"> where Belvedere Maternity Hospital is located.  In that regard, the respondent engaged the appellant</w:t>
      </w:r>
      <w:r w:rsidR="005A5C13" w:rsidRPr="001F7976">
        <w:rPr>
          <w:rFonts w:ascii="Times New Roman" w:hAnsi="Times New Roman" w:cs="Times New Roman"/>
          <w:sz w:val="24"/>
          <w:szCs w:val="24"/>
        </w:rPr>
        <w:t>s</w:t>
      </w:r>
      <w:r w:rsidR="00665EF1" w:rsidRPr="001F7976">
        <w:rPr>
          <w:rFonts w:ascii="Times New Roman" w:hAnsi="Times New Roman" w:cs="Times New Roman"/>
          <w:sz w:val="24"/>
          <w:szCs w:val="24"/>
        </w:rPr>
        <w:t>, a firm of architects, with whom it s</w:t>
      </w:r>
      <w:r w:rsidR="009431BE" w:rsidRPr="001F7976">
        <w:rPr>
          <w:rFonts w:ascii="Times New Roman" w:hAnsi="Times New Roman" w:cs="Times New Roman"/>
          <w:sz w:val="24"/>
          <w:szCs w:val="24"/>
        </w:rPr>
        <w:t>igned a written agreement on 19 September </w:t>
      </w:r>
      <w:r w:rsidR="00665EF1" w:rsidRPr="001F7976">
        <w:rPr>
          <w:rFonts w:ascii="Times New Roman" w:hAnsi="Times New Roman" w:cs="Times New Roman"/>
          <w:sz w:val="24"/>
          <w:szCs w:val="24"/>
        </w:rPr>
        <w:t>2005.  In terms of that agreement, the appellant</w:t>
      </w:r>
      <w:r w:rsidR="005A5C13" w:rsidRPr="001F7976">
        <w:rPr>
          <w:rFonts w:ascii="Times New Roman" w:hAnsi="Times New Roman" w:cs="Times New Roman"/>
          <w:sz w:val="24"/>
          <w:szCs w:val="24"/>
        </w:rPr>
        <w:t>s</w:t>
      </w:r>
      <w:r w:rsidR="00665EF1" w:rsidRPr="001F7976">
        <w:rPr>
          <w:rFonts w:ascii="Times New Roman" w:hAnsi="Times New Roman" w:cs="Times New Roman"/>
          <w:sz w:val="24"/>
          <w:szCs w:val="24"/>
        </w:rPr>
        <w:t xml:space="preserve"> w</w:t>
      </w:r>
      <w:r w:rsidR="005A5C13" w:rsidRPr="001F7976">
        <w:rPr>
          <w:rFonts w:ascii="Times New Roman" w:hAnsi="Times New Roman" w:cs="Times New Roman"/>
          <w:sz w:val="24"/>
          <w:szCs w:val="24"/>
        </w:rPr>
        <w:t>ere</w:t>
      </w:r>
      <w:r w:rsidR="00665EF1" w:rsidRPr="001F7976">
        <w:rPr>
          <w:rFonts w:ascii="Times New Roman" w:hAnsi="Times New Roman" w:cs="Times New Roman"/>
          <w:sz w:val="24"/>
          <w:szCs w:val="24"/>
        </w:rPr>
        <w:t xml:space="preserve"> required to provide </w:t>
      </w:r>
      <w:r w:rsidR="00665EF1" w:rsidRPr="001F7976">
        <w:rPr>
          <w:rFonts w:ascii="Times New Roman" w:hAnsi="Times New Roman" w:cs="Times New Roman"/>
          <w:sz w:val="24"/>
          <w:szCs w:val="24"/>
        </w:rPr>
        <w:lastRenderedPageBreak/>
        <w:t>architectural services namely to make town planning applications for special consent</w:t>
      </w:r>
      <w:r w:rsidR="00AD3064" w:rsidRPr="001F7976">
        <w:rPr>
          <w:rFonts w:ascii="Times New Roman" w:hAnsi="Times New Roman" w:cs="Times New Roman"/>
          <w:sz w:val="24"/>
          <w:szCs w:val="24"/>
        </w:rPr>
        <w:t>, demolitions, alterations and additions to the maternity hospital.</w:t>
      </w:r>
    </w:p>
    <w:p w:rsidR="00AD3064" w:rsidRPr="001F7976" w:rsidRDefault="00AD3064"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In terms of Clause 2 of the written agreement of the parties:</w:t>
      </w:r>
    </w:p>
    <w:p w:rsidR="00235A61" w:rsidRPr="001F7976" w:rsidRDefault="00AD3064" w:rsidP="008E3494">
      <w:pPr>
        <w:spacing w:after="0" w:line="240" w:lineRule="auto"/>
        <w:ind w:left="1134" w:hanging="567"/>
        <w:jc w:val="both"/>
        <w:rPr>
          <w:rFonts w:ascii="Times New Roman" w:hAnsi="Times New Roman" w:cs="Times New Roman"/>
          <w:sz w:val="24"/>
          <w:szCs w:val="24"/>
        </w:rPr>
      </w:pPr>
      <w:r w:rsidRPr="001F7976">
        <w:rPr>
          <w:rFonts w:ascii="Times New Roman" w:hAnsi="Times New Roman" w:cs="Times New Roman"/>
          <w:sz w:val="24"/>
          <w:szCs w:val="24"/>
        </w:rPr>
        <w:t>“The client will pay the Architect for these services on th</w:t>
      </w:r>
      <w:r w:rsidR="00235A61" w:rsidRPr="001F7976">
        <w:rPr>
          <w:rFonts w:ascii="Times New Roman" w:hAnsi="Times New Roman" w:cs="Times New Roman"/>
          <w:sz w:val="24"/>
          <w:szCs w:val="24"/>
        </w:rPr>
        <w:t>e following basis (as indicated</w:t>
      </w:r>
    </w:p>
    <w:p w:rsidR="00AD3064" w:rsidRPr="001F7976" w:rsidRDefault="00235A61" w:rsidP="008E3494">
      <w:pPr>
        <w:spacing w:after="0" w:line="240" w:lineRule="auto"/>
        <w:ind w:left="1134" w:hanging="567"/>
        <w:jc w:val="both"/>
        <w:rPr>
          <w:rFonts w:ascii="Times New Roman" w:hAnsi="Times New Roman" w:cs="Times New Roman"/>
          <w:sz w:val="24"/>
          <w:szCs w:val="24"/>
        </w:rPr>
      </w:pPr>
      <w:r w:rsidRPr="001F7976">
        <w:rPr>
          <w:rFonts w:ascii="Times New Roman" w:hAnsi="Times New Roman" w:cs="Times New Roman"/>
          <w:sz w:val="24"/>
          <w:szCs w:val="24"/>
        </w:rPr>
        <w:t xml:space="preserve"> </w:t>
      </w:r>
      <w:r w:rsidR="00AD3064" w:rsidRPr="001F7976">
        <w:rPr>
          <w:rFonts w:ascii="Times New Roman" w:hAnsi="Times New Roman" w:cs="Times New Roman"/>
          <w:sz w:val="24"/>
          <w:szCs w:val="24"/>
        </w:rPr>
        <w:t>in the schedule):</w:t>
      </w:r>
    </w:p>
    <w:p w:rsidR="00AD3064" w:rsidRPr="001F7976" w:rsidRDefault="005A5C13" w:rsidP="008E3494">
      <w:pPr>
        <w:spacing w:after="0" w:line="240" w:lineRule="auto"/>
        <w:ind w:left="567"/>
        <w:jc w:val="both"/>
        <w:rPr>
          <w:rFonts w:ascii="Times New Roman" w:hAnsi="Times New Roman" w:cs="Times New Roman"/>
          <w:sz w:val="24"/>
          <w:szCs w:val="24"/>
        </w:rPr>
      </w:pPr>
      <w:r w:rsidRPr="001F7976">
        <w:rPr>
          <w:rFonts w:ascii="Times New Roman" w:hAnsi="Times New Roman" w:cs="Times New Roman"/>
          <w:sz w:val="24"/>
          <w:szCs w:val="24"/>
        </w:rPr>
        <w:t>As per Statutory Instrument S.I</w:t>
      </w:r>
      <w:r w:rsidR="00AD3064" w:rsidRPr="001F7976">
        <w:rPr>
          <w:rFonts w:ascii="Times New Roman" w:hAnsi="Times New Roman" w:cs="Times New Roman"/>
          <w:sz w:val="24"/>
          <w:szCs w:val="24"/>
        </w:rPr>
        <w:t xml:space="preserve"> (sic</w:t>
      </w:r>
      <w:r w:rsidR="001C0756" w:rsidRPr="001F7976">
        <w:rPr>
          <w:rFonts w:ascii="Times New Roman" w:hAnsi="Times New Roman" w:cs="Times New Roman"/>
          <w:sz w:val="24"/>
          <w:szCs w:val="24"/>
        </w:rPr>
        <w:t xml:space="preserve">) 829 of 1980 </w:t>
      </w:r>
      <w:r w:rsidRPr="001F7976">
        <w:rPr>
          <w:rFonts w:ascii="Times New Roman" w:hAnsi="Times New Roman" w:cs="Times New Roman"/>
          <w:sz w:val="24"/>
          <w:szCs w:val="24"/>
        </w:rPr>
        <w:t>as amended by S.I</w:t>
      </w:r>
      <w:r w:rsidR="00AD3064" w:rsidRPr="001F7976">
        <w:rPr>
          <w:rFonts w:ascii="Times New Roman" w:hAnsi="Times New Roman" w:cs="Times New Roman"/>
          <w:sz w:val="24"/>
          <w:szCs w:val="24"/>
        </w:rPr>
        <w:t>. 426 of 1999 second and third schedules</w:t>
      </w:r>
      <w:r w:rsidR="00BE740D" w:rsidRPr="001F7976">
        <w:rPr>
          <w:rFonts w:ascii="Times New Roman" w:hAnsi="Times New Roman" w:cs="Times New Roman"/>
          <w:sz w:val="24"/>
          <w:szCs w:val="24"/>
        </w:rPr>
        <w:t>)</w:t>
      </w:r>
      <w:r w:rsidR="00AD3064" w:rsidRPr="001F7976">
        <w:rPr>
          <w:rFonts w:ascii="Times New Roman" w:hAnsi="Times New Roman" w:cs="Times New Roman"/>
          <w:sz w:val="24"/>
          <w:szCs w:val="24"/>
        </w:rPr>
        <w:t xml:space="preserve"> for Hospitals, Nursing Homes, Clinics and Laboratory Complexes and for alterations and additions to existing buildings.  Architect’s fees shall be calculated using Quantity Surveyor’s latest valuations which are not more than 14 (fourteen) days old. The fees shall be calculated in accordance with </w:t>
      </w:r>
      <w:r w:rsidR="00BD1067" w:rsidRPr="001F7976">
        <w:rPr>
          <w:rFonts w:ascii="Times New Roman" w:hAnsi="Times New Roman" w:cs="Times New Roman"/>
          <w:sz w:val="24"/>
          <w:szCs w:val="24"/>
        </w:rPr>
        <w:t>the provisions of second and third schedules on the percentage of the estimated cost of the works and adjusted according</w:t>
      </w:r>
      <w:r w:rsidRPr="001F7976">
        <w:rPr>
          <w:rFonts w:ascii="Times New Roman" w:hAnsi="Times New Roman" w:cs="Times New Roman"/>
          <w:sz w:val="24"/>
          <w:szCs w:val="24"/>
        </w:rPr>
        <w:t>ly</w:t>
      </w:r>
      <w:r w:rsidR="00BD1067" w:rsidRPr="001F7976">
        <w:rPr>
          <w:rFonts w:ascii="Times New Roman" w:hAnsi="Times New Roman" w:cs="Times New Roman"/>
          <w:sz w:val="24"/>
          <w:szCs w:val="24"/>
        </w:rPr>
        <w:t xml:space="preserve"> at the end of the contract.  Date on the fee note to be within 14 (fourteen) </w:t>
      </w:r>
      <w:r w:rsidRPr="001F7976">
        <w:rPr>
          <w:rFonts w:ascii="Times New Roman" w:hAnsi="Times New Roman" w:cs="Times New Roman"/>
          <w:sz w:val="24"/>
          <w:szCs w:val="24"/>
        </w:rPr>
        <w:t xml:space="preserve">days </w:t>
      </w:r>
      <w:r w:rsidR="00BD1067" w:rsidRPr="001F7976">
        <w:rPr>
          <w:rFonts w:ascii="Times New Roman" w:hAnsi="Times New Roman" w:cs="Times New Roman"/>
          <w:sz w:val="24"/>
          <w:szCs w:val="24"/>
        </w:rPr>
        <w:t>of Quantity surveyor’s valuation.”</w:t>
      </w:r>
    </w:p>
    <w:p w:rsidR="00E02F75" w:rsidRPr="001F7976" w:rsidRDefault="00E02F75" w:rsidP="008E3494">
      <w:pPr>
        <w:spacing w:after="0" w:line="240" w:lineRule="auto"/>
        <w:ind w:left="1134"/>
        <w:jc w:val="both"/>
        <w:rPr>
          <w:rFonts w:ascii="Times New Roman" w:hAnsi="Times New Roman" w:cs="Times New Roman"/>
          <w:sz w:val="24"/>
          <w:szCs w:val="24"/>
        </w:rPr>
      </w:pPr>
    </w:p>
    <w:p w:rsidR="00BD1067" w:rsidRPr="001F7976" w:rsidRDefault="00BD1067" w:rsidP="008E3494">
      <w:pPr>
        <w:spacing w:after="0" w:line="480" w:lineRule="auto"/>
        <w:jc w:val="both"/>
        <w:rPr>
          <w:rFonts w:ascii="Times New Roman" w:hAnsi="Times New Roman" w:cs="Times New Roman"/>
          <w:sz w:val="24"/>
          <w:szCs w:val="24"/>
        </w:rPr>
      </w:pPr>
    </w:p>
    <w:p w:rsidR="00BD1067" w:rsidRPr="001F7976" w:rsidRDefault="00BD1067"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I have repro</w:t>
      </w:r>
      <w:r w:rsidR="005A5C13" w:rsidRPr="001F7976">
        <w:rPr>
          <w:rFonts w:ascii="Times New Roman" w:hAnsi="Times New Roman" w:cs="Times New Roman"/>
          <w:sz w:val="24"/>
          <w:szCs w:val="24"/>
        </w:rPr>
        <w:t>duce</w:t>
      </w:r>
      <w:r w:rsidRPr="001F7976">
        <w:rPr>
          <w:rFonts w:ascii="Times New Roman" w:hAnsi="Times New Roman" w:cs="Times New Roman"/>
          <w:sz w:val="24"/>
          <w:szCs w:val="24"/>
        </w:rPr>
        <w:t xml:space="preserve">d the above clause governing the payment of architectural fees </w:t>
      </w:r>
      <w:r w:rsidRPr="001F7976">
        <w:rPr>
          <w:rFonts w:ascii="Times New Roman" w:hAnsi="Times New Roman" w:cs="Times New Roman"/>
          <w:i/>
          <w:sz w:val="24"/>
          <w:szCs w:val="24"/>
        </w:rPr>
        <w:t>verbatim</w:t>
      </w:r>
      <w:r w:rsidRPr="001F7976">
        <w:rPr>
          <w:rFonts w:ascii="Times New Roman" w:hAnsi="Times New Roman" w:cs="Times New Roman"/>
          <w:sz w:val="24"/>
          <w:szCs w:val="24"/>
        </w:rPr>
        <w:t xml:space="preserve"> because it is key to the determination of the dispute which later arose between the parties and forms the basis of the present appeal.  On 6 December 2006 the appellant</w:t>
      </w:r>
      <w:r w:rsidR="005A5C13" w:rsidRPr="001F7976">
        <w:rPr>
          <w:rFonts w:ascii="Times New Roman" w:hAnsi="Times New Roman" w:cs="Times New Roman"/>
          <w:sz w:val="24"/>
          <w:szCs w:val="24"/>
        </w:rPr>
        <w:t>s</w:t>
      </w:r>
      <w:r w:rsidRPr="001F7976">
        <w:rPr>
          <w:rFonts w:ascii="Times New Roman" w:hAnsi="Times New Roman" w:cs="Times New Roman"/>
          <w:sz w:val="24"/>
          <w:szCs w:val="24"/>
        </w:rPr>
        <w:t xml:space="preserve"> submitted a fee note to the respondent for services rendered as at that time in te</w:t>
      </w:r>
      <w:r w:rsidR="005A5C13" w:rsidRPr="001F7976">
        <w:rPr>
          <w:rFonts w:ascii="Times New Roman" w:hAnsi="Times New Roman" w:cs="Times New Roman"/>
          <w:sz w:val="24"/>
          <w:szCs w:val="24"/>
        </w:rPr>
        <w:t>rms of the third schedule to S.I</w:t>
      </w:r>
      <w:r w:rsidRPr="001F7976">
        <w:rPr>
          <w:rFonts w:ascii="Times New Roman" w:hAnsi="Times New Roman" w:cs="Times New Roman"/>
          <w:sz w:val="24"/>
          <w:szCs w:val="24"/>
        </w:rPr>
        <w:t>. 829 of 1980.  The specific services charged for in that fee note were listed from (a) to (e). They are:</w:t>
      </w:r>
    </w:p>
    <w:p w:rsidR="00BD1067" w:rsidRPr="001F7976" w:rsidRDefault="00BD1067" w:rsidP="008E3494">
      <w:pPr>
        <w:spacing w:after="0" w:line="240" w:lineRule="auto"/>
        <w:ind w:firstLine="567"/>
        <w:jc w:val="both"/>
        <w:rPr>
          <w:rFonts w:ascii="Times New Roman" w:hAnsi="Times New Roman" w:cs="Times New Roman"/>
          <w:sz w:val="24"/>
          <w:szCs w:val="24"/>
        </w:rPr>
      </w:pPr>
      <w:r w:rsidRPr="001F7976">
        <w:rPr>
          <w:rFonts w:ascii="Times New Roman" w:hAnsi="Times New Roman" w:cs="Times New Roman"/>
          <w:sz w:val="24"/>
          <w:szCs w:val="24"/>
        </w:rPr>
        <w:t>“a) Taking client’s brief and carrying out special</w:t>
      </w:r>
      <w:r w:rsidR="00235A61" w:rsidRPr="001F7976">
        <w:rPr>
          <w:rFonts w:ascii="Times New Roman" w:hAnsi="Times New Roman" w:cs="Times New Roman"/>
          <w:sz w:val="24"/>
          <w:szCs w:val="24"/>
        </w:rPr>
        <w:t xml:space="preserve"> </w:t>
      </w:r>
      <w:r w:rsidRPr="001F7976">
        <w:rPr>
          <w:rFonts w:ascii="Times New Roman" w:hAnsi="Times New Roman" w:cs="Times New Roman"/>
          <w:sz w:val="24"/>
          <w:szCs w:val="24"/>
        </w:rPr>
        <w:t>tasks.</w:t>
      </w:r>
    </w:p>
    <w:p w:rsidR="00285615" w:rsidRPr="001F7976" w:rsidRDefault="00285615" w:rsidP="008E3494">
      <w:pPr>
        <w:spacing w:after="0" w:line="240" w:lineRule="auto"/>
        <w:ind w:firstLine="1134"/>
        <w:jc w:val="both"/>
        <w:rPr>
          <w:rFonts w:ascii="Times New Roman" w:hAnsi="Times New Roman" w:cs="Times New Roman"/>
          <w:sz w:val="24"/>
          <w:szCs w:val="24"/>
        </w:rPr>
      </w:pPr>
    </w:p>
    <w:p w:rsidR="00235A61" w:rsidRPr="001F7976" w:rsidRDefault="00BD1067" w:rsidP="008E3494">
      <w:pPr>
        <w:spacing w:after="0" w:line="240" w:lineRule="auto"/>
        <w:ind w:firstLine="567"/>
        <w:jc w:val="both"/>
        <w:rPr>
          <w:rFonts w:ascii="Times New Roman" w:hAnsi="Times New Roman" w:cs="Times New Roman"/>
          <w:sz w:val="24"/>
          <w:szCs w:val="24"/>
        </w:rPr>
      </w:pPr>
      <w:r w:rsidRPr="001F7976">
        <w:rPr>
          <w:rFonts w:ascii="Times New Roman" w:hAnsi="Times New Roman" w:cs="Times New Roman"/>
          <w:sz w:val="24"/>
          <w:szCs w:val="24"/>
        </w:rPr>
        <w:t>b) Preliminary design and production of drawings for</w:t>
      </w:r>
      <w:r w:rsidR="00235A61" w:rsidRPr="001F7976">
        <w:rPr>
          <w:rFonts w:ascii="Times New Roman" w:hAnsi="Times New Roman" w:cs="Times New Roman"/>
          <w:sz w:val="24"/>
          <w:szCs w:val="24"/>
        </w:rPr>
        <w:t xml:space="preserve"> </w:t>
      </w:r>
      <w:r w:rsidR="000121FF" w:rsidRPr="001F7976">
        <w:rPr>
          <w:rFonts w:ascii="Times New Roman" w:hAnsi="Times New Roman" w:cs="Times New Roman"/>
          <w:sz w:val="24"/>
          <w:szCs w:val="24"/>
        </w:rPr>
        <w:t>purpose of application to City of</w:t>
      </w:r>
    </w:p>
    <w:p w:rsidR="00235A61" w:rsidRPr="001F7976" w:rsidRDefault="00235A61" w:rsidP="008E3494">
      <w:pPr>
        <w:spacing w:after="0" w:line="240" w:lineRule="auto"/>
        <w:ind w:firstLine="567"/>
        <w:jc w:val="both"/>
        <w:rPr>
          <w:rFonts w:ascii="Times New Roman" w:hAnsi="Times New Roman" w:cs="Times New Roman"/>
          <w:sz w:val="24"/>
          <w:szCs w:val="24"/>
        </w:rPr>
      </w:pPr>
      <w:r w:rsidRPr="001F7976">
        <w:rPr>
          <w:rFonts w:ascii="Times New Roman" w:hAnsi="Times New Roman" w:cs="Times New Roman"/>
          <w:sz w:val="24"/>
          <w:szCs w:val="24"/>
        </w:rPr>
        <w:t xml:space="preserve">   </w:t>
      </w:r>
      <w:r w:rsidR="000121FF" w:rsidRPr="001F7976">
        <w:rPr>
          <w:rFonts w:ascii="Times New Roman" w:hAnsi="Times New Roman" w:cs="Times New Roman"/>
          <w:sz w:val="24"/>
          <w:szCs w:val="24"/>
        </w:rPr>
        <w:t xml:space="preserve"> Harare for</w:t>
      </w:r>
      <w:r w:rsidRPr="001F7976">
        <w:rPr>
          <w:rFonts w:ascii="Times New Roman" w:hAnsi="Times New Roman" w:cs="Times New Roman"/>
          <w:sz w:val="24"/>
          <w:szCs w:val="24"/>
        </w:rPr>
        <w:t xml:space="preserve"> </w:t>
      </w:r>
      <w:r w:rsidR="000121FF" w:rsidRPr="001F7976">
        <w:rPr>
          <w:rFonts w:ascii="Times New Roman" w:hAnsi="Times New Roman" w:cs="Times New Roman"/>
          <w:sz w:val="24"/>
          <w:szCs w:val="24"/>
        </w:rPr>
        <w:t>planning permission to build a two and three storey</w:t>
      </w:r>
      <w:r w:rsidRPr="001F7976">
        <w:rPr>
          <w:rFonts w:ascii="Times New Roman" w:hAnsi="Times New Roman" w:cs="Times New Roman"/>
          <w:sz w:val="24"/>
          <w:szCs w:val="24"/>
        </w:rPr>
        <w:t xml:space="preserve"> </w:t>
      </w:r>
      <w:r w:rsidR="000121FF" w:rsidRPr="001F7976">
        <w:rPr>
          <w:rFonts w:ascii="Times New Roman" w:hAnsi="Times New Roman" w:cs="Times New Roman"/>
          <w:sz w:val="24"/>
          <w:szCs w:val="24"/>
        </w:rPr>
        <w:t xml:space="preserve">addition and alteration </w:t>
      </w:r>
    </w:p>
    <w:p w:rsidR="00235A61" w:rsidRPr="001F7976" w:rsidRDefault="00235A61" w:rsidP="008E3494">
      <w:pPr>
        <w:spacing w:after="0" w:line="240" w:lineRule="auto"/>
        <w:ind w:firstLine="567"/>
        <w:jc w:val="both"/>
        <w:rPr>
          <w:rFonts w:ascii="Times New Roman" w:hAnsi="Times New Roman" w:cs="Times New Roman"/>
          <w:sz w:val="24"/>
          <w:szCs w:val="24"/>
        </w:rPr>
      </w:pPr>
      <w:r w:rsidRPr="001F7976">
        <w:rPr>
          <w:rFonts w:ascii="Times New Roman" w:hAnsi="Times New Roman" w:cs="Times New Roman"/>
          <w:sz w:val="24"/>
          <w:szCs w:val="24"/>
        </w:rPr>
        <w:t xml:space="preserve">    </w:t>
      </w:r>
      <w:r w:rsidR="000121FF" w:rsidRPr="001F7976">
        <w:rPr>
          <w:rFonts w:ascii="Times New Roman" w:hAnsi="Times New Roman" w:cs="Times New Roman"/>
          <w:sz w:val="24"/>
          <w:szCs w:val="24"/>
        </w:rPr>
        <w:t>to Belvedere Maternity</w:t>
      </w:r>
      <w:r w:rsidRPr="001F7976">
        <w:rPr>
          <w:rFonts w:ascii="Times New Roman" w:hAnsi="Times New Roman" w:cs="Times New Roman"/>
          <w:sz w:val="24"/>
          <w:szCs w:val="24"/>
        </w:rPr>
        <w:t xml:space="preserve"> </w:t>
      </w:r>
      <w:r w:rsidR="000121FF" w:rsidRPr="001F7976">
        <w:rPr>
          <w:rFonts w:ascii="Times New Roman" w:hAnsi="Times New Roman" w:cs="Times New Roman"/>
          <w:sz w:val="24"/>
          <w:szCs w:val="24"/>
        </w:rPr>
        <w:t>Hospital on Stand 6803, Salisbury Township and following up</w:t>
      </w:r>
    </w:p>
    <w:p w:rsidR="00BD1067" w:rsidRPr="001F7976" w:rsidRDefault="00235A61" w:rsidP="008E3494">
      <w:pPr>
        <w:spacing w:after="0" w:line="240" w:lineRule="auto"/>
        <w:ind w:firstLine="567"/>
        <w:jc w:val="both"/>
        <w:rPr>
          <w:rFonts w:ascii="Times New Roman" w:hAnsi="Times New Roman" w:cs="Times New Roman"/>
          <w:sz w:val="24"/>
          <w:szCs w:val="24"/>
        </w:rPr>
      </w:pPr>
      <w:r w:rsidRPr="001F7976">
        <w:rPr>
          <w:rFonts w:ascii="Times New Roman" w:hAnsi="Times New Roman" w:cs="Times New Roman"/>
          <w:sz w:val="24"/>
          <w:szCs w:val="24"/>
        </w:rPr>
        <w:t xml:space="preserve">   </w:t>
      </w:r>
      <w:r w:rsidR="000121FF" w:rsidRPr="001F7976">
        <w:rPr>
          <w:rFonts w:ascii="Times New Roman" w:hAnsi="Times New Roman" w:cs="Times New Roman"/>
          <w:sz w:val="24"/>
          <w:szCs w:val="24"/>
        </w:rPr>
        <w:t xml:space="preserve"> and liaising with City of Harare as per</w:t>
      </w:r>
      <w:r w:rsidRPr="001F7976">
        <w:rPr>
          <w:rFonts w:ascii="Times New Roman" w:hAnsi="Times New Roman" w:cs="Times New Roman"/>
          <w:sz w:val="24"/>
          <w:szCs w:val="24"/>
        </w:rPr>
        <w:t xml:space="preserve"> </w:t>
      </w:r>
      <w:r w:rsidR="000121FF" w:rsidRPr="001F7976">
        <w:rPr>
          <w:rFonts w:ascii="Times New Roman" w:hAnsi="Times New Roman" w:cs="Times New Roman"/>
          <w:sz w:val="24"/>
          <w:szCs w:val="24"/>
        </w:rPr>
        <w:t>client’s instruction.</w:t>
      </w:r>
    </w:p>
    <w:p w:rsidR="000121FF" w:rsidRPr="001F7976" w:rsidRDefault="000121FF" w:rsidP="008E3494">
      <w:pPr>
        <w:spacing w:after="0" w:line="240" w:lineRule="auto"/>
        <w:ind w:firstLine="567"/>
        <w:jc w:val="both"/>
        <w:rPr>
          <w:rFonts w:ascii="Times New Roman" w:hAnsi="Times New Roman" w:cs="Times New Roman"/>
          <w:sz w:val="24"/>
          <w:szCs w:val="24"/>
        </w:rPr>
      </w:pPr>
      <w:r w:rsidRPr="001F7976">
        <w:rPr>
          <w:rFonts w:ascii="Times New Roman" w:hAnsi="Times New Roman" w:cs="Times New Roman"/>
          <w:sz w:val="24"/>
          <w:szCs w:val="24"/>
        </w:rPr>
        <w:t>c) Measuring and production of drawings of the existing</w:t>
      </w:r>
      <w:r w:rsidR="00235A61" w:rsidRPr="001F7976">
        <w:rPr>
          <w:rFonts w:ascii="Times New Roman" w:hAnsi="Times New Roman" w:cs="Times New Roman"/>
          <w:sz w:val="24"/>
          <w:szCs w:val="24"/>
        </w:rPr>
        <w:t xml:space="preserve"> </w:t>
      </w:r>
      <w:r w:rsidRPr="001F7976">
        <w:rPr>
          <w:rFonts w:ascii="Times New Roman" w:hAnsi="Times New Roman" w:cs="Times New Roman"/>
          <w:sz w:val="24"/>
          <w:szCs w:val="24"/>
        </w:rPr>
        <w:t>Hospital.</w:t>
      </w:r>
    </w:p>
    <w:p w:rsidR="00285615" w:rsidRPr="001F7976" w:rsidRDefault="00285615" w:rsidP="008E3494">
      <w:pPr>
        <w:spacing w:after="0" w:line="240" w:lineRule="auto"/>
        <w:ind w:left="1134"/>
        <w:jc w:val="both"/>
        <w:rPr>
          <w:rFonts w:ascii="Times New Roman" w:hAnsi="Times New Roman" w:cs="Times New Roman"/>
          <w:sz w:val="24"/>
          <w:szCs w:val="24"/>
        </w:rPr>
      </w:pPr>
    </w:p>
    <w:p w:rsidR="00235A61" w:rsidRPr="001F7976" w:rsidRDefault="000121FF" w:rsidP="008E3494">
      <w:pPr>
        <w:spacing w:after="0" w:line="240" w:lineRule="auto"/>
        <w:ind w:firstLine="567"/>
        <w:jc w:val="both"/>
        <w:rPr>
          <w:rFonts w:ascii="Times New Roman" w:hAnsi="Times New Roman" w:cs="Times New Roman"/>
          <w:sz w:val="24"/>
          <w:szCs w:val="24"/>
        </w:rPr>
      </w:pPr>
      <w:r w:rsidRPr="001F7976">
        <w:rPr>
          <w:rFonts w:ascii="Times New Roman" w:hAnsi="Times New Roman" w:cs="Times New Roman"/>
          <w:sz w:val="24"/>
          <w:szCs w:val="24"/>
        </w:rPr>
        <w:t>d) Advising client on engagement of, liaison with and</w:t>
      </w:r>
      <w:r w:rsidR="00235A61" w:rsidRPr="001F7976">
        <w:rPr>
          <w:rFonts w:ascii="Times New Roman" w:hAnsi="Times New Roman" w:cs="Times New Roman"/>
          <w:sz w:val="24"/>
          <w:szCs w:val="24"/>
        </w:rPr>
        <w:t xml:space="preserve"> </w:t>
      </w:r>
      <w:r w:rsidRPr="001F7976">
        <w:rPr>
          <w:rFonts w:ascii="Times New Roman" w:hAnsi="Times New Roman" w:cs="Times New Roman"/>
          <w:sz w:val="24"/>
          <w:szCs w:val="24"/>
        </w:rPr>
        <w:t>co-ordination of other specialist</w:t>
      </w:r>
    </w:p>
    <w:p w:rsidR="00235A61" w:rsidRPr="001F7976" w:rsidRDefault="00235A61" w:rsidP="008E3494">
      <w:pPr>
        <w:spacing w:after="0" w:line="240" w:lineRule="auto"/>
        <w:ind w:firstLine="567"/>
        <w:jc w:val="both"/>
        <w:rPr>
          <w:rFonts w:ascii="Times New Roman" w:hAnsi="Times New Roman" w:cs="Times New Roman"/>
          <w:sz w:val="24"/>
          <w:szCs w:val="24"/>
        </w:rPr>
      </w:pPr>
      <w:r w:rsidRPr="001F7976">
        <w:rPr>
          <w:rFonts w:ascii="Times New Roman" w:hAnsi="Times New Roman" w:cs="Times New Roman"/>
          <w:sz w:val="24"/>
          <w:szCs w:val="24"/>
        </w:rPr>
        <w:t xml:space="preserve">   </w:t>
      </w:r>
      <w:r w:rsidR="000121FF" w:rsidRPr="001F7976">
        <w:rPr>
          <w:rFonts w:ascii="Times New Roman" w:hAnsi="Times New Roman" w:cs="Times New Roman"/>
          <w:sz w:val="24"/>
          <w:szCs w:val="24"/>
        </w:rPr>
        <w:t xml:space="preserve"> consultants, i.e.</w:t>
      </w:r>
      <w:r w:rsidRPr="001F7976">
        <w:rPr>
          <w:rFonts w:ascii="Times New Roman" w:hAnsi="Times New Roman" w:cs="Times New Roman"/>
          <w:sz w:val="24"/>
          <w:szCs w:val="24"/>
        </w:rPr>
        <w:t xml:space="preserve"> </w:t>
      </w:r>
      <w:r w:rsidR="000121FF" w:rsidRPr="001F7976">
        <w:rPr>
          <w:rFonts w:ascii="Times New Roman" w:hAnsi="Times New Roman" w:cs="Times New Roman"/>
          <w:sz w:val="24"/>
          <w:szCs w:val="24"/>
        </w:rPr>
        <w:t xml:space="preserve">Planning Surveyors, Topographical Surveyors, Structural and Civils, </w:t>
      </w:r>
    </w:p>
    <w:p w:rsidR="00235A61" w:rsidRPr="001F7976" w:rsidRDefault="00235A61" w:rsidP="008E3494">
      <w:pPr>
        <w:spacing w:after="0" w:line="240" w:lineRule="auto"/>
        <w:ind w:firstLine="567"/>
        <w:jc w:val="both"/>
        <w:rPr>
          <w:rFonts w:ascii="Times New Roman" w:hAnsi="Times New Roman" w:cs="Times New Roman"/>
          <w:sz w:val="24"/>
          <w:szCs w:val="24"/>
        </w:rPr>
      </w:pPr>
      <w:r w:rsidRPr="001F7976">
        <w:rPr>
          <w:rFonts w:ascii="Times New Roman" w:hAnsi="Times New Roman" w:cs="Times New Roman"/>
          <w:sz w:val="24"/>
          <w:szCs w:val="24"/>
        </w:rPr>
        <w:t xml:space="preserve">    </w:t>
      </w:r>
      <w:r w:rsidR="000121FF" w:rsidRPr="001F7976">
        <w:rPr>
          <w:rFonts w:ascii="Times New Roman" w:hAnsi="Times New Roman" w:cs="Times New Roman"/>
          <w:sz w:val="24"/>
          <w:szCs w:val="24"/>
        </w:rPr>
        <w:t xml:space="preserve">Electrical and Mechanical and Quantity Surveyors on behalf of client for purposes of </w:t>
      </w:r>
    </w:p>
    <w:p w:rsidR="000121FF" w:rsidRPr="001F7976" w:rsidRDefault="00235A61" w:rsidP="008E3494">
      <w:pPr>
        <w:spacing w:after="0" w:line="240" w:lineRule="auto"/>
        <w:ind w:firstLine="567"/>
        <w:jc w:val="both"/>
        <w:rPr>
          <w:rFonts w:ascii="Times New Roman" w:hAnsi="Times New Roman" w:cs="Times New Roman"/>
          <w:sz w:val="24"/>
          <w:szCs w:val="24"/>
        </w:rPr>
      </w:pPr>
      <w:r w:rsidRPr="001F7976">
        <w:rPr>
          <w:rFonts w:ascii="Times New Roman" w:hAnsi="Times New Roman" w:cs="Times New Roman"/>
          <w:sz w:val="24"/>
          <w:szCs w:val="24"/>
        </w:rPr>
        <w:t xml:space="preserve">    </w:t>
      </w:r>
      <w:r w:rsidR="000121FF" w:rsidRPr="001F7976">
        <w:rPr>
          <w:rFonts w:ascii="Times New Roman" w:hAnsi="Times New Roman" w:cs="Times New Roman"/>
          <w:sz w:val="24"/>
          <w:szCs w:val="24"/>
        </w:rPr>
        <w:t>production of budget estimates for planning purposes.</w:t>
      </w:r>
    </w:p>
    <w:p w:rsidR="00285615" w:rsidRPr="001F7976" w:rsidRDefault="00285615" w:rsidP="008E3494">
      <w:pPr>
        <w:spacing w:after="0" w:line="240" w:lineRule="auto"/>
        <w:ind w:left="1134"/>
        <w:jc w:val="both"/>
        <w:rPr>
          <w:rFonts w:ascii="Times New Roman" w:hAnsi="Times New Roman" w:cs="Times New Roman"/>
          <w:sz w:val="24"/>
          <w:szCs w:val="24"/>
        </w:rPr>
      </w:pPr>
    </w:p>
    <w:p w:rsidR="00235A61" w:rsidRPr="001F7976" w:rsidRDefault="00285615" w:rsidP="008E3494">
      <w:pPr>
        <w:spacing w:after="0" w:line="240" w:lineRule="auto"/>
        <w:ind w:firstLine="567"/>
        <w:jc w:val="both"/>
        <w:rPr>
          <w:rFonts w:ascii="Times New Roman" w:hAnsi="Times New Roman" w:cs="Times New Roman"/>
          <w:sz w:val="24"/>
          <w:szCs w:val="24"/>
        </w:rPr>
      </w:pPr>
      <w:r w:rsidRPr="001F7976">
        <w:rPr>
          <w:rFonts w:ascii="Times New Roman" w:hAnsi="Times New Roman" w:cs="Times New Roman"/>
          <w:sz w:val="24"/>
          <w:szCs w:val="24"/>
        </w:rPr>
        <w:t>e)</w:t>
      </w:r>
      <w:r w:rsidR="00235A61" w:rsidRPr="001F7976">
        <w:rPr>
          <w:rFonts w:ascii="Times New Roman" w:hAnsi="Times New Roman" w:cs="Times New Roman"/>
          <w:sz w:val="24"/>
          <w:szCs w:val="24"/>
        </w:rPr>
        <w:t> </w:t>
      </w:r>
      <w:r w:rsidRPr="001F7976">
        <w:rPr>
          <w:rFonts w:ascii="Times New Roman" w:hAnsi="Times New Roman" w:cs="Times New Roman"/>
          <w:sz w:val="24"/>
          <w:szCs w:val="24"/>
        </w:rPr>
        <w:t>Attending numerous design and design development</w:t>
      </w:r>
      <w:r w:rsidR="00235A61" w:rsidRPr="001F7976">
        <w:rPr>
          <w:rFonts w:ascii="Times New Roman" w:hAnsi="Times New Roman" w:cs="Times New Roman"/>
          <w:sz w:val="24"/>
          <w:szCs w:val="24"/>
        </w:rPr>
        <w:t xml:space="preserve"> </w:t>
      </w:r>
      <w:r w:rsidRPr="001F7976">
        <w:rPr>
          <w:rFonts w:ascii="Times New Roman" w:hAnsi="Times New Roman" w:cs="Times New Roman"/>
          <w:sz w:val="24"/>
          <w:szCs w:val="24"/>
        </w:rPr>
        <w:t>meetings, and culminating in</w:t>
      </w:r>
    </w:p>
    <w:p w:rsidR="00235A61" w:rsidRPr="001F7976" w:rsidRDefault="00235A61" w:rsidP="008E3494">
      <w:pPr>
        <w:spacing w:after="0" w:line="240" w:lineRule="auto"/>
        <w:ind w:firstLine="567"/>
        <w:jc w:val="both"/>
        <w:rPr>
          <w:rFonts w:ascii="Times New Roman" w:hAnsi="Times New Roman" w:cs="Times New Roman"/>
          <w:sz w:val="24"/>
          <w:szCs w:val="24"/>
        </w:rPr>
      </w:pPr>
      <w:r w:rsidRPr="001F7976">
        <w:rPr>
          <w:rFonts w:ascii="Times New Roman" w:hAnsi="Times New Roman" w:cs="Times New Roman"/>
          <w:sz w:val="24"/>
          <w:szCs w:val="24"/>
        </w:rPr>
        <w:t xml:space="preserve">  </w:t>
      </w:r>
      <w:r w:rsidR="00285615" w:rsidRPr="001F7976">
        <w:rPr>
          <w:rFonts w:ascii="Times New Roman" w:hAnsi="Times New Roman" w:cs="Times New Roman"/>
          <w:sz w:val="24"/>
          <w:szCs w:val="24"/>
        </w:rPr>
        <w:t xml:space="preserve"> </w:t>
      </w:r>
      <w:r w:rsidRPr="001F7976">
        <w:rPr>
          <w:rFonts w:ascii="Times New Roman" w:hAnsi="Times New Roman" w:cs="Times New Roman"/>
          <w:sz w:val="24"/>
          <w:szCs w:val="24"/>
        </w:rPr>
        <w:t xml:space="preserve"> </w:t>
      </w:r>
      <w:r w:rsidR="00285615" w:rsidRPr="001F7976">
        <w:rPr>
          <w:rFonts w:ascii="Times New Roman" w:hAnsi="Times New Roman" w:cs="Times New Roman"/>
          <w:sz w:val="24"/>
          <w:szCs w:val="24"/>
        </w:rPr>
        <w:t>submission of new design changes to Dr Zvandasara, Mrs L. Chitemerere and Matron</w:t>
      </w:r>
    </w:p>
    <w:p w:rsidR="00285615" w:rsidRPr="001F7976" w:rsidRDefault="00235A61" w:rsidP="008E3494">
      <w:pPr>
        <w:spacing w:after="0" w:line="240" w:lineRule="auto"/>
        <w:ind w:firstLine="567"/>
        <w:jc w:val="both"/>
        <w:rPr>
          <w:rFonts w:ascii="Times New Roman" w:hAnsi="Times New Roman" w:cs="Times New Roman"/>
          <w:sz w:val="24"/>
          <w:szCs w:val="24"/>
        </w:rPr>
      </w:pPr>
      <w:r w:rsidRPr="001F7976">
        <w:rPr>
          <w:rFonts w:ascii="Times New Roman" w:hAnsi="Times New Roman" w:cs="Times New Roman"/>
          <w:sz w:val="24"/>
          <w:szCs w:val="24"/>
        </w:rPr>
        <w:t xml:space="preserve">   </w:t>
      </w:r>
      <w:r w:rsidR="00285615" w:rsidRPr="001F7976">
        <w:rPr>
          <w:rFonts w:ascii="Times New Roman" w:hAnsi="Times New Roman" w:cs="Times New Roman"/>
          <w:sz w:val="24"/>
          <w:szCs w:val="24"/>
        </w:rPr>
        <w:t xml:space="preserve"> Gomba.</w:t>
      </w:r>
      <w:r w:rsidR="005A5C13" w:rsidRPr="001F7976">
        <w:rPr>
          <w:rFonts w:ascii="Times New Roman" w:hAnsi="Times New Roman" w:cs="Times New Roman"/>
          <w:sz w:val="24"/>
          <w:szCs w:val="24"/>
        </w:rPr>
        <w:t>”</w:t>
      </w:r>
    </w:p>
    <w:p w:rsidR="00BD1067" w:rsidRPr="001F7976" w:rsidRDefault="00BD1067" w:rsidP="008E3494">
      <w:pPr>
        <w:spacing w:after="0" w:line="240" w:lineRule="auto"/>
        <w:ind w:firstLine="1134"/>
        <w:jc w:val="both"/>
        <w:rPr>
          <w:rFonts w:ascii="Times New Roman" w:hAnsi="Times New Roman" w:cs="Times New Roman"/>
          <w:sz w:val="24"/>
          <w:szCs w:val="24"/>
        </w:rPr>
      </w:pPr>
    </w:p>
    <w:p w:rsidR="009431BE" w:rsidRPr="001F7976" w:rsidRDefault="009431BE" w:rsidP="008E3494">
      <w:pPr>
        <w:spacing w:after="0" w:line="480" w:lineRule="auto"/>
        <w:ind w:firstLine="1134"/>
        <w:jc w:val="both"/>
        <w:rPr>
          <w:rFonts w:ascii="Times New Roman" w:hAnsi="Times New Roman" w:cs="Times New Roman"/>
          <w:sz w:val="24"/>
          <w:szCs w:val="24"/>
        </w:rPr>
      </w:pPr>
    </w:p>
    <w:p w:rsidR="00265F85" w:rsidRPr="001F7976" w:rsidRDefault="00C14331"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lastRenderedPageBreak/>
        <w:t>It is clear from that fee note that it was based on what was then the current estimated cost of works based on the Quantity Surveyors’ Estimates dated 24 November 2006.  The Architect’s fee was a percentage of that estimate in Zimbabwean currency.  Whether that fee was paid or not, which is not clear from the record, is not material for the resolution of this appeal.  What is pertinent is that</w:t>
      </w:r>
      <w:r w:rsidR="005A5C13" w:rsidRPr="001F7976">
        <w:rPr>
          <w:rFonts w:ascii="Times New Roman" w:hAnsi="Times New Roman" w:cs="Times New Roman"/>
          <w:sz w:val="24"/>
          <w:szCs w:val="24"/>
        </w:rPr>
        <w:t>,</w:t>
      </w:r>
      <w:r w:rsidRPr="001F7976">
        <w:rPr>
          <w:rFonts w:ascii="Times New Roman" w:hAnsi="Times New Roman" w:cs="Times New Roman"/>
          <w:sz w:val="24"/>
          <w:szCs w:val="24"/>
        </w:rPr>
        <w:t xml:space="preserve"> base</w:t>
      </w:r>
      <w:r w:rsidR="005A5C13" w:rsidRPr="001F7976">
        <w:rPr>
          <w:rFonts w:ascii="Times New Roman" w:hAnsi="Times New Roman" w:cs="Times New Roman"/>
          <w:sz w:val="24"/>
          <w:szCs w:val="24"/>
        </w:rPr>
        <w:t>d on the same formula</w:t>
      </w:r>
      <w:r w:rsidRPr="001F7976">
        <w:rPr>
          <w:rFonts w:ascii="Times New Roman" w:hAnsi="Times New Roman" w:cs="Times New Roman"/>
          <w:sz w:val="24"/>
          <w:szCs w:val="24"/>
        </w:rPr>
        <w:t>, the appellant</w:t>
      </w:r>
      <w:r w:rsidR="005A5C13" w:rsidRPr="001F7976">
        <w:rPr>
          <w:rFonts w:ascii="Times New Roman" w:hAnsi="Times New Roman" w:cs="Times New Roman"/>
          <w:sz w:val="24"/>
          <w:szCs w:val="24"/>
        </w:rPr>
        <w:t>s</w:t>
      </w:r>
      <w:r w:rsidRPr="001F7976">
        <w:rPr>
          <w:rFonts w:ascii="Times New Roman" w:hAnsi="Times New Roman" w:cs="Times New Roman"/>
          <w:sz w:val="24"/>
          <w:szCs w:val="24"/>
        </w:rPr>
        <w:t xml:space="preserve"> raised another fee note on 3 August 2010.</w:t>
      </w:r>
    </w:p>
    <w:p w:rsidR="00510D89" w:rsidRPr="001F7976" w:rsidRDefault="00510D89" w:rsidP="008E3494">
      <w:pPr>
        <w:spacing w:after="0" w:line="480" w:lineRule="auto"/>
        <w:ind w:firstLine="1134"/>
        <w:jc w:val="both"/>
        <w:rPr>
          <w:rFonts w:ascii="Times New Roman" w:hAnsi="Times New Roman" w:cs="Times New Roman"/>
          <w:sz w:val="24"/>
          <w:szCs w:val="24"/>
        </w:rPr>
      </w:pPr>
    </w:p>
    <w:p w:rsidR="00265F85" w:rsidRPr="001F7976" w:rsidRDefault="00510D89"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What was charged for at that second stage was set out in bullets in the fee note as:</w:t>
      </w:r>
    </w:p>
    <w:p w:rsidR="00C14331" w:rsidRPr="001F7976" w:rsidRDefault="00C14331" w:rsidP="008E3494">
      <w:pPr>
        <w:spacing w:after="0" w:line="240" w:lineRule="auto"/>
        <w:ind w:firstLine="567"/>
        <w:jc w:val="both"/>
        <w:rPr>
          <w:rFonts w:ascii="Times New Roman" w:hAnsi="Times New Roman" w:cs="Times New Roman"/>
          <w:sz w:val="24"/>
          <w:szCs w:val="24"/>
        </w:rPr>
      </w:pPr>
      <w:r w:rsidRPr="001F7976">
        <w:rPr>
          <w:rFonts w:ascii="Times New Roman" w:hAnsi="Times New Roman" w:cs="Times New Roman"/>
          <w:sz w:val="24"/>
          <w:szCs w:val="24"/>
        </w:rPr>
        <w:t>“Taking client’s brief and developing it.</w:t>
      </w:r>
    </w:p>
    <w:p w:rsidR="00D03BEA" w:rsidRPr="001F7976" w:rsidRDefault="00D03BEA" w:rsidP="008E3494">
      <w:pPr>
        <w:pStyle w:val="ListParagraph"/>
        <w:numPr>
          <w:ilvl w:val="0"/>
          <w:numId w:val="13"/>
        </w:numPr>
        <w:spacing w:after="0" w:line="240" w:lineRule="auto"/>
        <w:jc w:val="both"/>
        <w:rPr>
          <w:rFonts w:ascii="Times New Roman" w:hAnsi="Times New Roman" w:cs="Times New Roman"/>
          <w:sz w:val="24"/>
          <w:szCs w:val="24"/>
        </w:rPr>
      </w:pPr>
      <w:r w:rsidRPr="001F7976">
        <w:rPr>
          <w:rFonts w:ascii="Times New Roman" w:hAnsi="Times New Roman" w:cs="Times New Roman"/>
          <w:sz w:val="24"/>
          <w:szCs w:val="24"/>
        </w:rPr>
        <w:t>Co-ordination of other consultants (Town Planner,</w:t>
      </w:r>
      <w:r w:rsidR="00F477F6" w:rsidRPr="001F7976">
        <w:rPr>
          <w:rFonts w:ascii="Times New Roman" w:hAnsi="Times New Roman" w:cs="Times New Roman"/>
          <w:sz w:val="24"/>
          <w:szCs w:val="24"/>
        </w:rPr>
        <w:t xml:space="preserve"> Engineers &amp; Quantity Surveyors).</w:t>
      </w:r>
    </w:p>
    <w:p w:rsidR="00D03BEA" w:rsidRPr="001F7976" w:rsidRDefault="00D03BEA" w:rsidP="008E3494">
      <w:pPr>
        <w:pStyle w:val="ListParagraph"/>
        <w:spacing w:after="0" w:line="240" w:lineRule="auto"/>
        <w:ind w:left="1854"/>
        <w:jc w:val="both"/>
        <w:rPr>
          <w:rFonts w:ascii="Times New Roman" w:hAnsi="Times New Roman" w:cs="Times New Roman"/>
          <w:sz w:val="24"/>
          <w:szCs w:val="24"/>
        </w:rPr>
      </w:pPr>
    </w:p>
    <w:p w:rsidR="00D03BEA" w:rsidRPr="001F7976" w:rsidRDefault="00D03BEA" w:rsidP="008E3494">
      <w:pPr>
        <w:pStyle w:val="ListParagraph"/>
        <w:numPr>
          <w:ilvl w:val="0"/>
          <w:numId w:val="13"/>
        </w:numPr>
        <w:spacing w:after="0" w:line="240" w:lineRule="auto"/>
        <w:jc w:val="both"/>
        <w:rPr>
          <w:rFonts w:ascii="Times New Roman" w:hAnsi="Times New Roman" w:cs="Times New Roman"/>
          <w:sz w:val="24"/>
          <w:szCs w:val="24"/>
        </w:rPr>
      </w:pPr>
      <w:r w:rsidRPr="001F7976">
        <w:rPr>
          <w:rFonts w:ascii="Times New Roman" w:hAnsi="Times New Roman" w:cs="Times New Roman"/>
          <w:sz w:val="24"/>
          <w:szCs w:val="24"/>
        </w:rPr>
        <w:t>Site Analysis; Analysis of infrastructural Services.</w:t>
      </w:r>
    </w:p>
    <w:p w:rsidR="00D03BEA" w:rsidRPr="001F7976" w:rsidRDefault="00D03BEA" w:rsidP="008E3494">
      <w:pPr>
        <w:spacing w:after="0" w:line="240" w:lineRule="auto"/>
        <w:jc w:val="both"/>
        <w:rPr>
          <w:rFonts w:ascii="Times New Roman" w:hAnsi="Times New Roman" w:cs="Times New Roman"/>
          <w:sz w:val="24"/>
          <w:szCs w:val="24"/>
        </w:rPr>
      </w:pPr>
    </w:p>
    <w:p w:rsidR="00D03BEA" w:rsidRPr="001F7976" w:rsidRDefault="00D03BEA" w:rsidP="008E3494">
      <w:pPr>
        <w:pStyle w:val="ListParagraph"/>
        <w:numPr>
          <w:ilvl w:val="0"/>
          <w:numId w:val="13"/>
        </w:numPr>
        <w:spacing w:after="0" w:line="240" w:lineRule="auto"/>
        <w:jc w:val="both"/>
        <w:rPr>
          <w:rFonts w:ascii="Times New Roman" w:hAnsi="Times New Roman" w:cs="Times New Roman"/>
          <w:sz w:val="24"/>
          <w:szCs w:val="24"/>
        </w:rPr>
      </w:pPr>
      <w:r w:rsidRPr="001F7976">
        <w:rPr>
          <w:rFonts w:ascii="Times New Roman" w:hAnsi="Times New Roman" w:cs="Times New Roman"/>
          <w:sz w:val="24"/>
          <w:szCs w:val="24"/>
        </w:rPr>
        <w:t>Sewage System Capacity Test.</w:t>
      </w:r>
    </w:p>
    <w:p w:rsidR="00D03BEA" w:rsidRPr="001F7976" w:rsidRDefault="00D03BEA" w:rsidP="008E3494">
      <w:pPr>
        <w:pStyle w:val="ListParagraph"/>
        <w:numPr>
          <w:ilvl w:val="0"/>
          <w:numId w:val="13"/>
        </w:numPr>
        <w:spacing w:after="0" w:line="240" w:lineRule="auto"/>
        <w:jc w:val="both"/>
        <w:rPr>
          <w:rFonts w:ascii="Times New Roman" w:hAnsi="Times New Roman" w:cs="Times New Roman"/>
          <w:sz w:val="24"/>
          <w:szCs w:val="24"/>
        </w:rPr>
      </w:pPr>
      <w:r w:rsidRPr="001F7976">
        <w:rPr>
          <w:rFonts w:ascii="Times New Roman" w:hAnsi="Times New Roman" w:cs="Times New Roman"/>
          <w:sz w:val="24"/>
          <w:szCs w:val="24"/>
        </w:rPr>
        <w:t>Advising as to selection and suitability of site and scope of enabling works.</w:t>
      </w:r>
    </w:p>
    <w:p w:rsidR="00D03BEA" w:rsidRPr="001F7976" w:rsidRDefault="00D03BEA" w:rsidP="008E3494">
      <w:pPr>
        <w:pStyle w:val="ListParagraph"/>
        <w:spacing w:after="0" w:line="240" w:lineRule="auto"/>
        <w:ind w:left="1854"/>
        <w:jc w:val="both"/>
        <w:rPr>
          <w:rFonts w:ascii="Times New Roman" w:hAnsi="Times New Roman" w:cs="Times New Roman"/>
          <w:sz w:val="24"/>
          <w:szCs w:val="24"/>
        </w:rPr>
      </w:pPr>
    </w:p>
    <w:p w:rsidR="00D03BEA" w:rsidRPr="001F7976" w:rsidRDefault="00D03BEA" w:rsidP="008E3494">
      <w:pPr>
        <w:pStyle w:val="ListParagraph"/>
        <w:numPr>
          <w:ilvl w:val="0"/>
          <w:numId w:val="13"/>
        </w:numPr>
        <w:spacing w:after="0" w:line="240" w:lineRule="auto"/>
        <w:jc w:val="both"/>
        <w:rPr>
          <w:rFonts w:ascii="Times New Roman" w:hAnsi="Times New Roman" w:cs="Times New Roman"/>
          <w:sz w:val="24"/>
          <w:szCs w:val="24"/>
        </w:rPr>
      </w:pPr>
      <w:r w:rsidRPr="001F7976">
        <w:rPr>
          <w:rFonts w:ascii="Times New Roman" w:hAnsi="Times New Roman" w:cs="Times New Roman"/>
          <w:sz w:val="24"/>
          <w:szCs w:val="24"/>
        </w:rPr>
        <w:t>Production of working drawings, schedules and Contract Documentation.</w:t>
      </w:r>
    </w:p>
    <w:p w:rsidR="00D03BEA" w:rsidRPr="001F7976" w:rsidRDefault="00D03BEA" w:rsidP="008E3494">
      <w:pPr>
        <w:spacing w:after="0" w:line="240" w:lineRule="auto"/>
        <w:jc w:val="both"/>
        <w:rPr>
          <w:rFonts w:ascii="Times New Roman" w:hAnsi="Times New Roman" w:cs="Times New Roman"/>
          <w:sz w:val="24"/>
          <w:szCs w:val="24"/>
        </w:rPr>
      </w:pPr>
    </w:p>
    <w:p w:rsidR="00D03BEA" w:rsidRPr="001F7976" w:rsidRDefault="00D03BEA" w:rsidP="008E3494">
      <w:pPr>
        <w:pStyle w:val="ListParagraph"/>
        <w:numPr>
          <w:ilvl w:val="0"/>
          <w:numId w:val="13"/>
        </w:numPr>
        <w:spacing w:after="0" w:line="240" w:lineRule="auto"/>
        <w:jc w:val="both"/>
        <w:rPr>
          <w:rFonts w:ascii="Times New Roman" w:hAnsi="Times New Roman" w:cs="Times New Roman"/>
          <w:sz w:val="24"/>
          <w:szCs w:val="24"/>
        </w:rPr>
      </w:pPr>
      <w:r w:rsidRPr="001F7976">
        <w:rPr>
          <w:rFonts w:ascii="Times New Roman" w:hAnsi="Times New Roman" w:cs="Times New Roman"/>
          <w:sz w:val="24"/>
          <w:szCs w:val="24"/>
        </w:rPr>
        <w:t xml:space="preserve">Application </w:t>
      </w:r>
      <w:r w:rsidR="005A5C13" w:rsidRPr="001F7976">
        <w:rPr>
          <w:rFonts w:ascii="Times New Roman" w:hAnsi="Times New Roman" w:cs="Times New Roman"/>
          <w:sz w:val="24"/>
          <w:szCs w:val="24"/>
        </w:rPr>
        <w:t xml:space="preserve">to </w:t>
      </w:r>
      <w:r w:rsidRPr="001F7976">
        <w:rPr>
          <w:rFonts w:ascii="Times New Roman" w:hAnsi="Times New Roman" w:cs="Times New Roman"/>
          <w:sz w:val="24"/>
          <w:szCs w:val="24"/>
        </w:rPr>
        <w:t>Local Authority for Permit to Consolidate properties (from stands 6803 S.T.L and 6804 S.T.L. to Stand 19683 Harare Township)</w:t>
      </w:r>
    </w:p>
    <w:p w:rsidR="00D03BEA" w:rsidRPr="001F7976" w:rsidRDefault="00D03BEA" w:rsidP="008E3494">
      <w:pPr>
        <w:spacing w:after="0" w:line="240" w:lineRule="auto"/>
        <w:jc w:val="both"/>
        <w:rPr>
          <w:rFonts w:ascii="Times New Roman" w:hAnsi="Times New Roman" w:cs="Times New Roman"/>
          <w:sz w:val="24"/>
          <w:szCs w:val="24"/>
        </w:rPr>
      </w:pPr>
    </w:p>
    <w:p w:rsidR="00D03BEA" w:rsidRPr="001F7976" w:rsidRDefault="00D03BEA" w:rsidP="008E3494">
      <w:pPr>
        <w:pStyle w:val="ListParagraph"/>
        <w:numPr>
          <w:ilvl w:val="0"/>
          <w:numId w:val="13"/>
        </w:numPr>
        <w:spacing w:after="0" w:line="240" w:lineRule="auto"/>
        <w:jc w:val="both"/>
        <w:rPr>
          <w:rFonts w:ascii="Times New Roman" w:hAnsi="Times New Roman" w:cs="Times New Roman"/>
          <w:sz w:val="24"/>
          <w:szCs w:val="24"/>
        </w:rPr>
      </w:pPr>
      <w:r w:rsidRPr="001F7976">
        <w:rPr>
          <w:rFonts w:ascii="Times New Roman" w:hAnsi="Times New Roman" w:cs="Times New Roman"/>
          <w:sz w:val="24"/>
          <w:szCs w:val="24"/>
        </w:rPr>
        <w:t>Facilitation for approval of drawings with City of Harare.  Approval of Permit for Development and Approval of Building Plans – our ref 300/95/067/66 dated 5</w:t>
      </w:r>
      <w:r w:rsidRPr="001F7976">
        <w:rPr>
          <w:rFonts w:ascii="Times New Roman" w:hAnsi="Times New Roman" w:cs="Times New Roman"/>
          <w:sz w:val="24"/>
          <w:szCs w:val="24"/>
          <w:vertAlign w:val="superscript"/>
        </w:rPr>
        <w:t>th</w:t>
      </w:r>
      <w:r w:rsidRPr="001F7976">
        <w:rPr>
          <w:rFonts w:ascii="Times New Roman" w:hAnsi="Times New Roman" w:cs="Times New Roman"/>
          <w:sz w:val="24"/>
          <w:szCs w:val="24"/>
        </w:rPr>
        <w:t xml:space="preserve"> July 2010.</w:t>
      </w:r>
      <w:r w:rsidR="005A5C13" w:rsidRPr="001F7976">
        <w:rPr>
          <w:rFonts w:ascii="Times New Roman" w:hAnsi="Times New Roman" w:cs="Times New Roman"/>
          <w:sz w:val="24"/>
          <w:szCs w:val="24"/>
        </w:rPr>
        <w:t>”</w:t>
      </w:r>
    </w:p>
    <w:p w:rsidR="00A27E4F" w:rsidRPr="001F7976" w:rsidRDefault="00A27E4F" w:rsidP="008E3494">
      <w:pPr>
        <w:pStyle w:val="ListParagraph"/>
        <w:spacing w:after="0"/>
        <w:rPr>
          <w:rFonts w:ascii="Times New Roman" w:hAnsi="Times New Roman" w:cs="Times New Roman"/>
          <w:sz w:val="24"/>
          <w:szCs w:val="24"/>
        </w:rPr>
      </w:pPr>
    </w:p>
    <w:p w:rsidR="00A27E4F" w:rsidRPr="001F7976" w:rsidRDefault="00A27E4F" w:rsidP="008E3494">
      <w:pPr>
        <w:pStyle w:val="ListParagraph"/>
        <w:spacing w:after="0" w:line="240" w:lineRule="auto"/>
        <w:ind w:left="1854"/>
        <w:jc w:val="both"/>
        <w:rPr>
          <w:rFonts w:ascii="Times New Roman" w:hAnsi="Times New Roman" w:cs="Times New Roman"/>
          <w:sz w:val="24"/>
          <w:szCs w:val="24"/>
        </w:rPr>
      </w:pPr>
    </w:p>
    <w:p w:rsidR="00D03BEA" w:rsidRPr="001F7976" w:rsidRDefault="00D03BEA" w:rsidP="008E3494">
      <w:pPr>
        <w:spacing w:after="0" w:line="240" w:lineRule="auto"/>
        <w:jc w:val="both"/>
        <w:rPr>
          <w:rFonts w:ascii="Times New Roman" w:hAnsi="Times New Roman" w:cs="Times New Roman"/>
          <w:sz w:val="24"/>
          <w:szCs w:val="24"/>
        </w:rPr>
      </w:pPr>
    </w:p>
    <w:p w:rsidR="00D03BEA" w:rsidRPr="001F7976" w:rsidRDefault="00D03BEA"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The Architect’s fee of US$ 1 253 556-00 was against a percentage of the cost of construction as per budget based on the estimates dated 30 J</w:t>
      </w:r>
      <w:r w:rsidR="005A5C13" w:rsidRPr="001F7976">
        <w:rPr>
          <w:rFonts w:ascii="Times New Roman" w:hAnsi="Times New Roman" w:cs="Times New Roman"/>
          <w:sz w:val="24"/>
          <w:szCs w:val="24"/>
        </w:rPr>
        <w:t>une 2010 using the same formula</w:t>
      </w:r>
      <w:r w:rsidRPr="001F7976">
        <w:rPr>
          <w:rFonts w:ascii="Times New Roman" w:hAnsi="Times New Roman" w:cs="Times New Roman"/>
          <w:sz w:val="24"/>
          <w:szCs w:val="24"/>
        </w:rPr>
        <w:t xml:space="preserve"> as I have said. </w:t>
      </w:r>
    </w:p>
    <w:p w:rsidR="00652ABF" w:rsidRPr="001F7976" w:rsidRDefault="00652ABF" w:rsidP="008E3494">
      <w:pPr>
        <w:spacing w:after="0" w:line="480" w:lineRule="auto"/>
        <w:ind w:firstLine="1134"/>
        <w:jc w:val="both"/>
        <w:rPr>
          <w:rFonts w:ascii="Times New Roman" w:hAnsi="Times New Roman" w:cs="Times New Roman"/>
          <w:sz w:val="24"/>
          <w:szCs w:val="24"/>
        </w:rPr>
      </w:pPr>
    </w:p>
    <w:p w:rsidR="00652ABF" w:rsidRPr="001F7976" w:rsidRDefault="00652ABF"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The respondent resisted that fee resulting in a dispute between the parties.  The appellant</w:t>
      </w:r>
      <w:r w:rsidR="005A5C13" w:rsidRPr="001F7976">
        <w:rPr>
          <w:rFonts w:ascii="Times New Roman" w:hAnsi="Times New Roman" w:cs="Times New Roman"/>
          <w:sz w:val="24"/>
          <w:szCs w:val="24"/>
        </w:rPr>
        <w:t>s</w:t>
      </w:r>
      <w:r w:rsidRPr="001F7976">
        <w:rPr>
          <w:rFonts w:ascii="Times New Roman" w:hAnsi="Times New Roman" w:cs="Times New Roman"/>
          <w:sz w:val="24"/>
          <w:szCs w:val="24"/>
        </w:rPr>
        <w:t xml:space="preserve"> sued out a summons in the High </w:t>
      </w:r>
      <w:r w:rsidR="005A5C13" w:rsidRPr="001F7976">
        <w:rPr>
          <w:rFonts w:ascii="Times New Roman" w:hAnsi="Times New Roman" w:cs="Times New Roman"/>
          <w:sz w:val="24"/>
          <w:szCs w:val="24"/>
        </w:rPr>
        <w:t xml:space="preserve">Court </w:t>
      </w:r>
      <w:r w:rsidRPr="001F7976">
        <w:rPr>
          <w:rFonts w:ascii="Times New Roman" w:hAnsi="Times New Roman" w:cs="Times New Roman"/>
          <w:sz w:val="24"/>
          <w:szCs w:val="24"/>
        </w:rPr>
        <w:t xml:space="preserve">for an order declaring their agreement valid and enforceable, payment of US$ 1 071 992,05, interest on that amount at the agreed rate of </w:t>
      </w:r>
      <w:r w:rsidRPr="001F7976">
        <w:rPr>
          <w:rFonts w:ascii="Times New Roman" w:hAnsi="Times New Roman" w:cs="Times New Roman"/>
          <w:sz w:val="24"/>
          <w:szCs w:val="24"/>
        </w:rPr>
        <w:lastRenderedPageBreak/>
        <w:t>28</w:t>
      </w:r>
      <w:r w:rsidR="00E02F75" w:rsidRPr="001F7976">
        <w:rPr>
          <w:rFonts w:ascii="Times New Roman" w:hAnsi="Times New Roman" w:cs="Times New Roman"/>
          <w:sz w:val="24"/>
          <w:szCs w:val="24"/>
        </w:rPr>
        <w:t xml:space="preserve"> percent</w:t>
      </w:r>
      <w:r w:rsidRPr="001F7976">
        <w:rPr>
          <w:rFonts w:ascii="Times New Roman" w:hAnsi="Times New Roman" w:cs="Times New Roman"/>
          <w:sz w:val="24"/>
          <w:szCs w:val="24"/>
        </w:rPr>
        <w:t xml:space="preserve"> per annum from August 2010 to date of payment and cost</w:t>
      </w:r>
      <w:r w:rsidR="005A5C13" w:rsidRPr="001F7976">
        <w:rPr>
          <w:rFonts w:ascii="Times New Roman" w:hAnsi="Times New Roman" w:cs="Times New Roman"/>
          <w:sz w:val="24"/>
          <w:szCs w:val="24"/>
        </w:rPr>
        <w:t>s</w:t>
      </w:r>
      <w:r w:rsidRPr="001F7976">
        <w:rPr>
          <w:rFonts w:ascii="Times New Roman" w:hAnsi="Times New Roman" w:cs="Times New Roman"/>
          <w:sz w:val="24"/>
          <w:szCs w:val="24"/>
        </w:rPr>
        <w:t xml:space="preserve"> of suit on a legal practitioner and client sca</w:t>
      </w:r>
      <w:r w:rsidR="005A5C13" w:rsidRPr="001F7976">
        <w:rPr>
          <w:rFonts w:ascii="Times New Roman" w:hAnsi="Times New Roman" w:cs="Times New Roman"/>
          <w:sz w:val="24"/>
          <w:szCs w:val="24"/>
        </w:rPr>
        <w:t>le.  The basis of the appellant</w:t>
      </w:r>
      <w:r w:rsidRPr="001F7976">
        <w:rPr>
          <w:rFonts w:ascii="Times New Roman" w:hAnsi="Times New Roman" w:cs="Times New Roman"/>
          <w:sz w:val="24"/>
          <w:szCs w:val="24"/>
        </w:rPr>
        <w:t>s</w:t>
      </w:r>
      <w:r w:rsidR="005A5C13" w:rsidRPr="001F7976">
        <w:rPr>
          <w:rFonts w:ascii="Times New Roman" w:hAnsi="Times New Roman" w:cs="Times New Roman"/>
          <w:sz w:val="24"/>
          <w:szCs w:val="24"/>
        </w:rPr>
        <w:t>’</w:t>
      </w:r>
      <w:r w:rsidRPr="001F7976">
        <w:rPr>
          <w:rFonts w:ascii="Times New Roman" w:hAnsi="Times New Roman" w:cs="Times New Roman"/>
          <w:sz w:val="24"/>
          <w:szCs w:val="24"/>
        </w:rPr>
        <w:t xml:space="preserve"> claim was the alleged breach by the respondent of the parties’ agreement when it failed or neglected to settle the bill within 14 days of its presentation.</w:t>
      </w:r>
    </w:p>
    <w:p w:rsidR="00EC2447" w:rsidRPr="001F7976" w:rsidRDefault="00EC2447" w:rsidP="008E3494">
      <w:pPr>
        <w:spacing w:after="0" w:line="480" w:lineRule="auto"/>
        <w:ind w:firstLine="1134"/>
        <w:jc w:val="both"/>
        <w:rPr>
          <w:rFonts w:ascii="Times New Roman" w:hAnsi="Times New Roman" w:cs="Times New Roman"/>
          <w:sz w:val="24"/>
          <w:szCs w:val="24"/>
        </w:rPr>
      </w:pPr>
    </w:p>
    <w:p w:rsidR="00EC2447" w:rsidRPr="001F7976" w:rsidRDefault="00EC2447"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The respondent contested the action.  In its plea it denied ever entering into a contra</w:t>
      </w:r>
      <w:r w:rsidR="005A5C13" w:rsidRPr="001F7976">
        <w:rPr>
          <w:rFonts w:ascii="Times New Roman" w:hAnsi="Times New Roman" w:cs="Times New Roman"/>
          <w:sz w:val="24"/>
          <w:szCs w:val="24"/>
        </w:rPr>
        <w:t>ct with the appellant.  It asser</w:t>
      </w:r>
      <w:r w:rsidRPr="001F7976">
        <w:rPr>
          <w:rFonts w:ascii="Times New Roman" w:hAnsi="Times New Roman" w:cs="Times New Roman"/>
          <w:sz w:val="24"/>
          <w:szCs w:val="24"/>
        </w:rPr>
        <w:t>ted that the written agreement was signed without its consent, knowledge or authority of its board of directors or shareholders.  For that reason, the respondent made the averment that it was not indebted to the appellant in the amount claimed or any amount for that matter.</w:t>
      </w:r>
    </w:p>
    <w:p w:rsidR="00EC2447" w:rsidRPr="001F7976" w:rsidRDefault="00EC2447" w:rsidP="008E3494">
      <w:pPr>
        <w:spacing w:after="0" w:line="480" w:lineRule="auto"/>
        <w:ind w:firstLine="1134"/>
        <w:jc w:val="both"/>
        <w:rPr>
          <w:rFonts w:ascii="Times New Roman" w:hAnsi="Times New Roman" w:cs="Times New Roman"/>
          <w:sz w:val="24"/>
          <w:szCs w:val="24"/>
        </w:rPr>
      </w:pPr>
    </w:p>
    <w:p w:rsidR="00FA71CD" w:rsidRPr="001F7976" w:rsidRDefault="00EC2447"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At the trial, the High Court was called upon to decide whether the parties entered into a valid</w:t>
      </w:r>
      <w:r w:rsidR="00EE4CBD" w:rsidRPr="001F7976">
        <w:rPr>
          <w:rFonts w:ascii="Times New Roman" w:hAnsi="Times New Roman" w:cs="Times New Roman"/>
          <w:sz w:val="24"/>
          <w:szCs w:val="24"/>
        </w:rPr>
        <w:t xml:space="preserve"> and binding agreement for architectural services and whether the respondent was liable to the appellant in the amount claimed.  Quite early during </w:t>
      </w:r>
      <w:r w:rsidR="005A5C13" w:rsidRPr="001F7976">
        <w:rPr>
          <w:rFonts w:ascii="Times New Roman" w:hAnsi="Times New Roman" w:cs="Times New Roman"/>
          <w:sz w:val="24"/>
          <w:szCs w:val="24"/>
        </w:rPr>
        <w:t xml:space="preserve">the trial the High Court </w:t>
      </w:r>
      <w:r w:rsidR="00EE4CBD" w:rsidRPr="001F7976">
        <w:rPr>
          <w:rFonts w:ascii="Times New Roman" w:hAnsi="Times New Roman" w:cs="Times New Roman"/>
          <w:sz w:val="24"/>
          <w:szCs w:val="24"/>
        </w:rPr>
        <w:t>was called upon to decide a preliminary point relating to pr</w:t>
      </w:r>
      <w:r w:rsidR="005A5C13" w:rsidRPr="001F7976">
        <w:rPr>
          <w:rFonts w:ascii="Times New Roman" w:hAnsi="Times New Roman" w:cs="Times New Roman"/>
          <w:sz w:val="24"/>
          <w:szCs w:val="24"/>
        </w:rPr>
        <w:t>escription of the appellant</w:t>
      </w:r>
      <w:r w:rsidR="00EE4CBD" w:rsidRPr="001F7976">
        <w:rPr>
          <w:rFonts w:ascii="Times New Roman" w:hAnsi="Times New Roman" w:cs="Times New Roman"/>
          <w:sz w:val="24"/>
          <w:szCs w:val="24"/>
        </w:rPr>
        <w:t>s</w:t>
      </w:r>
      <w:r w:rsidR="005A5C13" w:rsidRPr="001F7976">
        <w:rPr>
          <w:rFonts w:ascii="Times New Roman" w:hAnsi="Times New Roman" w:cs="Times New Roman"/>
          <w:sz w:val="24"/>
          <w:szCs w:val="24"/>
        </w:rPr>
        <w:t>’</w:t>
      </w:r>
      <w:r w:rsidR="00EE4CBD" w:rsidRPr="001F7976">
        <w:rPr>
          <w:rFonts w:ascii="Times New Roman" w:hAnsi="Times New Roman" w:cs="Times New Roman"/>
          <w:sz w:val="24"/>
          <w:szCs w:val="24"/>
        </w:rPr>
        <w:t xml:space="preserve"> claim.  Following full arguments on that aspect the court </w:t>
      </w:r>
      <w:r w:rsidR="00EE4CBD" w:rsidRPr="001F7976">
        <w:rPr>
          <w:rFonts w:ascii="Times New Roman" w:hAnsi="Times New Roman" w:cs="Times New Roman"/>
          <w:i/>
          <w:sz w:val="24"/>
          <w:szCs w:val="24"/>
        </w:rPr>
        <w:t>a quo</w:t>
      </w:r>
      <w:r w:rsidR="00EE4CBD" w:rsidRPr="001F7976">
        <w:rPr>
          <w:rFonts w:ascii="Times New Roman" w:hAnsi="Times New Roman" w:cs="Times New Roman"/>
          <w:sz w:val="24"/>
          <w:szCs w:val="24"/>
        </w:rPr>
        <w:t xml:space="preserve"> made an inter</w:t>
      </w:r>
      <w:r w:rsidR="00BE6E9F" w:rsidRPr="001F7976">
        <w:rPr>
          <w:rFonts w:ascii="Times New Roman" w:hAnsi="Times New Roman" w:cs="Times New Roman"/>
          <w:sz w:val="24"/>
          <w:szCs w:val="24"/>
        </w:rPr>
        <w:t>locutory ruling that</w:t>
      </w:r>
      <w:r w:rsidR="005A5C13" w:rsidRPr="001F7976">
        <w:rPr>
          <w:rFonts w:ascii="Times New Roman" w:hAnsi="Times New Roman" w:cs="Times New Roman"/>
          <w:sz w:val="24"/>
          <w:szCs w:val="24"/>
        </w:rPr>
        <w:t>, of the appellant</w:t>
      </w:r>
      <w:r w:rsidR="00BE6E9F" w:rsidRPr="001F7976">
        <w:rPr>
          <w:rFonts w:ascii="Times New Roman" w:hAnsi="Times New Roman" w:cs="Times New Roman"/>
          <w:sz w:val="24"/>
          <w:szCs w:val="24"/>
        </w:rPr>
        <w:t>s</w:t>
      </w:r>
      <w:r w:rsidR="005A5C13" w:rsidRPr="001F7976">
        <w:rPr>
          <w:rFonts w:ascii="Times New Roman" w:hAnsi="Times New Roman" w:cs="Times New Roman"/>
          <w:sz w:val="24"/>
          <w:szCs w:val="24"/>
        </w:rPr>
        <w:t>’</w:t>
      </w:r>
      <w:r w:rsidR="00BE6E9F" w:rsidRPr="001F7976">
        <w:rPr>
          <w:rFonts w:ascii="Times New Roman" w:hAnsi="Times New Roman" w:cs="Times New Roman"/>
          <w:sz w:val="24"/>
          <w:szCs w:val="24"/>
        </w:rPr>
        <w:t xml:space="preserve"> claim in terms of the summons, 75 percent of it had prescribed in terms of the Prescription Act [</w:t>
      </w:r>
      <w:r w:rsidR="00BE6E9F" w:rsidRPr="001F7976">
        <w:rPr>
          <w:rFonts w:ascii="Times New Roman" w:hAnsi="Times New Roman" w:cs="Times New Roman"/>
          <w:i/>
          <w:sz w:val="24"/>
          <w:szCs w:val="24"/>
        </w:rPr>
        <w:t>Chapter</w:t>
      </w:r>
      <w:r w:rsidR="00BE6E9F" w:rsidRPr="001F7976">
        <w:rPr>
          <w:rFonts w:ascii="Times New Roman" w:hAnsi="Times New Roman" w:cs="Times New Roman"/>
          <w:sz w:val="24"/>
          <w:szCs w:val="24"/>
        </w:rPr>
        <w:t xml:space="preserve"> </w:t>
      </w:r>
      <w:r w:rsidR="00BE6E9F" w:rsidRPr="001F7976">
        <w:rPr>
          <w:rFonts w:ascii="Times New Roman" w:hAnsi="Times New Roman" w:cs="Times New Roman"/>
          <w:i/>
          <w:sz w:val="24"/>
          <w:szCs w:val="24"/>
        </w:rPr>
        <w:t>8:11</w:t>
      </w:r>
      <w:r w:rsidR="00BE6E9F" w:rsidRPr="001F7976">
        <w:rPr>
          <w:rFonts w:ascii="Times New Roman" w:hAnsi="Times New Roman" w:cs="Times New Roman"/>
          <w:sz w:val="24"/>
          <w:szCs w:val="24"/>
        </w:rPr>
        <w:t xml:space="preserve">].  The court </w:t>
      </w:r>
      <w:r w:rsidR="00BE6E9F" w:rsidRPr="001F7976">
        <w:rPr>
          <w:rFonts w:ascii="Times New Roman" w:hAnsi="Times New Roman" w:cs="Times New Roman"/>
          <w:i/>
          <w:sz w:val="24"/>
          <w:szCs w:val="24"/>
        </w:rPr>
        <w:t>a quo</w:t>
      </w:r>
      <w:r w:rsidR="00BE6E9F" w:rsidRPr="001F7976">
        <w:rPr>
          <w:rFonts w:ascii="Times New Roman" w:hAnsi="Times New Roman" w:cs="Times New Roman"/>
          <w:sz w:val="24"/>
          <w:szCs w:val="24"/>
        </w:rPr>
        <w:t xml:space="preserve"> ruled t</w:t>
      </w:r>
      <w:r w:rsidR="005A5C13" w:rsidRPr="001F7976">
        <w:rPr>
          <w:rFonts w:ascii="Times New Roman" w:hAnsi="Times New Roman" w:cs="Times New Roman"/>
          <w:sz w:val="24"/>
          <w:szCs w:val="24"/>
        </w:rPr>
        <w:t>hat 25 percent of the appellant</w:t>
      </w:r>
      <w:r w:rsidR="00BE6E9F" w:rsidRPr="001F7976">
        <w:rPr>
          <w:rFonts w:ascii="Times New Roman" w:hAnsi="Times New Roman" w:cs="Times New Roman"/>
          <w:sz w:val="24"/>
          <w:szCs w:val="24"/>
        </w:rPr>
        <w:t>s</w:t>
      </w:r>
      <w:r w:rsidR="005A5C13" w:rsidRPr="001F7976">
        <w:rPr>
          <w:rFonts w:ascii="Times New Roman" w:hAnsi="Times New Roman" w:cs="Times New Roman"/>
          <w:sz w:val="24"/>
          <w:szCs w:val="24"/>
        </w:rPr>
        <w:t>’</w:t>
      </w:r>
      <w:r w:rsidR="00BE6E9F" w:rsidRPr="001F7976">
        <w:rPr>
          <w:rFonts w:ascii="Times New Roman" w:hAnsi="Times New Roman" w:cs="Times New Roman"/>
          <w:sz w:val="24"/>
          <w:szCs w:val="24"/>
        </w:rPr>
        <w:t xml:space="preserve"> claim had not prescribed.</w:t>
      </w:r>
    </w:p>
    <w:p w:rsidR="00FA71CD" w:rsidRPr="001F7976" w:rsidRDefault="00FA71CD" w:rsidP="008E3494">
      <w:pPr>
        <w:spacing w:after="0" w:line="480" w:lineRule="auto"/>
        <w:ind w:firstLine="1134"/>
        <w:jc w:val="both"/>
        <w:rPr>
          <w:rFonts w:ascii="Times New Roman" w:hAnsi="Times New Roman" w:cs="Times New Roman"/>
          <w:sz w:val="24"/>
          <w:szCs w:val="24"/>
        </w:rPr>
      </w:pPr>
    </w:p>
    <w:p w:rsidR="001A515E" w:rsidRPr="001F7976" w:rsidRDefault="00FA71CD"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It is common cause that the amount claimed by the appellant</w:t>
      </w:r>
      <w:r w:rsidR="005A5C13" w:rsidRPr="001F7976">
        <w:rPr>
          <w:rFonts w:ascii="Times New Roman" w:hAnsi="Times New Roman" w:cs="Times New Roman"/>
          <w:sz w:val="24"/>
          <w:szCs w:val="24"/>
        </w:rPr>
        <w:t>s,</w:t>
      </w:r>
      <w:r w:rsidRPr="001F7976">
        <w:rPr>
          <w:rFonts w:ascii="Times New Roman" w:hAnsi="Times New Roman" w:cs="Times New Roman"/>
          <w:sz w:val="24"/>
          <w:szCs w:val="24"/>
        </w:rPr>
        <w:t xml:space="preserve"> which had not prescribed according to that ruling</w:t>
      </w:r>
      <w:r w:rsidR="005A5C13" w:rsidRPr="001F7976">
        <w:rPr>
          <w:rFonts w:ascii="Times New Roman" w:hAnsi="Times New Roman" w:cs="Times New Roman"/>
          <w:sz w:val="24"/>
          <w:szCs w:val="24"/>
        </w:rPr>
        <w:t>,</w:t>
      </w:r>
      <w:r w:rsidRPr="001F7976">
        <w:rPr>
          <w:rFonts w:ascii="Times New Roman" w:hAnsi="Times New Roman" w:cs="Times New Roman"/>
          <w:sz w:val="24"/>
          <w:szCs w:val="24"/>
        </w:rPr>
        <w:t xml:space="preserve"> is $357 330,68.  The trial then proceeded in respect of that balance of the appellant</w:t>
      </w:r>
      <w:r w:rsidR="005A5C13" w:rsidRPr="001F7976">
        <w:rPr>
          <w:rFonts w:ascii="Times New Roman" w:hAnsi="Times New Roman" w:cs="Times New Roman"/>
          <w:sz w:val="24"/>
          <w:szCs w:val="24"/>
        </w:rPr>
        <w:t>s’ claim.  It was the appellant</w:t>
      </w:r>
      <w:r w:rsidRPr="001F7976">
        <w:rPr>
          <w:rFonts w:ascii="Times New Roman" w:hAnsi="Times New Roman" w:cs="Times New Roman"/>
          <w:sz w:val="24"/>
          <w:szCs w:val="24"/>
        </w:rPr>
        <w:t>s</w:t>
      </w:r>
      <w:r w:rsidR="005A5C13" w:rsidRPr="001F7976">
        <w:rPr>
          <w:rFonts w:ascii="Times New Roman" w:hAnsi="Times New Roman" w:cs="Times New Roman"/>
          <w:sz w:val="24"/>
          <w:szCs w:val="24"/>
        </w:rPr>
        <w:t>’</w:t>
      </w:r>
      <w:r w:rsidRPr="001F7976">
        <w:rPr>
          <w:rFonts w:ascii="Times New Roman" w:hAnsi="Times New Roman" w:cs="Times New Roman"/>
          <w:sz w:val="24"/>
          <w:szCs w:val="24"/>
        </w:rPr>
        <w:t xml:space="preserve"> contention that when the parties entered</w:t>
      </w:r>
      <w:r w:rsidR="001A515E" w:rsidRPr="001F7976">
        <w:rPr>
          <w:rFonts w:ascii="Times New Roman" w:hAnsi="Times New Roman" w:cs="Times New Roman"/>
          <w:sz w:val="24"/>
          <w:szCs w:val="24"/>
        </w:rPr>
        <w:t xml:space="preserve"> into the contract, the respondent was represented by Doctor Partson Zvandasara, its Managing </w:t>
      </w:r>
      <w:r w:rsidR="001A515E" w:rsidRPr="001F7976">
        <w:rPr>
          <w:rFonts w:ascii="Times New Roman" w:hAnsi="Times New Roman" w:cs="Times New Roman"/>
          <w:sz w:val="24"/>
          <w:szCs w:val="24"/>
        </w:rPr>
        <w:lastRenderedPageBreak/>
        <w:t>Director at the time, as well as its Company Secretary, one Lois Chiteme.  The two signed the contract on behalf of the respondent.</w:t>
      </w:r>
    </w:p>
    <w:p w:rsidR="001A515E" w:rsidRPr="001F7976" w:rsidRDefault="001A515E" w:rsidP="008E3494">
      <w:pPr>
        <w:spacing w:after="0" w:line="480" w:lineRule="auto"/>
        <w:ind w:firstLine="1134"/>
        <w:jc w:val="both"/>
        <w:rPr>
          <w:rFonts w:ascii="Times New Roman" w:hAnsi="Times New Roman" w:cs="Times New Roman"/>
          <w:sz w:val="24"/>
          <w:szCs w:val="24"/>
        </w:rPr>
      </w:pPr>
    </w:p>
    <w:p w:rsidR="001A515E" w:rsidRPr="001F7976" w:rsidRDefault="001A515E"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The appellant</w:t>
      </w:r>
      <w:r w:rsidR="00CC1A8F" w:rsidRPr="001F7976">
        <w:rPr>
          <w:rFonts w:ascii="Times New Roman" w:hAnsi="Times New Roman" w:cs="Times New Roman"/>
          <w:sz w:val="24"/>
          <w:szCs w:val="24"/>
        </w:rPr>
        <w:t>s</w:t>
      </w:r>
      <w:r w:rsidRPr="001F7976">
        <w:rPr>
          <w:rFonts w:ascii="Times New Roman" w:hAnsi="Times New Roman" w:cs="Times New Roman"/>
          <w:sz w:val="24"/>
          <w:szCs w:val="24"/>
        </w:rPr>
        <w:t xml:space="preserve"> further contended that the fees due to it in terms of the contract were to be levied in terms of Statutory Instrument 829 of 1980</w:t>
      </w:r>
      <w:r w:rsidR="00CC1A8F" w:rsidRPr="001F7976">
        <w:rPr>
          <w:rFonts w:ascii="Times New Roman" w:hAnsi="Times New Roman" w:cs="Times New Roman"/>
          <w:sz w:val="24"/>
          <w:szCs w:val="24"/>
        </w:rPr>
        <w:t>,</w:t>
      </w:r>
      <w:r w:rsidRPr="001F7976">
        <w:rPr>
          <w:rFonts w:ascii="Times New Roman" w:hAnsi="Times New Roman" w:cs="Times New Roman"/>
          <w:sz w:val="24"/>
          <w:szCs w:val="24"/>
        </w:rPr>
        <w:t xml:space="preserve"> as amended</w:t>
      </w:r>
      <w:r w:rsidR="00CC1A8F" w:rsidRPr="001F7976">
        <w:rPr>
          <w:rFonts w:ascii="Times New Roman" w:hAnsi="Times New Roman" w:cs="Times New Roman"/>
          <w:sz w:val="24"/>
          <w:szCs w:val="24"/>
        </w:rPr>
        <w:t>,</w:t>
      </w:r>
      <w:r w:rsidRPr="001F7976">
        <w:rPr>
          <w:rFonts w:ascii="Times New Roman" w:hAnsi="Times New Roman" w:cs="Times New Roman"/>
          <w:sz w:val="24"/>
          <w:szCs w:val="24"/>
        </w:rPr>
        <w:t xml:space="preserve"> in accordance with the quantity surveyor’s latest valuation of not more than 14 days.  Payment was due within 14 days of the presentation of the fee note to the respondent.  The appellant</w:t>
      </w:r>
      <w:r w:rsidR="00CC1A8F" w:rsidRPr="001F7976">
        <w:rPr>
          <w:rFonts w:ascii="Times New Roman" w:hAnsi="Times New Roman" w:cs="Times New Roman"/>
          <w:sz w:val="24"/>
          <w:szCs w:val="24"/>
        </w:rPr>
        <w:t>s</w:t>
      </w:r>
      <w:r w:rsidRPr="001F7976">
        <w:rPr>
          <w:rFonts w:ascii="Times New Roman" w:hAnsi="Times New Roman" w:cs="Times New Roman"/>
          <w:sz w:val="24"/>
          <w:szCs w:val="24"/>
        </w:rPr>
        <w:t xml:space="preserve"> insisted that </w:t>
      </w:r>
      <w:r w:rsidR="00CC1A8F" w:rsidRPr="001F7976">
        <w:rPr>
          <w:rFonts w:ascii="Times New Roman" w:hAnsi="Times New Roman" w:cs="Times New Roman"/>
          <w:sz w:val="24"/>
          <w:szCs w:val="24"/>
        </w:rPr>
        <w:t>they</w:t>
      </w:r>
      <w:r w:rsidRPr="001F7976">
        <w:rPr>
          <w:rFonts w:ascii="Times New Roman" w:hAnsi="Times New Roman" w:cs="Times New Roman"/>
          <w:sz w:val="24"/>
          <w:szCs w:val="24"/>
        </w:rPr>
        <w:t xml:space="preserve"> had, in accordance with the terms of the agreement, duly rendered architectural services to the respondent and presented </w:t>
      </w:r>
      <w:r w:rsidR="00CC1A8F" w:rsidRPr="001F7976">
        <w:rPr>
          <w:rFonts w:ascii="Times New Roman" w:hAnsi="Times New Roman" w:cs="Times New Roman"/>
          <w:sz w:val="24"/>
          <w:szCs w:val="24"/>
        </w:rPr>
        <w:t xml:space="preserve">their </w:t>
      </w:r>
      <w:r w:rsidRPr="001F7976">
        <w:rPr>
          <w:rFonts w:ascii="Times New Roman" w:hAnsi="Times New Roman" w:cs="Times New Roman"/>
          <w:sz w:val="24"/>
          <w:szCs w:val="24"/>
        </w:rPr>
        <w:t>fee note which the respondent neglected to settle.</w:t>
      </w:r>
    </w:p>
    <w:p w:rsidR="001A515E" w:rsidRPr="001F7976" w:rsidRDefault="001A515E" w:rsidP="008E3494">
      <w:pPr>
        <w:spacing w:after="0" w:line="480" w:lineRule="auto"/>
        <w:ind w:firstLine="1134"/>
        <w:jc w:val="both"/>
        <w:rPr>
          <w:rFonts w:ascii="Times New Roman" w:hAnsi="Times New Roman" w:cs="Times New Roman"/>
          <w:sz w:val="24"/>
          <w:szCs w:val="24"/>
        </w:rPr>
      </w:pPr>
    </w:p>
    <w:p w:rsidR="001A515E" w:rsidRPr="001F7976" w:rsidRDefault="001A515E"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According to the appellant</w:t>
      </w:r>
      <w:r w:rsidR="00CC1A8F" w:rsidRPr="001F7976">
        <w:rPr>
          <w:rFonts w:ascii="Times New Roman" w:hAnsi="Times New Roman" w:cs="Times New Roman"/>
          <w:sz w:val="24"/>
          <w:szCs w:val="24"/>
        </w:rPr>
        <w:t>s</w:t>
      </w:r>
      <w:r w:rsidRPr="001F7976">
        <w:rPr>
          <w:rFonts w:ascii="Times New Roman" w:hAnsi="Times New Roman" w:cs="Times New Roman"/>
          <w:sz w:val="24"/>
          <w:szCs w:val="24"/>
        </w:rPr>
        <w:t xml:space="preserve"> when services were rendered there were no objections from the respondent for over a period of 6 years.  In fact the respondent paid the appellant’s claims for disbursements throughout that period and consented to several juristic actions which required its express consent.  Indeed the appellant</w:t>
      </w:r>
      <w:r w:rsidR="00CC1A8F" w:rsidRPr="001F7976">
        <w:rPr>
          <w:rFonts w:ascii="Times New Roman" w:hAnsi="Times New Roman" w:cs="Times New Roman"/>
          <w:sz w:val="24"/>
          <w:szCs w:val="24"/>
        </w:rPr>
        <w:t>s</w:t>
      </w:r>
      <w:r w:rsidRPr="001F7976">
        <w:rPr>
          <w:rFonts w:ascii="Times New Roman" w:hAnsi="Times New Roman" w:cs="Times New Roman"/>
          <w:sz w:val="24"/>
          <w:szCs w:val="24"/>
        </w:rPr>
        <w:t xml:space="preserve"> called Dr Zvandasara as one of </w:t>
      </w:r>
      <w:r w:rsidR="00CC1A8F" w:rsidRPr="001F7976">
        <w:rPr>
          <w:rFonts w:ascii="Times New Roman" w:hAnsi="Times New Roman" w:cs="Times New Roman"/>
          <w:sz w:val="24"/>
          <w:szCs w:val="24"/>
        </w:rPr>
        <w:t xml:space="preserve">their </w:t>
      </w:r>
      <w:r w:rsidRPr="001F7976">
        <w:rPr>
          <w:rFonts w:ascii="Times New Roman" w:hAnsi="Times New Roman" w:cs="Times New Roman"/>
          <w:sz w:val="24"/>
          <w:szCs w:val="24"/>
        </w:rPr>
        <w:t>witnesses and he corroborated the evidence of MCR Vengesayi on the conclusion of the contract and its terms.  Dr Zvandasara maintained that he had the respondent’s express authority to enter into the contract on its behalf.</w:t>
      </w:r>
    </w:p>
    <w:p w:rsidR="001A515E" w:rsidRPr="001F7976" w:rsidRDefault="001A515E" w:rsidP="008E3494">
      <w:pPr>
        <w:spacing w:after="0" w:line="480" w:lineRule="auto"/>
        <w:ind w:firstLine="1134"/>
        <w:jc w:val="both"/>
        <w:rPr>
          <w:rFonts w:ascii="Times New Roman" w:hAnsi="Times New Roman" w:cs="Times New Roman"/>
          <w:sz w:val="24"/>
          <w:szCs w:val="24"/>
        </w:rPr>
      </w:pPr>
    </w:p>
    <w:p w:rsidR="00BA05B7" w:rsidRPr="001F7976" w:rsidRDefault="001A515E"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 xml:space="preserve">On its part, the respondent, through its witnesses Doctors Tsunga Chipato and Misheck Chiware, denied entering into a contract with the appellant.  They </w:t>
      </w:r>
      <w:r w:rsidR="00CC1A8F" w:rsidRPr="001F7976">
        <w:rPr>
          <w:rFonts w:ascii="Times New Roman" w:hAnsi="Times New Roman" w:cs="Times New Roman"/>
          <w:sz w:val="24"/>
          <w:szCs w:val="24"/>
        </w:rPr>
        <w:t xml:space="preserve">stated that they </w:t>
      </w:r>
      <w:r w:rsidRPr="001F7976">
        <w:rPr>
          <w:rFonts w:ascii="Times New Roman" w:hAnsi="Times New Roman" w:cs="Times New Roman"/>
          <w:sz w:val="24"/>
          <w:szCs w:val="24"/>
        </w:rPr>
        <w:t>did not authorise Dr Zvandasara to c</w:t>
      </w:r>
      <w:r w:rsidR="00A82124" w:rsidRPr="001F7976">
        <w:rPr>
          <w:rFonts w:ascii="Times New Roman" w:hAnsi="Times New Roman" w:cs="Times New Roman"/>
          <w:sz w:val="24"/>
          <w:szCs w:val="24"/>
        </w:rPr>
        <w:t>onclude a contract for architectural services on the respondent’s behalf.  The respondent’s two witnesses are shareholders whose testimony was that they did not approve of the project.</w:t>
      </w:r>
    </w:p>
    <w:p w:rsidR="008070A0" w:rsidRPr="001F7976" w:rsidRDefault="008070A0" w:rsidP="008E3494">
      <w:pPr>
        <w:spacing w:after="0" w:line="480" w:lineRule="auto"/>
        <w:jc w:val="both"/>
        <w:rPr>
          <w:rFonts w:ascii="Times New Roman" w:hAnsi="Times New Roman" w:cs="Times New Roman"/>
          <w:sz w:val="24"/>
          <w:szCs w:val="24"/>
        </w:rPr>
      </w:pPr>
    </w:p>
    <w:p w:rsidR="00BA05B7" w:rsidRPr="001F7976" w:rsidRDefault="00BA05B7" w:rsidP="008E3494">
      <w:pPr>
        <w:spacing w:after="0" w:line="480" w:lineRule="auto"/>
        <w:jc w:val="both"/>
        <w:rPr>
          <w:rFonts w:ascii="Times New Roman" w:hAnsi="Times New Roman" w:cs="Times New Roman"/>
          <w:b/>
          <w:sz w:val="24"/>
          <w:szCs w:val="24"/>
          <w:u w:val="single"/>
        </w:rPr>
      </w:pPr>
      <w:r w:rsidRPr="001F7976">
        <w:rPr>
          <w:rFonts w:ascii="Times New Roman" w:hAnsi="Times New Roman" w:cs="Times New Roman"/>
          <w:b/>
          <w:sz w:val="24"/>
          <w:szCs w:val="24"/>
          <w:u w:val="single"/>
        </w:rPr>
        <w:t xml:space="preserve">THE DECISION </w:t>
      </w:r>
      <w:r w:rsidRPr="001F7976">
        <w:rPr>
          <w:rFonts w:ascii="Times New Roman" w:hAnsi="Times New Roman" w:cs="Times New Roman"/>
          <w:b/>
          <w:i/>
          <w:sz w:val="24"/>
          <w:szCs w:val="24"/>
          <w:u w:val="single"/>
        </w:rPr>
        <w:t>A QUO</w:t>
      </w:r>
    </w:p>
    <w:p w:rsidR="00BA05B7" w:rsidRPr="001F7976" w:rsidRDefault="00BA05B7"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lastRenderedPageBreak/>
        <w:t xml:space="preserve">I have already related to the court </w:t>
      </w:r>
      <w:r w:rsidRPr="001F7976">
        <w:rPr>
          <w:rFonts w:ascii="Times New Roman" w:hAnsi="Times New Roman" w:cs="Times New Roman"/>
          <w:i/>
          <w:sz w:val="24"/>
          <w:szCs w:val="24"/>
        </w:rPr>
        <w:t>a quo’s</w:t>
      </w:r>
      <w:r w:rsidRPr="001F7976">
        <w:rPr>
          <w:rFonts w:ascii="Times New Roman" w:hAnsi="Times New Roman" w:cs="Times New Roman"/>
          <w:sz w:val="24"/>
          <w:szCs w:val="24"/>
        </w:rPr>
        <w:t xml:space="preserve"> decision</w:t>
      </w:r>
      <w:r w:rsidR="00CC1A8F" w:rsidRPr="001F7976">
        <w:rPr>
          <w:rFonts w:ascii="Times New Roman" w:hAnsi="Times New Roman" w:cs="Times New Roman"/>
          <w:sz w:val="24"/>
          <w:szCs w:val="24"/>
        </w:rPr>
        <w:t xml:space="preserve"> on</w:t>
      </w:r>
      <w:r w:rsidRPr="001F7976">
        <w:rPr>
          <w:rFonts w:ascii="Times New Roman" w:hAnsi="Times New Roman" w:cs="Times New Roman"/>
          <w:sz w:val="24"/>
          <w:szCs w:val="24"/>
        </w:rPr>
        <w:t xml:space="preserve"> prescription in which it ruled that the appellants</w:t>
      </w:r>
      <w:r w:rsidR="00CC1A8F" w:rsidRPr="001F7976">
        <w:rPr>
          <w:rFonts w:ascii="Times New Roman" w:hAnsi="Times New Roman" w:cs="Times New Roman"/>
          <w:sz w:val="24"/>
          <w:szCs w:val="24"/>
        </w:rPr>
        <w:t>’</w:t>
      </w:r>
      <w:r w:rsidR="004B72DF" w:rsidRPr="001F7976">
        <w:rPr>
          <w:rFonts w:ascii="Times New Roman" w:hAnsi="Times New Roman" w:cs="Times New Roman"/>
          <w:sz w:val="24"/>
          <w:szCs w:val="24"/>
        </w:rPr>
        <w:t xml:space="preserve"> claim in the sum of $357 330.</w:t>
      </w:r>
      <w:r w:rsidRPr="001F7976">
        <w:rPr>
          <w:rFonts w:ascii="Times New Roman" w:hAnsi="Times New Roman" w:cs="Times New Roman"/>
          <w:sz w:val="24"/>
          <w:szCs w:val="24"/>
        </w:rPr>
        <w:t xml:space="preserve">68 had not prescribed and was still alive.  That judgment was not appealed </w:t>
      </w:r>
      <w:r w:rsidR="003C1424" w:rsidRPr="001F7976">
        <w:rPr>
          <w:rFonts w:ascii="Times New Roman" w:hAnsi="Times New Roman" w:cs="Times New Roman"/>
          <w:sz w:val="24"/>
          <w:szCs w:val="24"/>
        </w:rPr>
        <w:t xml:space="preserve">against </w:t>
      </w:r>
      <w:r w:rsidRPr="001F7976">
        <w:rPr>
          <w:rFonts w:ascii="Times New Roman" w:hAnsi="Times New Roman" w:cs="Times New Roman"/>
          <w:sz w:val="24"/>
          <w:szCs w:val="24"/>
        </w:rPr>
        <w:t>by any of the parties.  It remains extant to this date.  At the end of the appellants</w:t>
      </w:r>
      <w:r w:rsidR="00CC1A8F" w:rsidRPr="001F7976">
        <w:rPr>
          <w:rFonts w:ascii="Times New Roman" w:hAnsi="Times New Roman" w:cs="Times New Roman"/>
          <w:sz w:val="24"/>
          <w:szCs w:val="24"/>
        </w:rPr>
        <w:t>’</w:t>
      </w:r>
      <w:r w:rsidRPr="001F7976">
        <w:rPr>
          <w:rFonts w:ascii="Times New Roman" w:hAnsi="Times New Roman" w:cs="Times New Roman"/>
          <w:sz w:val="24"/>
          <w:szCs w:val="24"/>
        </w:rPr>
        <w:t xml:space="preserve"> case, the court </w:t>
      </w:r>
      <w:r w:rsidRPr="001F7976">
        <w:rPr>
          <w:rFonts w:ascii="Times New Roman" w:hAnsi="Times New Roman" w:cs="Times New Roman"/>
          <w:i/>
          <w:sz w:val="24"/>
          <w:szCs w:val="24"/>
        </w:rPr>
        <w:t>a quo</w:t>
      </w:r>
      <w:r w:rsidRPr="001F7976">
        <w:rPr>
          <w:rFonts w:ascii="Times New Roman" w:hAnsi="Times New Roman" w:cs="Times New Roman"/>
          <w:sz w:val="24"/>
          <w:szCs w:val="24"/>
        </w:rPr>
        <w:t xml:space="preserve"> was again called upon to determine an application for absolution from the instance mounted by the respondent.  Although the judgment on that application has not been made part of the appeal record, it is common cause that the application was dismissed because the court </w:t>
      </w:r>
      <w:r w:rsidRPr="001F7976">
        <w:rPr>
          <w:rFonts w:ascii="Times New Roman" w:hAnsi="Times New Roman" w:cs="Times New Roman"/>
          <w:i/>
          <w:sz w:val="24"/>
          <w:szCs w:val="24"/>
        </w:rPr>
        <w:t>a quo</w:t>
      </w:r>
      <w:r w:rsidRPr="001F7976">
        <w:rPr>
          <w:rFonts w:ascii="Times New Roman" w:hAnsi="Times New Roman" w:cs="Times New Roman"/>
          <w:sz w:val="24"/>
          <w:szCs w:val="24"/>
        </w:rPr>
        <w:t xml:space="preserve"> was satisfied that at that stage the appellant</w:t>
      </w:r>
      <w:r w:rsidR="00CC1A8F" w:rsidRPr="001F7976">
        <w:rPr>
          <w:rFonts w:ascii="Times New Roman" w:hAnsi="Times New Roman" w:cs="Times New Roman"/>
          <w:sz w:val="24"/>
          <w:szCs w:val="24"/>
        </w:rPr>
        <w:t>s</w:t>
      </w:r>
      <w:r w:rsidRPr="001F7976">
        <w:rPr>
          <w:rFonts w:ascii="Times New Roman" w:hAnsi="Times New Roman" w:cs="Times New Roman"/>
          <w:sz w:val="24"/>
          <w:szCs w:val="24"/>
        </w:rPr>
        <w:t xml:space="preserve"> had presented evidence upon which the court could find on </w:t>
      </w:r>
      <w:r w:rsidR="00CC1A8F" w:rsidRPr="001F7976">
        <w:rPr>
          <w:rFonts w:ascii="Times New Roman" w:hAnsi="Times New Roman" w:cs="Times New Roman"/>
          <w:sz w:val="24"/>
          <w:szCs w:val="24"/>
        </w:rPr>
        <w:t>their</w:t>
      </w:r>
      <w:r w:rsidRPr="001F7976">
        <w:rPr>
          <w:rFonts w:ascii="Times New Roman" w:hAnsi="Times New Roman" w:cs="Times New Roman"/>
          <w:sz w:val="24"/>
          <w:szCs w:val="24"/>
        </w:rPr>
        <w:t xml:space="preserve"> behalf.</w:t>
      </w:r>
    </w:p>
    <w:p w:rsidR="00BA05B7" w:rsidRPr="001F7976" w:rsidRDefault="00BA05B7" w:rsidP="008E3494">
      <w:pPr>
        <w:spacing w:after="0" w:line="480" w:lineRule="auto"/>
        <w:ind w:firstLine="1134"/>
        <w:jc w:val="both"/>
        <w:rPr>
          <w:rFonts w:ascii="Times New Roman" w:hAnsi="Times New Roman" w:cs="Times New Roman"/>
          <w:sz w:val="24"/>
          <w:szCs w:val="24"/>
        </w:rPr>
      </w:pPr>
    </w:p>
    <w:p w:rsidR="000F491E" w:rsidRPr="001F7976" w:rsidRDefault="00BA05B7"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 xml:space="preserve">Indeed, commenting on why it dismissed the application for </w:t>
      </w:r>
      <w:r w:rsidR="000F491E" w:rsidRPr="001F7976">
        <w:rPr>
          <w:rFonts w:ascii="Times New Roman" w:hAnsi="Times New Roman" w:cs="Times New Roman"/>
          <w:sz w:val="24"/>
          <w:szCs w:val="24"/>
        </w:rPr>
        <w:t xml:space="preserve">absolution from the instance in the main judgment at p 4, the court </w:t>
      </w:r>
      <w:r w:rsidR="000F491E" w:rsidRPr="001F7976">
        <w:rPr>
          <w:rFonts w:ascii="Times New Roman" w:hAnsi="Times New Roman" w:cs="Times New Roman"/>
          <w:i/>
          <w:sz w:val="24"/>
          <w:szCs w:val="24"/>
        </w:rPr>
        <w:t>a quo</w:t>
      </w:r>
      <w:r w:rsidR="000F491E" w:rsidRPr="001F7976">
        <w:rPr>
          <w:rFonts w:ascii="Times New Roman" w:hAnsi="Times New Roman" w:cs="Times New Roman"/>
          <w:sz w:val="24"/>
          <w:szCs w:val="24"/>
        </w:rPr>
        <w:t xml:space="preserve"> stated:</w:t>
      </w:r>
    </w:p>
    <w:p w:rsidR="00850B33" w:rsidRPr="001F7976" w:rsidRDefault="000F491E" w:rsidP="008E3494">
      <w:pPr>
        <w:spacing w:after="0" w:line="240" w:lineRule="auto"/>
        <w:ind w:left="1134"/>
        <w:jc w:val="both"/>
        <w:rPr>
          <w:rFonts w:ascii="Times New Roman" w:hAnsi="Times New Roman" w:cs="Times New Roman"/>
          <w:sz w:val="24"/>
          <w:szCs w:val="24"/>
        </w:rPr>
      </w:pPr>
      <w:r w:rsidRPr="001F7976">
        <w:rPr>
          <w:rFonts w:ascii="Times New Roman" w:hAnsi="Times New Roman" w:cs="Times New Roman"/>
          <w:sz w:val="24"/>
          <w:szCs w:val="24"/>
        </w:rPr>
        <w:t xml:space="preserve">“The court at that stage formulated the view that there was evidence upon which a reasonable court might give judgment in favour of the plaintiff and that the plaintiff had established a </w:t>
      </w:r>
      <w:r w:rsidRPr="001F7976">
        <w:rPr>
          <w:rFonts w:ascii="Times New Roman" w:hAnsi="Times New Roman" w:cs="Times New Roman"/>
          <w:i/>
          <w:sz w:val="24"/>
          <w:szCs w:val="24"/>
        </w:rPr>
        <w:t>prima facie</w:t>
      </w:r>
      <w:r w:rsidRPr="001F7976">
        <w:rPr>
          <w:rFonts w:ascii="Times New Roman" w:hAnsi="Times New Roman" w:cs="Times New Roman"/>
          <w:sz w:val="24"/>
          <w:szCs w:val="24"/>
        </w:rPr>
        <w:t xml:space="preserve"> case.  The court, in coming up with that decision, considered that an agreement had been entered into and executed.  The indications at that stage were that the MD had ostensible authority to enter into the contract in issue and there was work done after the first fee note which the plaintiff may be entitled to claim for.”</w:t>
      </w:r>
    </w:p>
    <w:p w:rsidR="00360B46" w:rsidRPr="001F7976" w:rsidRDefault="00360B46" w:rsidP="008E3494">
      <w:pPr>
        <w:spacing w:after="0" w:line="240" w:lineRule="auto"/>
        <w:jc w:val="both"/>
        <w:rPr>
          <w:rFonts w:ascii="Times New Roman" w:hAnsi="Times New Roman" w:cs="Times New Roman"/>
          <w:sz w:val="24"/>
          <w:szCs w:val="24"/>
        </w:rPr>
      </w:pPr>
    </w:p>
    <w:p w:rsidR="00360B46" w:rsidRPr="001F7976" w:rsidRDefault="00360B46" w:rsidP="008E3494">
      <w:pPr>
        <w:spacing w:after="0" w:line="240" w:lineRule="auto"/>
        <w:jc w:val="both"/>
        <w:rPr>
          <w:rFonts w:ascii="Times New Roman" w:hAnsi="Times New Roman" w:cs="Times New Roman"/>
          <w:sz w:val="24"/>
          <w:szCs w:val="24"/>
        </w:rPr>
      </w:pPr>
    </w:p>
    <w:p w:rsidR="00360B46" w:rsidRPr="001F7976" w:rsidRDefault="00360B46" w:rsidP="008E3494">
      <w:pPr>
        <w:spacing w:after="0" w:line="240" w:lineRule="auto"/>
        <w:jc w:val="both"/>
        <w:rPr>
          <w:rFonts w:ascii="Times New Roman" w:hAnsi="Times New Roman" w:cs="Times New Roman"/>
          <w:sz w:val="24"/>
          <w:szCs w:val="24"/>
        </w:rPr>
      </w:pPr>
    </w:p>
    <w:p w:rsidR="00D94A50" w:rsidRPr="001F7976" w:rsidRDefault="00360B46"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 xml:space="preserve">It is not clear how the view the court </w:t>
      </w:r>
      <w:r w:rsidRPr="001F7976">
        <w:rPr>
          <w:rFonts w:ascii="Times New Roman" w:hAnsi="Times New Roman" w:cs="Times New Roman"/>
          <w:i/>
          <w:sz w:val="24"/>
          <w:szCs w:val="24"/>
        </w:rPr>
        <w:t>a quo</w:t>
      </w:r>
      <w:r w:rsidRPr="001F7976">
        <w:rPr>
          <w:rFonts w:ascii="Times New Roman" w:hAnsi="Times New Roman" w:cs="Times New Roman"/>
          <w:sz w:val="24"/>
          <w:szCs w:val="24"/>
        </w:rPr>
        <w:t xml:space="preserve"> had formulated at the close of the appellants</w:t>
      </w:r>
      <w:r w:rsidR="00CC1A8F" w:rsidRPr="001F7976">
        <w:rPr>
          <w:rFonts w:ascii="Times New Roman" w:hAnsi="Times New Roman" w:cs="Times New Roman"/>
          <w:sz w:val="24"/>
          <w:szCs w:val="24"/>
        </w:rPr>
        <w:t>’</w:t>
      </w:r>
      <w:r w:rsidRPr="001F7976">
        <w:rPr>
          <w:rFonts w:ascii="Times New Roman" w:hAnsi="Times New Roman" w:cs="Times New Roman"/>
          <w:sz w:val="24"/>
          <w:szCs w:val="24"/>
        </w:rPr>
        <w:t xml:space="preserve"> case dissipated during the presentation of the respondent</w:t>
      </w:r>
      <w:r w:rsidR="00D94A50" w:rsidRPr="001F7976">
        <w:rPr>
          <w:rFonts w:ascii="Times New Roman" w:hAnsi="Times New Roman" w:cs="Times New Roman"/>
          <w:sz w:val="24"/>
          <w:szCs w:val="24"/>
        </w:rPr>
        <w:t>’</w:t>
      </w:r>
      <w:r w:rsidRPr="001F7976">
        <w:rPr>
          <w:rFonts w:ascii="Times New Roman" w:hAnsi="Times New Roman" w:cs="Times New Roman"/>
          <w:sz w:val="24"/>
          <w:szCs w:val="24"/>
        </w:rPr>
        <w:t>s</w:t>
      </w:r>
      <w:r w:rsidR="00D94A50" w:rsidRPr="001F7976">
        <w:rPr>
          <w:rFonts w:ascii="Times New Roman" w:hAnsi="Times New Roman" w:cs="Times New Roman"/>
          <w:sz w:val="24"/>
          <w:szCs w:val="24"/>
        </w:rPr>
        <w:t xml:space="preserve"> case.  This is particularly so given that the thrust of the evidence of the respondent was a denial of the existence of authority for Dr Zvandasara to bind the respondent to a contract.</w:t>
      </w:r>
    </w:p>
    <w:p w:rsidR="00D94A50" w:rsidRPr="001F7976" w:rsidRDefault="00D94A50" w:rsidP="008E3494">
      <w:pPr>
        <w:spacing w:after="0" w:line="480" w:lineRule="auto"/>
        <w:ind w:firstLine="1134"/>
        <w:jc w:val="both"/>
        <w:rPr>
          <w:rFonts w:ascii="Times New Roman" w:hAnsi="Times New Roman" w:cs="Times New Roman"/>
          <w:sz w:val="24"/>
          <w:szCs w:val="24"/>
        </w:rPr>
      </w:pPr>
    </w:p>
    <w:p w:rsidR="001236BE" w:rsidRPr="001F7976" w:rsidRDefault="00D94A50" w:rsidP="008E3494">
      <w:pPr>
        <w:spacing w:after="0" w:line="480" w:lineRule="auto"/>
        <w:ind w:firstLine="720"/>
        <w:jc w:val="both"/>
        <w:rPr>
          <w:rFonts w:ascii="Times New Roman" w:hAnsi="Times New Roman" w:cs="Times New Roman"/>
          <w:sz w:val="24"/>
          <w:szCs w:val="24"/>
        </w:rPr>
      </w:pPr>
      <w:r w:rsidRPr="001F7976">
        <w:rPr>
          <w:rFonts w:ascii="Times New Roman" w:hAnsi="Times New Roman" w:cs="Times New Roman"/>
          <w:sz w:val="24"/>
          <w:szCs w:val="24"/>
        </w:rPr>
        <w:t xml:space="preserve">The court </w:t>
      </w:r>
      <w:r w:rsidRPr="001F7976">
        <w:rPr>
          <w:rFonts w:ascii="Times New Roman" w:hAnsi="Times New Roman" w:cs="Times New Roman"/>
          <w:i/>
          <w:sz w:val="24"/>
          <w:szCs w:val="24"/>
        </w:rPr>
        <w:t>a quo</w:t>
      </w:r>
      <w:r w:rsidRPr="001F7976">
        <w:rPr>
          <w:rFonts w:ascii="Times New Roman" w:hAnsi="Times New Roman" w:cs="Times New Roman"/>
          <w:sz w:val="24"/>
          <w:szCs w:val="24"/>
        </w:rPr>
        <w:t xml:space="preserve"> however dismissed the appellant’s claim even for the sum of $357 </w:t>
      </w:r>
      <w:r w:rsidR="004B72DF" w:rsidRPr="001F7976">
        <w:rPr>
          <w:rFonts w:ascii="Times New Roman" w:hAnsi="Times New Roman" w:cs="Times New Roman"/>
          <w:sz w:val="24"/>
          <w:szCs w:val="24"/>
        </w:rPr>
        <w:t>330.</w:t>
      </w:r>
      <w:r w:rsidRPr="001F7976">
        <w:rPr>
          <w:rFonts w:ascii="Times New Roman" w:hAnsi="Times New Roman" w:cs="Times New Roman"/>
          <w:sz w:val="24"/>
          <w:szCs w:val="24"/>
        </w:rPr>
        <w:t xml:space="preserve">68 which had not prescribed. It did so despite making pointed findings that the conduct and deeds of the parties after the signing of the contract and “during the progression of the project confirms” that the respondent’s Board of </w:t>
      </w:r>
      <w:r w:rsidR="00367391" w:rsidRPr="001F7976">
        <w:rPr>
          <w:rFonts w:ascii="Times New Roman" w:hAnsi="Times New Roman" w:cs="Times New Roman"/>
          <w:sz w:val="24"/>
          <w:szCs w:val="24"/>
        </w:rPr>
        <w:t>directors” was</w:t>
      </w:r>
      <w:r w:rsidRPr="001F7976">
        <w:rPr>
          <w:rFonts w:ascii="Times New Roman" w:hAnsi="Times New Roman" w:cs="Times New Roman"/>
          <w:sz w:val="24"/>
          <w:szCs w:val="24"/>
        </w:rPr>
        <w:t xml:space="preserve"> aware of the project and gave </w:t>
      </w:r>
      <w:r w:rsidRPr="001F7976">
        <w:rPr>
          <w:rFonts w:ascii="Times New Roman" w:hAnsi="Times New Roman" w:cs="Times New Roman"/>
          <w:sz w:val="24"/>
          <w:szCs w:val="24"/>
        </w:rPr>
        <w:lastRenderedPageBreak/>
        <w:t xml:space="preserve">it its thumbs up.”  The respondent was aware, so the court </w:t>
      </w:r>
      <w:r w:rsidRPr="001F7976">
        <w:rPr>
          <w:rFonts w:ascii="Times New Roman" w:hAnsi="Times New Roman" w:cs="Times New Roman"/>
          <w:i/>
          <w:sz w:val="24"/>
          <w:szCs w:val="24"/>
        </w:rPr>
        <w:t>a quo</w:t>
      </w:r>
      <w:r w:rsidRPr="001F7976">
        <w:rPr>
          <w:rFonts w:ascii="Times New Roman" w:hAnsi="Times New Roman" w:cs="Times New Roman"/>
          <w:sz w:val="24"/>
          <w:szCs w:val="24"/>
        </w:rPr>
        <w:t xml:space="preserve"> found, of the payments made towards the project and that the </w:t>
      </w:r>
      <w:r w:rsidR="00CC1A8F" w:rsidRPr="001F7976">
        <w:rPr>
          <w:rFonts w:ascii="Times New Roman" w:hAnsi="Times New Roman" w:cs="Times New Roman"/>
          <w:sz w:val="24"/>
          <w:szCs w:val="24"/>
        </w:rPr>
        <w:t>Board of D</w:t>
      </w:r>
      <w:r w:rsidRPr="001F7976">
        <w:rPr>
          <w:rFonts w:ascii="Times New Roman" w:hAnsi="Times New Roman" w:cs="Times New Roman"/>
          <w:sz w:val="24"/>
          <w:szCs w:val="24"/>
        </w:rPr>
        <w:t xml:space="preserve">irectors of the respondent “approved the developments.” </w:t>
      </w:r>
    </w:p>
    <w:p w:rsidR="001236BE" w:rsidRPr="001F7976" w:rsidRDefault="001236BE"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 xml:space="preserve">The court </w:t>
      </w:r>
      <w:r w:rsidRPr="001F7976">
        <w:rPr>
          <w:rFonts w:ascii="Times New Roman" w:hAnsi="Times New Roman" w:cs="Times New Roman"/>
          <w:i/>
          <w:sz w:val="24"/>
          <w:szCs w:val="24"/>
        </w:rPr>
        <w:t>a quo</w:t>
      </w:r>
      <w:r w:rsidRPr="001F7976">
        <w:rPr>
          <w:rFonts w:ascii="Times New Roman" w:hAnsi="Times New Roman" w:cs="Times New Roman"/>
          <w:sz w:val="24"/>
          <w:szCs w:val="24"/>
        </w:rPr>
        <w:t xml:space="preserve"> made a finding that the parties entered into a binding contract for the alterations, additions and refurbishment of the hospital.  </w:t>
      </w:r>
      <w:r w:rsidR="00CC1A8F" w:rsidRPr="001F7976">
        <w:rPr>
          <w:rFonts w:ascii="Times New Roman" w:hAnsi="Times New Roman" w:cs="Times New Roman"/>
          <w:sz w:val="24"/>
          <w:szCs w:val="24"/>
        </w:rPr>
        <w:t>It</w:t>
      </w:r>
      <w:r w:rsidRPr="001F7976">
        <w:rPr>
          <w:rFonts w:ascii="Times New Roman" w:hAnsi="Times New Roman" w:cs="Times New Roman"/>
          <w:sz w:val="24"/>
          <w:szCs w:val="24"/>
        </w:rPr>
        <w:t xml:space="preserve"> also made the following important finding at p</w:t>
      </w:r>
      <w:r w:rsidR="00CC1A8F" w:rsidRPr="001F7976">
        <w:rPr>
          <w:rFonts w:ascii="Times New Roman" w:hAnsi="Times New Roman" w:cs="Times New Roman"/>
          <w:sz w:val="24"/>
          <w:szCs w:val="24"/>
        </w:rPr>
        <w:t xml:space="preserve"> 10 of the cyclostyled judgment:</w:t>
      </w:r>
    </w:p>
    <w:p w:rsidR="001236BE" w:rsidRPr="001F7976" w:rsidRDefault="001236BE" w:rsidP="008E3494">
      <w:pPr>
        <w:spacing w:after="0" w:line="240" w:lineRule="auto"/>
        <w:ind w:left="567"/>
        <w:jc w:val="both"/>
        <w:rPr>
          <w:rFonts w:ascii="Times New Roman" w:hAnsi="Times New Roman" w:cs="Times New Roman"/>
          <w:sz w:val="24"/>
          <w:szCs w:val="24"/>
        </w:rPr>
      </w:pPr>
      <w:r w:rsidRPr="001F7976">
        <w:rPr>
          <w:rFonts w:ascii="Times New Roman" w:hAnsi="Times New Roman" w:cs="Times New Roman"/>
          <w:sz w:val="24"/>
          <w:szCs w:val="24"/>
        </w:rPr>
        <w:t>“The issue is how much the plaintiff is entitled to in terms of the 2010 fee note.  The work done and claimed after the 2006 fee note constitutes 25 percent of the work.  It means that the plaintiff is entitled to only 25 percent of the work done under the 2010 fee note.”</w:t>
      </w:r>
    </w:p>
    <w:p w:rsidR="001236BE" w:rsidRPr="001F7976" w:rsidRDefault="001236BE" w:rsidP="008E3494">
      <w:pPr>
        <w:spacing w:after="0" w:line="240" w:lineRule="auto"/>
        <w:jc w:val="both"/>
        <w:rPr>
          <w:rFonts w:ascii="Times New Roman" w:hAnsi="Times New Roman" w:cs="Times New Roman"/>
          <w:sz w:val="24"/>
          <w:szCs w:val="24"/>
        </w:rPr>
      </w:pPr>
    </w:p>
    <w:p w:rsidR="001236BE" w:rsidRPr="001F7976" w:rsidRDefault="001236BE" w:rsidP="008E3494">
      <w:pPr>
        <w:spacing w:after="0" w:line="240" w:lineRule="auto"/>
        <w:jc w:val="both"/>
        <w:rPr>
          <w:rFonts w:ascii="Times New Roman" w:hAnsi="Times New Roman" w:cs="Times New Roman"/>
          <w:sz w:val="24"/>
          <w:szCs w:val="24"/>
        </w:rPr>
      </w:pPr>
    </w:p>
    <w:p w:rsidR="001236BE" w:rsidRPr="001F7976" w:rsidRDefault="001236BE" w:rsidP="008E3494">
      <w:pPr>
        <w:spacing w:after="0" w:line="240" w:lineRule="auto"/>
        <w:jc w:val="both"/>
        <w:rPr>
          <w:rFonts w:ascii="Times New Roman" w:hAnsi="Times New Roman" w:cs="Times New Roman"/>
          <w:sz w:val="24"/>
          <w:szCs w:val="24"/>
        </w:rPr>
      </w:pPr>
    </w:p>
    <w:p w:rsidR="00FD6037" w:rsidRPr="001F7976" w:rsidRDefault="001236BE"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 xml:space="preserve">I have said that the parties are agreed that the 25 percent that the court </w:t>
      </w:r>
      <w:r w:rsidRPr="001F7976">
        <w:rPr>
          <w:rFonts w:ascii="Times New Roman" w:hAnsi="Times New Roman" w:cs="Times New Roman"/>
          <w:i/>
          <w:sz w:val="24"/>
          <w:szCs w:val="24"/>
        </w:rPr>
        <w:t>a quo</w:t>
      </w:r>
      <w:r w:rsidRPr="001F7976">
        <w:rPr>
          <w:rFonts w:ascii="Times New Roman" w:hAnsi="Times New Roman" w:cs="Times New Roman"/>
          <w:sz w:val="24"/>
          <w:szCs w:val="24"/>
        </w:rPr>
        <w:t xml:space="preserve"> was referring to amounts to $3</w:t>
      </w:r>
      <w:r w:rsidR="00CC1A8F" w:rsidRPr="001F7976">
        <w:rPr>
          <w:rFonts w:ascii="Times New Roman" w:hAnsi="Times New Roman" w:cs="Times New Roman"/>
          <w:sz w:val="24"/>
          <w:szCs w:val="24"/>
        </w:rPr>
        <w:t>57 </w:t>
      </w:r>
      <w:r w:rsidR="004B72DF" w:rsidRPr="001F7976">
        <w:rPr>
          <w:rFonts w:ascii="Times New Roman" w:hAnsi="Times New Roman" w:cs="Times New Roman"/>
          <w:sz w:val="24"/>
          <w:szCs w:val="24"/>
        </w:rPr>
        <w:t>330.</w:t>
      </w:r>
      <w:r w:rsidRPr="001F7976">
        <w:rPr>
          <w:rFonts w:ascii="Times New Roman" w:hAnsi="Times New Roman" w:cs="Times New Roman"/>
          <w:sz w:val="24"/>
          <w:szCs w:val="24"/>
        </w:rPr>
        <w:t xml:space="preserve">68.  Surprisingly however, right at the end of the judgment the court </w:t>
      </w:r>
      <w:r w:rsidRPr="001F7976">
        <w:rPr>
          <w:rFonts w:ascii="Times New Roman" w:hAnsi="Times New Roman" w:cs="Times New Roman"/>
          <w:i/>
          <w:sz w:val="24"/>
          <w:szCs w:val="24"/>
        </w:rPr>
        <w:t>a quo</w:t>
      </w:r>
      <w:r w:rsidRPr="001F7976">
        <w:rPr>
          <w:rFonts w:ascii="Times New Roman" w:hAnsi="Times New Roman" w:cs="Times New Roman"/>
          <w:sz w:val="24"/>
          <w:szCs w:val="24"/>
        </w:rPr>
        <w:t xml:space="preserve"> appears to have contradicted itself when it concluded:</w:t>
      </w:r>
    </w:p>
    <w:p w:rsidR="00FD6037" w:rsidRPr="001F7976" w:rsidRDefault="00FD6037" w:rsidP="008E3494">
      <w:pPr>
        <w:spacing w:after="0" w:line="240" w:lineRule="auto"/>
        <w:ind w:left="567"/>
        <w:jc w:val="both"/>
        <w:rPr>
          <w:rFonts w:ascii="Times New Roman" w:hAnsi="Times New Roman" w:cs="Times New Roman"/>
          <w:sz w:val="24"/>
          <w:szCs w:val="24"/>
        </w:rPr>
      </w:pPr>
      <w:r w:rsidRPr="001F7976">
        <w:rPr>
          <w:rFonts w:ascii="Times New Roman" w:hAnsi="Times New Roman" w:cs="Times New Roman"/>
          <w:sz w:val="24"/>
          <w:szCs w:val="24"/>
        </w:rPr>
        <w:t>“Once I ruled that the plaintiff was entitled to only 25 percent of the fees, it was incumbent upon the plaintiff to prove the work carried out after the first fee note and come up with charges for the separate work carried out.  This</w:t>
      </w:r>
      <w:r w:rsidR="00CC1A8F" w:rsidRPr="001F7976">
        <w:rPr>
          <w:rFonts w:ascii="Times New Roman" w:hAnsi="Times New Roman" w:cs="Times New Roman"/>
          <w:sz w:val="24"/>
          <w:szCs w:val="24"/>
        </w:rPr>
        <w:t>,</w:t>
      </w:r>
      <w:r w:rsidRPr="001F7976">
        <w:rPr>
          <w:rFonts w:ascii="Times New Roman" w:hAnsi="Times New Roman" w:cs="Times New Roman"/>
          <w:sz w:val="24"/>
          <w:szCs w:val="24"/>
        </w:rPr>
        <w:t xml:space="preserve"> the plaintiff did not do because it stubbornly stuck to the entire claim.  Its folly has betrayed it.  The fee note does not specify how much was charged for each category of work carried out.  The defendant contends that the plaintiff’s claim has been </w:t>
      </w:r>
      <w:r w:rsidR="00B7295F" w:rsidRPr="001F7976">
        <w:rPr>
          <w:rFonts w:ascii="Times New Roman" w:hAnsi="Times New Roman" w:cs="Times New Roman"/>
          <w:sz w:val="24"/>
          <w:szCs w:val="24"/>
        </w:rPr>
        <w:t xml:space="preserve">reduced to $357 330,68 for work carried out after the 2006 fee note.  Their computation is based on a calculation of 25 percent of the 2010 fee note.  No attempt was made to prove 25 percent of the claim.  The plaintiff has failed to prove that it is entitled to 25 percent of the fees or any lesser amount.  In the absence of any apportionment of charges for each separate head of work carried out after 2006, I am unable to find that the plaintiff has proved its claim on a balance of </w:t>
      </w:r>
      <w:r w:rsidR="001E5E37" w:rsidRPr="001F7976">
        <w:rPr>
          <w:rFonts w:ascii="Times New Roman" w:hAnsi="Times New Roman" w:cs="Times New Roman"/>
          <w:sz w:val="24"/>
          <w:szCs w:val="24"/>
        </w:rPr>
        <w:t>probabilities</w:t>
      </w:r>
      <w:r w:rsidR="00B7295F" w:rsidRPr="001F7976">
        <w:rPr>
          <w:rFonts w:ascii="Times New Roman" w:hAnsi="Times New Roman" w:cs="Times New Roman"/>
          <w:sz w:val="24"/>
          <w:szCs w:val="24"/>
        </w:rPr>
        <w:t>.”</w:t>
      </w:r>
    </w:p>
    <w:p w:rsidR="001E5E37" w:rsidRPr="001F7976" w:rsidRDefault="001E5E37" w:rsidP="008E3494">
      <w:pPr>
        <w:spacing w:after="0" w:line="240" w:lineRule="auto"/>
        <w:jc w:val="both"/>
        <w:rPr>
          <w:rFonts w:ascii="Times New Roman" w:hAnsi="Times New Roman" w:cs="Times New Roman"/>
          <w:sz w:val="24"/>
          <w:szCs w:val="24"/>
        </w:rPr>
      </w:pPr>
    </w:p>
    <w:p w:rsidR="001E5E37" w:rsidRPr="001F7976" w:rsidRDefault="001E5E37" w:rsidP="008E3494">
      <w:pPr>
        <w:spacing w:after="0" w:line="240" w:lineRule="auto"/>
        <w:jc w:val="both"/>
        <w:rPr>
          <w:rFonts w:ascii="Times New Roman" w:hAnsi="Times New Roman" w:cs="Times New Roman"/>
          <w:sz w:val="24"/>
          <w:szCs w:val="24"/>
        </w:rPr>
      </w:pPr>
    </w:p>
    <w:p w:rsidR="001E5E37" w:rsidRPr="001F7976" w:rsidRDefault="001E5E37" w:rsidP="008E3494">
      <w:pPr>
        <w:spacing w:after="0" w:line="240" w:lineRule="auto"/>
        <w:jc w:val="both"/>
        <w:rPr>
          <w:rFonts w:ascii="Times New Roman" w:hAnsi="Times New Roman" w:cs="Times New Roman"/>
          <w:sz w:val="24"/>
          <w:szCs w:val="24"/>
        </w:rPr>
      </w:pPr>
    </w:p>
    <w:p w:rsidR="001E5E37" w:rsidRPr="001F7976" w:rsidRDefault="001E5E37"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 xml:space="preserve">While the court </w:t>
      </w:r>
      <w:r w:rsidRPr="001F7976">
        <w:rPr>
          <w:rFonts w:ascii="Times New Roman" w:hAnsi="Times New Roman" w:cs="Times New Roman"/>
          <w:i/>
          <w:sz w:val="24"/>
          <w:szCs w:val="24"/>
        </w:rPr>
        <w:t>a quo</w:t>
      </w:r>
      <w:r w:rsidRPr="001F7976">
        <w:rPr>
          <w:rFonts w:ascii="Times New Roman" w:hAnsi="Times New Roman" w:cs="Times New Roman"/>
          <w:sz w:val="24"/>
          <w:szCs w:val="24"/>
        </w:rPr>
        <w:t xml:space="preserve"> clearly ruled that the appellant was entitled to 25 percent of the fees charged in the 3 August 2010 fee note, it again dismissed the same claim on the ground that the appellant was required to prove it.  The appellant was understandably aggrieved and noted this appeal.</w:t>
      </w:r>
    </w:p>
    <w:p w:rsidR="00175146" w:rsidRPr="001F7976" w:rsidRDefault="00175146" w:rsidP="008E3494">
      <w:pPr>
        <w:spacing w:after="0" w:line="480" w:lineRule="auto"/>
        <w:ind w:firstLine="1134"/>
        <w:jc w:val="both"/>
        <w:rPr>
          <w:rFonts w:ascii="Times New Roman" w:hAnsi="Times New Roman" w:cs="Times New Roman"/>
          <w:sz w:val="24"/>
          <w:szCs w:val="24"/>
        </w:rPr>
      </w:pPr>
    </w:p>
    <w:p w:rsidR="00175146" w:rsidRPr="001F7976" w:rsidRDefault="00175146" w:rsidP="008E3494">
      <w:pPr>
        <w:spacing w:after="0" w:line="480" w:lineRule="auto"/>
        <w:jc w:val="both"/>
        <w:rPr>
          <w:rFonts w:ascii="Times New Roman" w:hAnsi="Times New Roman" w:cs="Times New Roman"/>
          <w:b/>
          <w:sz w:val="24"/>
          <w:szCs w:val="24"/>
        </w:rPr>
      </w:pPr>
      <w:r w:rsidRPr="001F7976">
        <w:rPr>
          <w:rFonts w:ascii="Times New Roman" w:hAnsi="Times New Roman" w:cs="Times New Roman"/>
          <w:b/>
          <w:sz w:val="24"/>
          <w:szCs w:val="24"/>
        </w:rPr>
        <w:lastRenderedPageBreak/>
        <w:t>GROUNDS OF APPEAL</w:t>
      </w:r>
    </w:p>
    <w:p w:rsidR="00175146" w:rsidRPr="001F7976" w:rsidRDefault="00175146"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The grounds upon which the appellant</w:t>
      </w:r>
      <w:r w:rsidR="00CC1A8F" w:rsidRPr="001F7976">
        <w:rPr>
          <w:rFonts w:ascii="Times New Roman" w:hAnsi="Times New Roman" w:cs="Times New Roman"/>
          <w:sz w:val="24"/>
          <w:szCs w:val="24"/>
        </w:rPr>
        <w:t>s have</w:t>
      </w:r>
      <w:r w:rsidRPr="001F7976">
        <w:rPr>
          <w:rFonts w:ascii="Times New Roman" w:hAnsi="Times New Roman" w:cs="Times New Roman"/>
          <w:sz w:val="24"/>
          <w:szCs w:val="24"/>
        </w:rPr>
        <w:t xml:space="preserve"> challenged the judgment of the court </w:t>
      </w:r>
      <w:r w:rsidRPr="001F7976">
        <w:rPr>
          <w:rFonts w:ascii="Times New Roman" w:hAnsi="Times New Roman" w:cs="Times New Roman"/>
          <w:i/>
          <w:sz w:val="24"/>
          <w:szCs w:val="24"/>
        </w:rPr>
        <w:t>a quo</w:t>
      </w:r>
      <w:r w:rsidRPr="001F7976">
        <w:rPr>
          <w:rFonts w:ascii="Times New Roman" w:hAnsi="Times New Roman" w:cs="Times New Roman"/>
          <w:sz w:val="24"/>
          <w:szCs w:val="24"/>
        </w:rPr>
        <w:t xml:space="preserve"> are:</w:t>
      </w:r>
    </w:p>
    <w:p w:rsidR="00132202" w:rsidRPr="001F7976" w:rsidRDefault="00175146" w:rsidP="008E3494">
      <w:pPr>
        <w:pStyle w:val="ListParagraph"/>
        <w:numPr>
          <w:ilvl w:val="0"/>
          <w:numId w:val="10"/>
        </w:numPr>
        <w:spacing w:after="0" w:line="480" w:lineRule="auto"/>
        <w:jc w:val="both"/>
        <w:rPr>
          <w:rFonts w:ascii="Times New Roman" w:hAnsi="Times New Roman" w:cs="Times New Roman"/>
          <w:sz w:val="24"/>
          <w:szCs w:val="24"/>
        </w:rPr>
      </w:pPr>
      <w:r w:rsidRPr="001F7976">
        <w:rPr>
          <w:rFonts w:ascii="Times New Roman" w:hAnsi="Times New Roman" w:cs="Times New Roman"/>
          <w:sz w:val="24"/>
          <w:szCs w:val="24"/>
        </w:rPr>
        <w:t xml:space="preserve">The court </w:t>
      </w:r>
      <w:r w:rsidRPr="001F7976">
        <w:rPr>
          <w:rFonts w:ascii="Times New Roman" w:hAnsi="Times New Roman" w:cs="Times New Roman"/>
          <w:i/>
          <w:sz w:val="24"/>
          <w:szCs w:val="24"/>
        </w:rPr>
        <w:t>a quo</w:t>
      </w:r>
      <w:r w:rsidRPr="001F7976">
        <w:rPr>
          <w:rFonts w:ascii="Times New Roman" w:hAnsi="Times New Roman" w:cs="Times New Roman"/>
          <w:sz w:val="24"/>
          <w:szCs w:val="24"/>
        </w:rPr>
        <w:t xml:space="preserve"> erred and grossly misdirected its</w:t>
      </w:r>
      <w:r w:rsidR="00CC1A8F" w:rsidRPr="001F7976">
        <w:rPr>
          <w:rFonts w:ascii="Times New Roman" w:hAnsi="Times New Roman" w:cs="Times New Roman"/>
          <w:sz w:val="24"/>
          <w:szCs w:val="24"/>
        </w:rPr>
        <w:t>elf in dismissing the appellant</w:t>
      </w:r>
      <w:r w:rsidRPr="001F7976">
        <w:rPr>
          <w:rFonts w:ascii="Times New Roman" w:hAnsi="Times New Roman" w:cs="Times New Roman"/>
          <w:sz w:val="24"/>
          <w:szCs w:val="24"/>
        </w:rPr>
        <w:t>s</w:t>
      </w:r>
      <w:r w:rsidR="00CC1A8F" w:rsidRPr="001F7976">
        <w:rPr>
          <w:rFonts w:ascii="Times New Roman" w:hAnsi="Times New Roman" w:cs="Times New Roman"/>
          <w:sz w:val="24"/>
          <w:szCs w:val="24"/>
        </w:rPr>
        <w:t>’</w:t>
      </w:r>
      <w:r w:rsidRPr="001F7976">
        <w:rPr>
          <w:rFonts w:ascii="Times New Roman" w:hAnsi="Times New Roman" w:cs="Times New Roman"/>
          <w:sz w:val="24"/>
          <w:szCs w:val="24"/>
        </w:rPr>
        <w:t xml:space="preserve"> claim on the basis that the attendant quantum had not been proved.  Such finding was anomalous considering that the court </w:t>
      </w:r>
      <w:r w:rsidRPr="001F7976">
        <w:rPr>
          <w:rFonts w:ascii="Times New Roman" w:hAnsi="Times New Roman" w:cs="Times New Roman"/>
          <w:i/>
          <w:sz w:val="24"/>
          <w:szCs w:val="24"/>
        </w:rPr>
        <w:t>a quo</w:t>
      </w:r>
      <w:r w:rsidRPr="001F7976">
        <w:rPr>
          <w:rFonts w:ascii="Times New Roman" w:hAnsi="Times New Roman" w:cs="Times New Roman"/>
          <w:sz w:val="24"/>
          <w:szCs w:val="24"/>
        </w:rPr>
        <w:t xml:space="preserve"> had found in favour of the appellant</w:t>
      </w:r>
      <w:r w:rsidR="00CC1A8F" w:rsidRPr="001F7976">
        <w:rPr>
          <w:rFonts w:ascii="Times New Roman" w:hAnsi="Times New Roman" w:cs="Times New Roman"/>
          <w:sz w:val="24"/>
          <w:szCs w:val="24"/>
        </w:rPr>
        <w:t>s</w:t>
      </w:r>
      <w:r w:rsidRPr="001F7976">
        <w:rPr>
          <w:rFonts w:ascii="Times New Roman" w:hAnsi="Times New Roman" w:cs="Times New Roman"/>
          <w:sz w:val="24"/>
          <w:szCs w:val="24"/>
        </w:rPr>
        <w:t xml:space="preserve"> on the substantive issues before it.</w:t>
      </w:r>
    </w:p>
    <w:p w:rsidR="00175146" w:rsidRPr="001F7976" w:rsidRDefault="00175146" w:rsidP="008E3494">
      <w:pPr>
        <w:pStyle w:val="ListParagraph"/>
        <w:numPr>
          <w:ilvl w:val="0"/>
          <w:numId w:val="10"/>
        </w:numPr>
        <w:spacing w:after="0" w:line="480" w:lineRule="auto"/>
        <w:jc w:val="both"/>
        <w:rPr>
          <w:rFonts w:ascii="Times New Roman" w:hAnsi="Times New Roman" w:cs="Times New Roman"/>
          <w:sz w:val="24"/>
          <w:szCs w:val="24"/>
        </w:rPr>
      </w:pPr>
      <w:r w:rsidRPr="001F7976">
        <w:rPr>
          <w:rFonts w:ascii="Times New Roman" w:hAnsi="Times New Roman" w:cs="Times New Roman"/>
          <w:sz w:val="24"/>
          <w:szCs w:val="24"/>
        </w:rPr>
        <w:t>Having found that the appellant</w:t>
      </w:r>
      <w:r w:rsidR="00CC1A8F" w:rsidRPr="001F7976">
        <w:rPr>
          <w:rFonts w:ascii="Times New Roman" w:hAnsi="Times New Roman" w:cs="Times New Roman"/>
          <w:sz w:val="24"/>
          <w:szCs w:val="24"/>
        </w:rPr>
        <w:t>s</w:t>
      </w:r>
      <w:r w:rsidRPr="001F7976">
        <w:rPr>
          <w:rFonts w:ascii="Times New Roman" w:hAnsi="Times New Roman" w:cs="Times New Roman"/>
          <w:sz w:val="24"/>
          <w:szCs w:val="24"/>
        </w:rPr>
        <w:t xml:space="preserve"> did work between 2006 and 2010 in terms of a valid agreement and that 75 percent of the appellants</w:t>
      </w:r>
      <w:r w:rsidR="00CC1A8F" w:rsidRPr="001F7976">
        <w:rPr>
          <w:rFonts w:ascii="Times New Roman" w:hAnsi="Times New Roman" w:cs="Times New Roman"/>
          <w:sz w:val="24"/>
          <w:szCs w:val="24"/>
        </w:rPr>
        <w:t>’</w:t>
      </w:r>
      <w:r w:rsidRPr="001F7976">
        <w:rPr>
          <w:rFonts w:ascii="Times New Roman" w:hAnsi="Times New Roman" w:cs="Times New Roman"/>
          <w:sz w:val="24"/>
          <w:szCs w:val="24"/>
        </w:rPr>
        <w:t xml:space="preserve"> claim had prescribed, the court </w:t>
      </w:r>
      <w:r w:rsidRPr="001F7976">
        <w:rPr>
          <w:rFonts w:ascii="Times New Roman" w:hAnsi="Times New Roman" w:cs="Times New Roman"/>
          <w:i/>
          <w:sz w:val="24"/>
          <w:szCs w:val="24"/>
        </w:rPr>
        <w:t>a quo</w:t>
      </w:r>
      <w:r w:rsidRPr="001F7976">
        <w:rPr>
          <w:rFonts w:ascii="Times New Roman" w:hAnsi="Times New Roman" w:cs="Times New Roman"/>
          <w:sz w:val="24"/>
          <w:szCs w:val="24"/>
        </w:rPr>
        <w:t xml:space="preserve"> erred and misdirected itself in failing to find that the appellant</w:t>
      </w:r>
      <w:r w:rsidR="00CC1A8F" w:rsidRPr="001F7976">
        <w:rPr>
          <w:rFonts w:ascii="Times New Roman" w:hAnsi="Times New Roman" w:cs="Times New Roman"/>
          <w:sz w:val="24"/>
          <w:szCs w:val="24"/>
        </w:rPr>
        <w:t>s</w:t>
      </w:r>
      <w:r w:rsidRPr="001F7976">
        <w:rPr>
          <w:rFonts w:ascii="Times New Roman" w:hAnsi="Times New Roman" w:cs="Times New Roman"/>
          <w:sz w:val="24"/>
          <w:szCs w:val="24"/>
        </w:rPr>
        <w:t xml:space="preserve"> was entitled to payment of US$357 330,68 being 25 percent of the appellants</w:t>
      </w:r>
      <w:r w:rsidR="00CC1A8F" w:rsidRPr="001F7976">
        <w:rPr>
          <w:rFonts w:ascii="Times New Roman" w:hAnsi="Times New Roman" w:cs="Times New Roman"/>
          <w:sz w:val="24"/>
          <w:szCs w:val="24"/>
        </w:rPr>
        <w:t>’</w:t>
      </w:r>
      <w:r w:rsidRPr="001F7976">
        <w:rPr>
          <w:rFonts w:ascii="Times New Roman" w:hAnsi="Times New Roman" w:cs="Times New Roman"/>
          <w:sz w:val="24"/>
          <w:szCs w:val="24"/>
        </w:rPr>
        <w:t xml:space="preserve"> initial claim.</w:t>
      </w:r>
    </w:p>
    <w:p w:rsidR="00175146" w:rsidRPr="001F7976" w:rsidRDefault="00175146" w:rsidP="008E3494">
      <w:pPr>
        <w:pStyle w:val="ListParagraph"/>
        <w:spacing w:after="0" w:line="480" w:lineRule="auto"/>
        <w:ind w:left="1080"/>
        <w:jc w:val="both"/>
        <w:rPr>
          <w:rFonts w:ascii="Times New Roman" w:hAnsi="Times New Roman" w:cs="Times New Roman"/>
          <w:sz w:val="24"/>
          <w:szCs w:val="24"/>
        </w:rPr>
      </w:pPr>
    </w:p>
    <w:p w:rsidR="00175146" w:rsidRPr="001F7976" w:rsidRDefault="00175146" w:rsidP="008E3494">
      <w:pPr>
        <w:spacing w:after="0" w:line="480" w:lineRule="auto"/>
        <w:jc w:val="both"/>
        <w:rPr>
          <w:rFonts w:ascii="Times New Roman" w:hAnsi="Times New Roman" w:cs="Times New Roman"/>
          <w:b/>
          <w:sz w:val="24"/>
          <w:szCs w:val="24"/>
        </w:rPr>
      </w:pPr>
      <w:r w:rsidRPr="001F7976">
        <w:rPr>
          <w:rFonts w:ascii="Times New Roman" w:hAnsi="Times New Roman" w:cs="Times New Roman"/>
          <w:b/>
          <w:sz w:val="24"/>
          <w:szCs w:val="24"/>
        </w:rPr>
        <w:t>ANALYSIS</w:t>
      </w:r>
    </w:p>
    <w:p w:rsidR="00132202" w:rsidRPr="001F7976" w:rsidRDefault="00175146"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The only issue for determination is whether the appellant</w:t>
      </w:r>
      <w:r w:rsidR="00CC1A8F" w:rsidRPr="001F7976">
        <w:rPr>
          <w:rFonts w:ascii="Times New Roman" w:hAnsi="Times New Roman" w:cs="Times New Roman"/>
          <w:sz w:val="24"/>
          <w:szCs w:val="24"/>
        </w:rPr>
        <w:t>s</w:t>
      </w:r>
      <w:r w:rsidRPr="001F7976">
        <w:rPr>
          <w:rFonts w:ascii="Times New Roman" w:hAnsi="Times New Roman" w:cs="Times New Roman"/>
          <w:sz w:val="24"/>
          <w:szCs w:val="24"/>
        </w:rPr>
        <w:t xml:space="preserve"> proved an ent</w:t>
      </w:r>
      <w:r w:rsidR="004B72DF" w:rsidRPr="001F7976">
        <w:rPr>
          <w:rFonts w:ascii="Times New Roman" w:hAnsi="Times New Roman" w:cs="Times New Roman"/>
          <w:sz w:val="24"/>
          <w:szCs w:val="24"/>
        </w:rPr>
        <w:t>itlement to the sum of $357 330.</w:t>
      </w:r>
      <w:r w:rsidRPr="001F7976">
        <w:rPr>
          <w:rFonts w:ascii="Times New Roman" w:hAnsi="Times New Roman" w:cs="Times New Roman"/>
          <w:sz w:val="24"/>
          <w:szCs w:val="24"/>
        </w:rPr>
        <w:t>68 being 25 percent of the initial claim</w:t>
      </w:r>
      <w:r w:rsidR="009431BE" w:rsidRPr="001F7976">
        <w:rPr>
          <w:rFonts w:ascii="Times New Roman" w:hAnsi="Times New Roman" w:cs="Times New Roman"/>
          <w:sz w:val="24"/>
          <w:szCs w:val="24"/>
        </w:rPr>
        <w:t xml:space="preserve"> submitted in the fee note of 3 </w:t>
      </w:r>
      <w:r w:rsidRPr="001F7976">
        <w:rPr>
          <w:rFonts w:ascii="Times New Roman" w:hAnsi="Times New Roman" w:cs="Times New Roman"/>
          <w:sz w:val="24"/>
          <w:szCs w:val="24"/>
        </w:rPr>
        <w:t xml:space="preserve">August 2010.  It is anomalous that this remains an issue on appeal when the court </w:t>
      </w:r>
      <w:r w:rsidRPr="001F7976">
        <w:rPr>
          <w:rFonts w:ascii="Times New Roman" w:hAnsi="Times New Roman" w:cs="Times New Roman"/>
          <w:i/>
          <w:sz w:val="24"/>
          <w:szCs w:val="24"/>
        </w:rPr>
        <w:t>a quo</w:t>
      </w:r>
      <w:r w:rsidRPr="001F7976">
        <w:rPr>
          <w:rFonts w:ascii="Times New Roman" w:hAnsi="Times New Roman" w:cs="Times New Roman"/>
          <w:sz w:val="24"/>
          <w:szCs w:val="24"/>
        </w:rPr>
        <w:t xml:space="preserve"> determined that indeed the appellant</w:t>
      </w:r>
      <w:r w:rsidR="00CC1A8F" w:rsidRPr="001F7976">
        <w:rPr>
          <w:rFonts w:ascii="Times New Roman" w:hAnsi="Times New Roman" w:cs="Times New Roman"/>
          <w:sz w:val="24"/>
          <w:szCs w:val="24"/>
        </w:rPr>
        <w:t>s were</w:t>
      </w:r>
      <w:r w:rsidRPr="001F7976">
        <w:rPr>
          <w:rFonts w:ascii="Times New Roman" w:hAnsi="Times New Roman" w:cs="Times New Roman"/>
          <w:sz w:val="24"/>
          <w:szCs w:val="24"/>
        </w:rPr>
        <w:t xml:space="preserve"> entitled to 25 perce</w:t>
      </w:r>
      <w:r w:rsidR="009431BE" w:rsidRPr="001F7976">
        <w:rPr>
          <w:rFonts w:ascii="Times New Roman" w:hAnsi="Times New Roman" w:cs="Times New Roman"/>
          <w:sz w:val="24"/>
          <w:szCs w:val="24"/>
        </w:rPr>
        <w:t>nt of the total fee levied on 3 </w:t>
      </w:r>
      <w:r w:rsidRPr="001F7976">
        <w:rPr>
          <w:rFonts w:ascii="Times New Roman" w:hAnsi="Times New Roman" w:cs="Times New Roman"/>
          <w:sz w:val="24"/>
          <w:szCs w:val="24"/>
        </w:rPr>
        <w:t>August 2010.</w:t>
      </w:r>
    </w:p>
    <w:p w:rsidR="00132202" w:rsidRPr="001F7976" w:rsidRDefault="00132202" w:rsidP="008E3494">
      <w:pPr>
        <w:spacing w:after="0" w:line="480" w:lineRule="auto"/>
        <w:jc w:val="both"/>
        <w:rPr>
          <w:rFonts w:ascii="Times New Roman" w:hAnsi="Times New Roman" w:cs="Times New Roman"/>
          <w:sz w:val="24"/>
          <w:szCs w:val="24"/>
        </w:rPr>
      </w:pPr>
    </w:p>
    <w:p w:rsidR="00132202" w:rsidRPr="001F7976" w:rsidRDefault="00132202"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 xml:space="preserve">Mr </w:t>
      </w:r>
      <w:r w:rsidRPr="001F7976">
        <w:rPr>
          <w:rFonts w:ascii="Times New Roman" w:hAnsi="Times New Roman" w:cs="Times New Roman"/>
          <w:i/>
          <w:sz w:val="24"/>
          <w:szCs w:val="24"/>
        </w:rPr>
        <w:t>Zhuwarara</w:t>
      </w:r>
      <w:r w:rsidRPr="001F7976">
        <w:rPr>
          <w:rFonts w:ascii="Times New Roman" w:hAnsi="Times New Roman" w:cs="Times New Roman"/>
          <w:sz w:val="24"/>
          <w:szCs w:val="24"/>
        </w:rPr>
        <w:t xml:space="preserve"> for the appellant</w:t>
      </w:r>
      <w:r w:rsidR="00CC1A8F" w:rsidRPr="001F7976">
        <w:rPr>
          <w:rFonts w:ascii="Times New Roman" w:hAnsi="Times New Roman" w:cs="Times New Roman"/>
          <w:sz w:val="24"/>
          <w:szCs w:val="24"/>
        </w:rPr>
        <w:t>s</w:t>
      </w:r>
      <w:r w:rsidRPr="001F7976">
        <w:rPr>
          <w:rFonts w:ascii="Times New Roman" w:hAnsi="Times New Roman" w:cs="Times New Roman"/>
          <w:sz w:val="24"/>
          <w:szCs w:val="24"/>
        </w:rPr>
        <w:t xml:space="preserve"> submitted that the court </w:t>
      </w:r>
      <w:r w:rsidRPr="001F7976">
        <w:rPr>
          <w:rFonts w:ascii="Times New Roman" w:hAnsi="Times New Roman" w:cs="Times New Roman"/>
          <w:i/>
          <w:sz w:val="24"/>
          <w:szCs w:val="24"/>
        </w:rPr>
        <w:t>a quo</w:t>
      </w:r>
      <w:r w:rsidRPr="001F7976">
        <w:rPr>
          <w:rFonts w:ascii="Times New Roman" w:hAnsi="Times New Roman" w:cs="Times New Roman"/>
          <w:sz w:val="24"/>
          <w:szCs w:val="24"/>
        </w:rPr>
        <w:t xml:space="preserve"> erred in treating the appellants</w:t>
      </w:r>
      <w:r w:rsidR="00CC1A8F" w:rsidRPr="001F7976">
        <w:rPr>
          <w:rFonts w:ascii="Times New Roman" w:hAnsi="Times New Roman" w:cs="Times New Roman"/>
          <w:sz w:val="24"/>
          <w:szCs w:val="24"/>
        </w:rPr>
        <w:t>’</w:t>
      </w:r>
      <w:r w:rsidRPr="001F7976">
        <w:rPr>
          <w:rFonts w:ascii="Times New Roman" w:hAnsi="Times New Roman" w:cs="Times New Roman"/>
          <w:sz w:val="24"/>
          <w:szCs w:val="24"/>
        </w:rPr>
        <w:t xml:space="preserve"> claim as that for contractual damages to be proved by leading evidence on each head of the work performed </w:t>
      </w:r>
      <w:r w:rsidR="00CC1A8F" w:rsidRPr="001F7976">
        <w:rPr>
          <w:rFonts w:ascii="Times New Roman" w:hAnsi="Times New Roman" w:cs="Times New Roman"/>
          <w:sz w:val="24"/>
          <w:szCs w:val="24"/>
        </w:rPr>
        <w:t>after</w:t>
      </w:r>
      <w:r w:rsidRPr="001F7976">
        <w:rPr>
          <w:rFonts w:ascii="Times New Roman" w:hAnsi="Times New Roman" w:cs="Times New Roman"/>
          <w:sz w:val="24"/>
          <w:szCs w:val="24"/>
        </w:rPr>
        <w:t xml:space="preserve"> 2006 and </w:t>
      </w:r>
      <w:r w:rsidR="00CC1A8F" w:rsidRPr="001F7976">
        <w:rPr>
          <w:rFonts w:ascii="Times New Roman" w:hAnsi="Times New Roman" w:cs="Times New Roman"/>
          <w:sz w:val="24"/>
          <w:szCs w:val="24"/>
        </w:rPr>
        <w:t>its</w:t>
      </w:r>
      <w:r w:rsidRPr="001F7976">
        <w:rPr>
          <w:rFonts w:ascii="Times New Roman" w:hAnsi="Times New Roman" w:cs="Times New Roman"/>
          <w:sz w:val="24"/>
          <w:szCs w:val="24"/>
        </w:rPr>
        <w:t xml:space="preserve"> val</w:t>
      </w:r>
      <w:r w:rsidR="00CC1A8F" w:rsidRPr="001F7976">
        <w:rPr>
          <w:rFonts w:ascii="Times New Roman" w:hAnsi="Times New Roman" w:cs="Times New Roman"/>
          <w:sz w:val="24"/>
          <w:szCs w:val="24"/>
        </w:rPr>
        <w:t>ue.  In his view, the appellant</w:t>
      </w:r>
      <w:r w:rsidRPr="001F7976">
        <w:rPr>
          <w:rFonts w:ascii="Times New Roman" w:hAnsi="Times New Roman" w:cs="Times New Roman"/>
          <w:sz w:val="24"/>
          <w:szCs w:val="24"/>
        </w:rPr>
        <w:t>s</w:t>
      </w:r>
      <w:r w:rsidR="00CC1A8F" w:rsidRPr="001F7976">
        <w:rPr>
          <w:rFonts w:ascii="Times New Roman" w:hAnsi="Times New Roman" w:cs="Times New Roman"/>
          <w:sz w:val="24"/>
          <w:szCs w:val="24"/>
        </w:rPr>
        <w:t>’</w:t>
      </w:r>
      <w:r w:rsidRPr="001F7976">
        <w:rPr>
          <w:rFonts w:ascii="Times New Roman" w:hAnsi="Times New Roman" w:cs="Times New Roman"/>
          <w:sz w:val="24"/>
          <w:szCs w:val="24"/>
        </w:rPr>
        <w:t xml:space="preserve"> claim was for specific performance. In order for it to succeed the appellant</w:t>
      </w:r>
      <w:r w:rsidR="00CC1A8F" w:rsidRPr="001F7976">
        <w:rPr>
          <w:rFonts w:ascii="Times New Roman" w:hAnsi="Times New Roman" w:cs="Times New Roman"/>
          <w:sz w:val="24"/>
          <w:szCs w:val="24"/>
        </w:rPr>
        <w:t>s</w:t>
      </w:r>
      <w:r w:rsidRPr="001F7976">
        <w:rPr>
          <w:rFonts w:ascii="Times New Roman" w:hAnsi="Times New Roman" w:cs="Times New Roman"/>
          <w:sz w:val="24"/>
          <w:szCs w:val="24"/>
        </w:rPr>
        <w:t xml:space="preserve"> had to prove 3 essentials</w:t>
      </w:r>
      <w:r w:rsidR="00CC1A8F" w:rsidRPr="001F7976">
        <w:rPr>
          <w:rFonts w:ascii="Times New Roman" w:hAnsi="Times New Roman" w:cs="Times New Roman"/>
          <w:sz w:val="24"/>
          <w:szCs w:val="24"/>
        </w:rPr>
        <w:t>,</w:t>
      </w:r>
      <w:r w:rsidRPr="001F7976">
        <w:rPr>
          <w:rFonts w:ascii="Times New Roman" w:hAnsi="Times New Roman" w:cs="Times New Roman"/>
          <w:sz w:val="24"/>
          <w:szCs w:val="24"/>
        </w:rPr>
        <w:t xml:space="preserve"> namely that;</w:t>
      </w:r>
    </w:p>
    <w:p w:rsidR="00132202" w:rsidRPr="001F7976" w:rsidRDefault="00132202" w:rsidP="008E3494">
      <w:pPr>
        <w:pStyle w:val="ListParagraph"/>
        <w:numPr>
          <w:ilvl w:val="0"/>
          <w:numId w:val="11"/>
        </w:numPr>
        <w:spacing w:after="0" w:line="480" w:lineRule="auto"/>
        <w:jc w:val="both"/>
        <w:rPr>
          <w:rFonts w:ascii="Times New Roman" w:hAnsi="Times New Roman" w:cs="Times New Roman"/>
          <w:sz w:val="24"/>
          <w:szCs w:val="24"/>
        </w:rPr>
      </w:pPr>
      <w:r w:rsidRPr="001F7976">
        <w:rPr>
          <w:rFonts w:ascii="Times New Roman" w:hAnsi="Times New Roman" w:cs="Times New Roman"/>
          <w:sz w:val="24"/>
          <w:szCs w:val="24"/>
        </w:rPr>
        <w:lastRenderedPageBreak/>
        <w:t>There was a binding contract entered into by the parties;</w:t>
      </w:r>
    </w:p>
    <w:p w:rsidR="00132202" w:rsidRPr="001F7976" w:rsidRDefault="00132202" w:rsidP="008E3494">
      <w:pPr>
        <w:pStyle w:val="ListParagraph"/>
        <w:numPr>
          <w:ilvl w:val="0"/>
          <w:numId w:val="11"/>
        </w:numPr>
        <w:spacing w:after="0" w:line="480" w:lineRule="auto"/>
        <w:jc w:val="both"/>
        <w:rPr>
          <w:rFonts w:ascii="Times New Roman" w:hAnsi="Times New Roman" w:cs="Times New Roman"/>
          <w:sz w:val="24"/>
          <w:szCs w:val="24"/>
        </w:rPr>
      </w:pPr>
      <w:r w:rsidRPr="001F7976">
        <w:rPr>
          <w:rFonts w:ascii="Times New Roman" w:hAnsi="Times New Roman" w:cs="Times New Roman"/>
          <w:sz w:val="24"/>
          <w:szCs w:val="24"/>
        </w:rPr>
        <w:t>The appellant</w:t>
      </w:r>
      <w:r w:rsidR="00CC1A8F" w:rsidRPr="001F7976">
        <w:rPr>
          <w:rFonts w:ascii="Times New Roman" w:hAnsi="Times New Roman" w:cs="Times New Roman"/>
          <w:sz w:val="24"/>
          <w:szCs w:val="24"/>
        </w:rPr>
        <w:t>s performed their</w:t>
      </w:r>
      <w:r w:rsidRPr="001F7976">
        <w:rPr>
          <w:rFonts w:ascii="Times New Roman" w:hAnsi="Times New Roman" w:cs="Times New Roman"/>
          <w:sz w:val="24"/>
          <w:szCs w:val="24"/>
        </w:rPr>
        <w:t xml:space="preserve"> obligations under the contract; and </w:t>
      </w:r>
    </w:p>
    <w:p w:rsidR="00E35A07" w:rsidRPr="001F7976" w:rsidRDefault="00132202" w:rsidP="008E3494">
      <w:pPr>
        <w:pStyle w:val="ListParagraph"/>
        <w:numPr>
          <w:ilvl w:val="0"/>
          <w:numId w:val="11"/>
        </w:numPr>
        <w:spacing w:after="0" w:line="480" w:lineRule="auto"/>
        <w:jc w:val="both"/>
        <w:rPr>
          <w:rFonts w:ascii="Times New Roman" w:hAnsi="Times New Roman" w:cs="Times New Roman"/>
          <w:sz w:val="24"/>
          <w:szCs w:val="24"/>
        </w:rPr>
      </w:pPr>
      <w:r w:rsidRPr="001F7976">
        <w:rPr>
          <w:rFonts w:ascii="Times New Roman" w:hAnsi="Times New Roman" w:cs="Times New Roman"/>
          <w:sz w:val="24"/>
          <w:szCs w:val="24"/>
        </w:rPr>
        <w:t>The respondent failed to meet its obligations under the contract.</w:t>
      </w:r>
    </w:p>
    <w:p w:rsidR="004B72DF" w:rsidRPr="001F7976" w:rsidRDefault="004B72DF" w:rsidP="004B72DF">
      <w:pPr>
        <w:pStyle w:val="ListParagraph"/>
        <w:spacing w:after="0" w:line="480" w:lineRule="auto"/>
        <w:ind w:left="1440"/>
        <w:jc w:val="both"/>
        <w:rPr>
          <w:rFonts w:ascii="Times New Roman" w:hAnsi="Times New Roman" w:cs="Times New Roman"/>
          <w:sz w:val="24"/>
          <w:szCs w:val="24"/>
        </w:rPr>
      </w:pPr>
    </w:p>
    <w:p w:rsidR="00611BFE" w:rsidRPr="001F7976" w:rsidRDefault="00E35A07"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 xml:space="preserve">According to Mr </w:t>
      </w:r>
      <w:r w:rsidRPr="001F7976">
        <w:rPr>
          <w:rFonts w:ascii="Times New Roman" w:hAnsi="Times New Roman" w:cs="Times New Roman"/>
          <w:i/>
          <w:sz w:val="24"/>
          <w:szCs w:val="24"/>
        </w:rPr>
        <w:t>Z</w:t>
      </w:r>
      <w:r w:rsidR="009200CA" w:rsidRPr="001F7976">
        <w:rPr>
          <w:rFonts w:ascii="Times New Roman" w:hAnsi="Times New Roman" w:cs="Times New Roman"/>
          <w:i/>
          <w:sz w:val="24"/>
          <w:szCs w:val="24"/>
        </w:rPr>
        <w:t>h</w:t>
      </w:r>
      <w:r w:rsidRPr="001F7976">
        <w:rPr>
          <w:rFonts w:ascii="Times New Roman" w:hAnsi="Times New Roman" w:cs="Times New Roman"/>
          <w:i/>
          <w:sz w:val="24"/>
          <w:szCs w:val="24"/>
        </w:rPr>
        <w:t>uwarara</w:t>
      </w:r>
      <w:r w:rsidRPr="001F7976">
        <w:rPr>
          <w:rFonts w:ascii="Times New Roman" w:hAnsi="Times New Roman" w:cs="Times New Roman"/>
          <w:sz w:val="24"/>
          <w:szCs w:val="24"/>
        </w:rPr>
        <w:t xml:space="preserve">, once the court </w:t>
      </w:r>
      <w:r w:rsidRPr="001F7976">
        <w:rPr>
          <w:rFonts w:ascii="Times New Roman" w:hAnsi="Times New Roman" w:cs="Times New Roman"/>
          <w:i/>
          <w:sz w:val="24"/>
          <w:szCs w:val="24"/>
        </w:rPr>
        <w:t>a quo</w:t>
      </w:r>
      <w:r w:rsidRPr="001F7976">
        <w:rPr>
          <w:rFonts w:ascii="Times New Roman" w:hAnsi="Times New Roman" w:cs="Times New Roman"/>
          <w:sz w:val="24"/>
          <w:szCs w:val="24"/>
        </w:rPr>
        <w:t xml:space="preserve"> made findings in favour of the appellant</w:t>
      </w:r>
      <w:r w:rsidR="00CC1A8F" w:rsidRPr="001F7976">
        <w:rPr>
          <w:rFonts w:ascii="Times New Roman" w:hAnsi="Times New Roman" w:cs="Times New Roman"/>
          <w:sz w:val="24"/>
          <w:szCs w:val="24"/>
        </w:rPr>
        <w:t>s</w:t>
      </w:r>
      <w:r w:rsidRPr="001F7976">
        <w:rPr>
          <w:rFonts w:ascii="Times New Roman" w:hAnsi="Times New Roman" w:cs="Times New Roman"/>
          <w:sz w:val="24"/>
          <w:szCs w:val="24"/>
        </w:rPr>
        <w:t>, as it did, in respect of the above 3 essentials, it had to grant the appellant</w:t>
      </w:r>
      <w:r w:rsidR="00CC1A8F" w:rsidRPr="001F7976">
        <w:rPr>
          <w:rFonts w:ascii="Times New Roman" w:hAnsi="Times New Roman" w:cs="Times New Roman"/>
          <w:sz w:val="24"/>
          <w:szCs w:val="24"/>
        </w:rPr>
        <w:t>s</w:t>
      </w:r>
      <w:r w:rsidRPr="001F7976">
        <w:rPr>
          <w:rFonts w:ascii="Times New Roman" w:hAnsi="Times New Roman" w:cs="Times New Roman"/>
          <w:sz w:val="24"/>
          <w:szCs w:val="24"/>
        </w:rPr>
        <w:t xml:space="preserve"> relief.  The fact that it did not do so is</w:t>
      </w:r>
      <w:r w:rsidR="00611BFE" w:rsidRPr="001F7976">
        <w:rPr>
          <w:rFonts w:ascii="Times New Roman" w:hAnsi="Times New Roman" w:cs="Times New Roman"/>
          <w:sz w:val="24"/>
          <w:szCs w:val="24"/>
        </w:rPr>
        <w:t xml:space="preserve"> a misdirection inviting this court to interfere with the judgment of the court </w:t>
      </w:r>
      <w:r w:rsidR="00611BFE" w:rsidRPr="001F7976">
        <w:rPr>
          <w:rFonts w:ascii="Times New Roman" w:hAnsi="Times New Roman" w:cs="Times New Roman"/>
          <w:i/>
          <w:sz w:val="24"/>
          <w:szCs w:val="24"/>
        </w:rPr>
        <w:t>a quo</w:t>
      </w:r>
      <w:r w:rsidR="00611BFE" w:rsidRPr="001F7976">
        <w:rPr>
          <w:rFonts w:ascii="Times New Roman" w:hAnsi="Times New Roman" w:cs="Times New Roman"/>
          <w:sz w:val="24"/>
          <w:szCs w:val="24"/>
        </w:rPr>
        <w:t>.</w:t>
      </w:r>
      <w:r w:rsidRPr="001F7976">
        <w:rPr>
          <w:rFonts w:ascii="Times New Roman" w:hAnsi="Times New Roman" w:cs="Times New Roman"/>
          <w:sz w:val="24"/>
          <w:szCs w:val="24"/>
        </w:rPr>
        <w:t xml:space="preserve"> </w:t>
      </w:r>
    </w:p>
    <w:p w:rsidR="00611BFE" w:rsidRPr="001F7976" w:rsidRDefault="00611BFE" w:rsidP="008E3494">
      <w:pPr>
        <w:spacing w:after="0" w:line="480" w:lineRule="auto"/>
        <w:ind w:firstLine="1134"/>
        <w:jc w:val="both"/>
        <w:rPr>
          <w:rFonts w:ascii="Times New Roman" w:hAnsi="Times New Roman" w:cs="Times New Roman"/>
          <w:sz w:val="24"/>
          <w:szCs w:val="24"/>
        </w:rPr>
      </w:pPr>
    </w:p>
    <w:p w:rsidR="00DD3E23" w:rsidRPr="001F7976" w:rsidRDefault="00611BFE"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 xml:space="preserve">Mr </w:t>
      </w:r>
      <w:r w:rsidRPr="001F7976">
        <w:rPr>
          <w:rFonts w:ascii="Times New Roman" w:hAnsi="Times New Roman" w:cs="Times New Roman"/>
          <w:i/>
          <w:sz w:val="24"/>
          <w:szCs w:val="24"/>
        </w:rPr>
        <w:t>Matinenga</w:t>
      </w:r>
      <w:r w:rsidRPr="001F7976">
        <w:rPr>
          <w:rFonts w:ascii="Times New Roman" w:hAnsi="Times New Roman" w:cs="Times New Roman"/>
          <w:sz w:val="24"/>
          <w:szCs w:val="24"/>
        </w:rPr>
        <w:t xml:space="preserve"> for the respondent was of a different view.  He submitted that the appellant</w:t>
      </w:r>
      <w:r w:rsidR="00CC1A8F" w:rsidRPr="001F7976">
        <w:rPr>
          <w:rFonts w:ascii="Times New Roman" w:hAnsi="Times New Roman" w:cs="Times New Roman"/>
          <w:sz w:val="24"/>
          <w:szCs w:val="24"/>
        </w:rPr>
        <w:t>s</w:t>
      </w:r>
      <w:r w:rsidRPr="001F7976">
        <w:rPr>
          <w:rFonts w:ascii="Times New Roman" w:hAnsi="Times New Roman" w:cs="Times New Roman"/>
          <w:sz w:val="24"/>
          <w:szCs w:val="24"/>
        </w:rPr>
        <w:t xml:space="preserve"> had an obligation to prove an ent</w:t>
      </w:r>
      <w:r w:rsidR="004B72DF" w:rsidRPr="001F7976">
        <w:rPr>
          <w:rFonts w:ascii="Times New Roman" w:hAnsi="Times New Roman" w:cs="Times New Roman"/>
          <w:sz w:val="24"/>
          <w:szCs w:val="24"/>
        </w:rPr>
        <w:t>itlement to the sum of $357 330.</w:t>
      </w:r>
      <w:r w:rsidRPr="001F7976">
        <w:rPr>
          <w:rFonts w:ascii="Times New Roman" w:hAnsi="Times New Roman" w:cs="Times New Roman"/>
          <w:sz w:val="24"/>
          <w:szCs w:val="24"/>
        </w:rPr>
        <w:t>68</w:t>
      </w:r>
      <w:r w:rsidR="00CF5EDA" w:rsidRPr="001F7976">
        <w:rPr>
          <w:rFonts w:ascii="Times New Roman" w:hAnsi="Times New Roman" w:cs="Times New Roman"/>
          <w:sz w:val="24"/>
          <w:szCs w:val="24"/>
        </w:rPr>
        <w:t xml:space="preserve"> which had not prescribed.  Having failed to lead evidence to </w:t>
      </w:r>
      <w:r w:rsidR="00DD3E23" w:rsidRPr="001F7976">
        <w:rPr>
          <w:rFonts w:ascii="Times New Roman" w:hAnsi="Times New Roman" w:cs="Times New Roman"/>
          <w:sz w:val="24"/>
          <w:szCs w:val="24"/>
        </w:rPr>
        <w:t>prove entitlement, the appellant</w:t>
      </w:r>
      <w:r w:rsidR="00CC1A8F" w:rsidRPr="001F7976">
        <w:rPr>
          <w:rFonts w:ascii="Times New Roman" w:hAnsi="Times New Roman" w:cs="Times New Roman"/>
          <w:sz w:val="24"/>
          <w:szCs w:val="24"/>
        </w:rPr>
        <w:t>s</w:t>
      </w:r>
      <w:r w:rsidR="00DD3E23" w:rsidRPr="001F7976">
        <w:rPr>
          <w:rFonts w:ascii="Times New Roman" w:hAnsi="Times New Roman" w:cs="Times New Roman"/>
          <w:sz w:val="24"/>
          <w:szCs w:val="24"/>
        </w:rPr>
        <w:t xml:space="preserve"> did not discharge the onus resting upon </w:t>
      </w:r>
      <w:r w:rsidR="001A7AEA" w:rsidRPr="001F7976">
        <w:rPr>
          <w:rFonts w:ascii="Times New Roman" w:hAnsi="Times New Roman" w:cs="Times New Roman"/>
          <w:sz w:val="24"/>
          <w:szCs w:val="24"/>
        </w:rPr>
        <w:t>them</w:t>
      </w:r>
      <w:r w:rsidR="00DD3E23" w:rsidRPr="001F7976">
        <w:rPr>
          <w:rFonts w:ascii="Times New Roman" w:hAnsi="Times New Roman" w:cs="Times New Roman"/>
          <w:sz w:val="24"/>
          <w:szCs w:val="24"/>
        </w:rPr>
        <w:t xml:space="preserve">.  The court </w:t>
      </w:r>
      <w:r w:rsidR="00DD3E23" w:rsidRPr="001F7976">
        <w:rPr>
          <w:rFonts w:ascii="Times New Roman" w:hAnsi="Times New Roman" w:cs="Times New Roman"/>
          <w:i/>
          <w:sz w:val="24"/>
          <w:szCs w:val="24"/>
        </w:rPr>
        <w:t>a quo</w:t>
      </w:r>
      <w:r w:rsidR="00DD3E23" w:rsidRPr="001F7976">
        <w:rPr>
          <w:rFonts w:ascii="Times New Roman" w:hAnsi="Times New Roman" w:cs="Times New Roman"/>
          <w:sz w:val="24"/>
          <w:szCs w:val="24"/>
        </w:rPr>
        <w:t xml:space="preserve"> was correct to dismiss the claim.</w:t>
      </w:r>
    </w:p>
    <w:p w:rsidR="00DD3E23" w:rsidRPr="001F7976" w:rsidRDefault="00DD3E23" w:rsidP="008E3494">
      <w:pPr>
        <w:spacing w:after="0" w:line="480" w:lineRule="auto"/>
        <w:ind w:firstLine="1134"/>
        <w:jc w:val="both"/>
        <w:rPr>
          <w:rFonts w:ascii="Times New Roman" w:hAnsi="Times New Roman" w:cs="Times New Roman"/>
          <w:sz w:val="24"/>
          <w:szCs w:val="24"/>
        </w:rPr>
      </w:pPr>
    </w:p>
    <w:p w:rsidR="009A41EF" w:rsidRPr="001F7976" w:rsidRDefault="00DD3E23"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 xml:space="preserve">In my view, the court </w:t>
      </w:r>
      <w:r w:rsidRPr="001F7976">
        <w:rPr>
          <w:rFonts w:ascii="Times New Roman" w:hAnsi="Times New Roman" w:cs="Times New Roman"/>
          <w:i/>
          <w:sz w:val="24"/>
          <w:szCs w:val="24"/>
        </w:rPr>
        <w:t>a quo</w:t>
      </w:r>
      <w:r w:rsidRPr="001F7976">
        <w:rPr>
          <w:rFonts w:ascii="Times New Roman" w:hAnsi="Times New Roman" w:cs="Times New Roman"/>
          <w:sz w:val="24"/>
          <w:szCs w:val="24"/>
        </w:rPr>
        <w:t xml:space="preserve"> overlooked certain fundamentals</w:t>
      </w:r>
      <w:r w:rsidR="00CC1A8F" w:rsidRPr="001F7976">
        <w:rPr>
          <w:rFonts w:ascii="Times New Roman" w:hAnsi="Times New Roman" w:cs="Times New Roman"/>
          <w:sz w:val="24"/>
          <w:szCs w:val="24"/>
        </w:rPr>
        <w:t xml:space="preserve"> as a result of which it</w:t>
      </w:r>
      <w:r w:rsidRPr="001F7976">
        <w:rPr>
          <w:rFonts w:ascii="Times New Roman" w:hAnsi="Times New Roman" w:cs="Times New Roman"/>
          <w:sz w:val="24"/>
          <w:szCs w:val="24"/>
        </w:rPr>
        <w:t xml:space="preserve"> misdirected itself.  To begin with, the submission of fees by the architect</w:t>
      </w:r>
      <w:r w:rsidR="00CC1A8F" w:rsidRPr="001F7976">
        <w:rPr>
          <w:rFonts w:ascii="Times New Roman" w:hAnsi="Times New Roman" w:cs="Times New Roman"/>
          <w:sz w:val="24"/>
          <w:szCs w:val="24"/>
        </w:rPr>
        <w:t>s</w:t>
      </w:r>
      <w:r w:rsidRPr="001F7976">
        <w:rPr>
          <w:rFonts w:ascii="Times New Roman" w:hAnsi="Times New Roman" w:cs="Times New Roman"/>
          <w:sz w:val="24"/>
          <w:szCs w:val="24"/>
        </w:rPr>
        <w:t xml:space="preserve"> and the obligation to pay those fees were matters governed entirely by the agreement of the parties.  I have already made reference to clause 2 of the agreement signed by the parties which specifically stated that the fees to be paid were in terms of the Architects (Conditions of Engagement and Scale of Fees) By</w:t>
      </w:r>
      <w:r w:rsidR="00CA5577" w:rsidRPr="001F7976">
        <w:rPr>
          <w:rFonts w:ascii="Times New Roman" w:hAnsi="Times New Roman" w:cs="Times New Roman"/>
          <w:sz w:val="24"/>
          <w:szCs w:val="24"/>
        </w:rPr>
        <w:t>e</w:t>
      </w:r>
      <w:r w:rsidRPr="001F7976">
        <w:rPr>
          <w:rFonts w:ascii="Times New Roman" w:hAnsi="Times New Roman" w:cs="Times New Roman"/>
          <w:sz w:val="24"/>
          <w:szCs w:val="24"/>
        </w:rPr>
        <w:t>-Laws S.I. 829/198</w:t>
      </w:r>
      <w:r w:rsidR="0028352E" w:rsidRPr="001F7976">
        <w:rPr>
          <w:rFonts w:ascii="Times New Roman" w:hAnsi="Times New Roman" w:cs="Times New Roman"/>
          <w:sz w:val="24"/>
          <w:szCs w:val="24"/>
        </w:rPr>
        <w:t>0 as amended (the By</w:t>
      </w:r>
      <w:r w:rsidR="00CA5577" w:rsidRPr="001F7976">
        <w:rPr>
          <w:rFonts w:ascii="Times New Roman" w:hAnsi="Times New Roman" w:cs="Times New Roman"/>
          <w:sz w:val="24"/>
          <w:szCs w:val="24"/>
        </w:rPr>
        <w:t>e</w:t>
      </w:r>
      <w:r w:rsidR="0028352E" w:rsidRPr="001F7976">
        <w:rPr>
          <w:rFonts w:ascii="Times New Roman" w:hAnsi="Times New Roman" w:cs="Times New Roman"/>
          <w:sz w:val="24"/>
          <w:szCs w:val="24"/>
        </w:rPr>
        <w:t>-Laws).</w:t>
      </w:r>
    </w:p>
    <w:p w:rsidR="009A41EF" w:rsidRPr="001F7976" w:rsidRDefault="009A41EF" w:rsidP="008E3494">
      <w:pPr>
        <w:spacing w:after="0" w:line="480" w:lineRule="auto"/>
        <w:ind w:firstLine="1134"/>
        <w:jc w:val="both"/>
        <w:rPr>
          <w:rFonts w:ascii="Times New Roman" w:hAnsi="Times New Roman" w:cs="Times New Roman"/>
          <w:sz w:val="24"/>
          <w:szCs w:val="24"/>
        </w:rPr>
      </w:pPr>
    </w:p>
    <w:p w:rsidR="00E14996" w:rsidRPr="001F7976" w:rsidRDefault="009A41EF"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Clause 2 also specifically stated that the Architects</w:t>
      </w:r>
      <w:r w:rsidR="00CC1A8F" w:rsidRPr="001F7976">
        <w:rPr>
          <w:rFonts w:ascii="Times New Roman" w:hAnsi="Times New Roman" w:cs="Times New Roman"/>
          <w:sz w:val="24"/>
          <w:szCs w:val="24"/>
        </w:rPr>
        <w:t>’</w:t>
      </w:r>
      <w:r w:rsidRPr="001F7976">
        <w:rPr>
          <w:rFonts w:ascii="Times New Roman" w:hAnsi="Times New Roman" w:cs="Times New Roman"/>
          <w:sz w:val="24"/>
          <w:szCs w:val="24"/>
        </w:rPr>
        <w:t xml:space="preserve"> fees would be calculated</w:t>
      </w:r>
      <w:r w:rsidR="00CC1A8F" w:rsidRPr="001F7976">
        <w:rPr>
          <w:rFonts w:ascii="Times New Roman" w:hAnsi="Times New Roman" w:cs="Times New Roman"/>
          <w:sz w:val="24"/>
          <w:szCs w:val="24"/>
        </w:rPr>
        <w:t xml:space="preserve"> using</w:t>
      </w:r>
      <w:r w:rsidRPr="001F7976">
        <w:rPr>
          <w:rFonts w:ascii="Times New Roman" w:hAnsi="Times New Roman" w:cs="Times New Roman"/>
          <w:sz w:val="24"/>
          <w:szCs w:val="24"/>
        </w:rPr>
        <w:t xml:space="preserve"> the Quantity Surveyor’s latest valua</w:t>
      </w:r>
      <w:r w:rsidR="00137D53" w:rsidRPr="001F7976">
        <w:rPr>
          <w:rFonts w:ascii="Times New Roman" w:hAnsi="Times New Roman" w:cs="Times New Roman"/>
          <w:sz w:val="24"/>
          <w:szCs w:val="24"/>
        </w:rPr>
        <w:t xml:space="preserve">tions of the progression of the project.  It also specified that the calculations would be done in accordance with the second and third schedules of the Statutory </w:t>
      </w:r>
      <w:r w:rsidR="00E14996" w:rsidRPr="001F7976">
        <w:rPr>
          <w:rFonts w:ascii="Times New Roman" w:hAnsi="Times New Roman" w:cs="Times New Roman"/>
          <w:sz w:val="24"/>
          <w:szCs w:val="24"/>
        </w:rPr>
        <w:t xml:space="preserve">Instrument.  There is absolutely </w:t>
      </w:r>
      <w:r w:rsidR="00A27E4F" w:rsidRPr="001F7976">
        <w:rPr>
          <w:rFonts w:ascii="Times New Roman" w:hAnsi="Times New Roman" w:cs="Times New Roman"/>
          <w:sz w:val="24"/>
          <w:szCs w:val="24"/>
        </w:rPr>
        <w:t>nothing</w:t>
      </w:r>
      <w:r w:rsidR="00E14996" w:rsidRPr="001F7976">
        <w:rPr>
          <w:rFonts w:ascii="Times New Roman" w:hAnsi="Times New Roman" w:cs="Times New Roman"/>
          <w:sz w:val="24"/>
          <w:szCs w:val="24"/>
        </w:rPr>
        <w:t xml:space="preserve"> in the written agreement of the parties </w:t>
      </w:r>
      <w:r w:rsidR="00E14996" w:rsidRPr="001F7976">
        <w:rPr>
          <w:rFonts w:ascii="Times New Roman" w:hAnsi="Times New Roman" w:cs="Times New Roman"/>
          <w:sz w:val="24"/>
          <w:szCs w:val="24"/>
        </w:rPr>
        <w:lastRenderedPageBreak/>
        <w:t>providing for an apportionment of charges for each separate head of work performed by the Architect</w:t>
      </w:r>
      <w:r w:rsidR="00CC1A8F" w:rsidRPr="001F7976">
        <w:rPr>
          <w:rFonts w:ascii="Times New Roman" w:hAnsi="Times New Roman" w:cs="Times New Roman"/>
          <w:sz w:val="24"/>
          <w:szCs w:val="24"/>
        </w:rPr>
        <w:t>s</w:t>
      </w:r>
      <w:r w:rsidR="00E14996" w:rsidRPr="001F7976">
        <w:rPr>
          <w:rFonts w:ascii="Times New Roman" w:hAnsi="Times New Roman" w:cs="Times New Roman"/>
          <w:sz w:val="24"/>
          <w:szCs w:val="24"/>
        </w:rPr>
        <w:t xml:space="preserve"> as demanded by the court </w:t>
      </w:r>
      <w:r w:rsidR="00E14996" w:rsidRPr="001F7976">
        <w:rPr>
          <w:rFonts w:ascii="Times New Roman" w:hAnsi="Times New Roman" w:cs="Times New Roman"/>
          <w:i/>
          <w:sz w:val="24"/>
          <w:szCs w:val="24"/>
        </w:rPr>
        <w:t>a quo</w:t>
      </w:r>
      <w:r w:rsidR="00E14996" w:rsidRPr="001F7976">
        <w:rPr>
          <w:rFonts w:ascii="Times New Roman" w:hAnsi="Times New Roman" w:cs="Times New Roman"/>
          <w:sz w:val="24"/>
          <w:szCs w:val="24"/>
        </w:rPr>
        <w:t xml:space="preserve">.  In other words, </w:t>
      </w:r>
      <w:r w:rsidR="00CC1A8F" w:rsidRPr="001F7976">
        <w:rPr>
          <w:rFonts w:ascii="Times New Roman" w:hAnsi="Times New Roman" w:cs="Times New Roman"/>
          <w:sz w:val="24"/>
          <w:szCs w:val="24"/>
        </w:rPr>
        <w:t xml:space="preserve">the court </w:t>
      </w:r>
      <w:r w:rsidR="00CC1A8F" w:rsidRPr="001F7976">
        <w:rPr>
          <w:rFonts w:ascii="Times New Roman" w:hAnsi="Times New Roman" w:cs="Times New Roman"/>
          <w:i/>
          <w:sz w:val="24"/>
          <w:szCs w:val="24"/>
        </w:rPr>
        <w:t>a quo</w:t>
      </w:r>
      <w:r w:rsidR="00CC1A8F" w:rsidRPr="001F7976">
        <w:rPr>
          <w:rFonts w:ascii="Times New Roman" w:hAnsi="Times New Roman" w:cs="Times New Roman"/>
          <w:sz w:val="24"/>
          <w:szCs w:val="24"/>
        </w:rPr>
        <w:t xml:space="preserve"> required </w:t>
      </w:r>
      <w:r w:rsidR="00E14996" w:rsidRPr="001F7976">
        <w:rPr>
          <w:rFonts w:ascii="Times New Roman" w:hAnsi="Times New Roman" w:cs="Times New Roman"/>
          <w:sz w:val="24"/>
          <w:szCs w:val="24"/>
        </w:rPr>
        <w:t>the appellant</w:t>
      </w:r>
      <w:r w:rsidR="00CC1A8F" w:rsidRPr="001F7976">
        <w:rPr>
          <w:rFonts w:ascii="Times New Roman" w:hAnsi="Times New Roman" w:cs="Times New Roman"/>
          <w:sz w:val="24"/>
          <w:szCs w:val="24"/>
        </w:rPr>
        <w:t>s</w:t>
      </w:r>
      <w:r w:rsidR="00E14996" w:rsidRPr="001F7976">
        <w:rPr>
          <w:rFonts w:ascii="Times New Roman" w:hAnsi="Times New Roman" w:cs="Times New Roman"/>
          <w:sz w:val="24"/>
          <w:szCs w:val="24"/>
        </w:rPr>
        <w:t xml:space="preserve"> to prove a case which was not in the contract.  </w:t>
      </w:r>
    </w:p>
    <w:p w:rsidR="00E14996" w:rsidRPr="001F7976" w:rsidRDefault="00E14996" w:rsidP="008E3494">
      <w:pPr>
        <w:spacing w:after="0" w:line="480" w:lineRule="auto"/>
        <w:ind w:firstLine="1134"/>
        <w:jc w:val="both"/>
        <w:rPr>
          <w:rFonts w:ascii="Times New Roman" w:hAnsi="Times New Roman" w:cs="Times New Roman"/>
          <w:sz w:val="24"/>
          <w:szCs w:val="24"/>
        </w:rPr>
      </w:pPr>
    </w:p>
    <w:p w:rsidR="00FA6545" w:rsidRPr="001F7976" w:rsidRDefault="00E14996"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 xml:space="preserve">For all </w:t>
      </w:r>
      <w:r w:rsidR="00CC1A8F" w:rsidRPr="001F7976">
        <w:rPr>
          <w:rFonts w:ascii="Times New Roman" w:hAnsi="Times New Roman" w:cs="Times New Roman"/>
          <w:sz w:val="24"/>
          <w:szCs w:val="24"/>
        </w:rPr>
        <w:t>that it is worth, the appellant</w:t>
      </w:r>
      <w:r w:rsidRPr="001F7976">
        <w:rPr>
          <w:rFonts w:ascii="Times New Roman" w:hAnsi="Times New Roman" w:cs="Times New Roman"/>
          <w:sz w:val="24"/>
          <w:szCs w:val="24"/>
        </w:rPr>
        <w:t>s</w:t>
      </w:r>
      <w:r w:rsidR="00CC1A8F" w:rsidRPr="001F7976">
        <w:rPr>
          <w:rFonts w:ascii="Times New Roman" w:hAnsi="Times New Roman" w:cs="Times New Roman"/>
          <w:sz w:val="24"/>
          <w:szCs w:val="24"/>
        </w:rPr>
        <w:t>’</w:t>
      </w:r>
      <w:r w:rsidRPr="001F7976">
        <w:rPr>
          <w:rFonts w:ascii="Times New Roman" w:hAnsi="Times New Roman" w:cs="Times New Roman"/>
          <w:sz w:val="24"/>
          <w:szCs w:val="24"/>
        </w:rPr>
        <w:t xml:space="preserve"> fee note grounding </w:t>
      </w:r>
      <w:r w:rsidR="00CC1A8F" w:rsidRPr="001F7976">
        <w:rPr>
          <w:rFonts w:ascii="Times New Roman" w:hAnsi="Times New Roman" w:cs="Times New Roman"/>
          <w:sz w:val="24"/>
          <w:szCs w:val="24"/>
        </w:rPr>
        <w:t>their</w:t>
      </w:r>
      <w:r w:rsidRPr="001F7976">
        <w:rPr>
          <w:rFonts w:ascii="Times New Roman" w:hAnsi="Times New Roman" w:cs="Times New Roman"/>
          <w:sz w:val="24"/>
          <w:szCs w:val="24"/>
        </w:rPr>
        <w:t xml:space="preserve"> claim, set out in detail what </w:t>
      </w:r>
      <w:r w:rsidR="00CC1A8F" w:rsidRPr="001F7976">
        <w:rPr>
          <w:rFonts w:ascii="Times New Roman" w:hAnsi="Times New Roman" w:cs="Times New Roman"/>
          <w:sz w:val="24"/>
          <w:szCs w:val="24"/>
        </w:rPr>
        <w:t xml:space="preserve">it </w:t>
      </w:r>
      <w:r w:rsidRPr="001F7976">
        <w:rPr>
          <w:rFonts w:ascii="Times New Roman" w:hAnsi="Times New Roman" w:cs="Times New Roman"/>
          <w:sz w:val="24"/>
          <w:szCs w:val="24"/>
        </w:rPr>
        <w:t>is that was done between 2006 and 2010.  I have also reproduced the contents of the fee not</w:t>
      </w:r>
      <w:r w:rsidR="00CC1A8F" w:rsidRPr="001F7976">
        <w:rPr>
          <w:rFonts w:ascii="Times New Roman" w:hAnsi="Times New Roman" w:cs="Times New Roman"/>
          <w:sz w:val="24"/>
          <w:szCs w:val="24"/>
        </w:rPr>
        <w:t>e</w:t>
      </w:r>
      <w:r w:rsidRPr="001F7976">
        <w:rPr>
          <w:rFonts w:ascii="Times New Roman" w:hAnsi="Times New Roman" w:cs="Times New Roman"/>
          <w:sz w:val="24"/>
          <w:szCs w:val="24"/>
        </w:rPr>
        <w:t xml:space="preserve"> above and it shows that the </w:t>
      </w:r>
      <w:r w:rsidR="00FA6545" w:rsidRPr="001F7976">
        <w:rPr>
          <w:rFonts w:ascii="Times New Roman" w:hAnsi="Times New Roman" w:cs="Times New Roman"/>
          <w:sz w:val="24"/>
          <w:szCs w:val="24"/>
        </w:rPr>
        <w:t>attendances undertaken by the appellant</w:t>
      </w:r>
      <w:r w:rsidR="00CC1A8F" w:rsidRPr="001F7976">
        <w:rPr>
          <w:rFonts w:ascii="Times New Roman" w:hAnsi="Times New Roman" w:cs="Times New Roman"/>
          <w:sz w:val="24"/>
          <w:szCs w:val="24"/>
        </w:rPr>
        <w:t>s</w:t>
      </w:r>
      <w:r w:rsidR="00FA6545" w:rsidRPr="001F7976">
        <w:rPr>
          <w:rFonts w:ascii="Times New Roman" w:hAnsi="Times New Roman" w:cs="Times New Roman"/>
          <w:sz w:val="24"/>
          <w:szCs w:val="24"/>
        </w:rPr>
        <w:t xml:space="preserve"> during that period were different from those claimed in the fee note of 2006.</w:t>
      </w:r>
    </w:p>
    <w:p w:rsidR="00FA6545" w:rsidRPr="001F7976" w:rsidRDefault="00FA6545" w:rsidP="008E3494">
      <w:pPr>
        <w:spacing w:after="0" w:line="480" w:lineRule="auto"/>
        <w:ind w:firstLine="1134"/>
        <w:jc w:val="both"/>
        <w:rPr>
          <w:rFonts w:ascii="Times New Roman" w:hAnsi="Times New Roman" w:cs="Times New Roman"/>
          <w:sz w:val="24"/>
          <w:szCs w:val="24"/>
        </w:rPr>
      </w:pPr>
    </w:p>
    <w:p w:rsidR="00FA6545" w:rsidRPr="001F7976" w:rsidRDefault="00FA6545"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 xml:space="preserve">Mr </w:t>
      </w:r>
      <w:r w:rsidRPr="001F7976">
        <w:rPr>
          <w:rFonts w:ascii="Times New Roman" w:hAnsi="Times New Roman" w:cs="Times New Roman"/>
          <w:i/>
          <w:sz w:val="24"/>
          <w:szCs w:val="24"/>
        </w:rPr>
        <w:t>Zhuwarara</w:t>
      </w:r>
      <w:r w:rsidRPr="001F7976">
        <w:rPr>
          <w:rFonts w:ascii="Times New Roman" w:hAnsi="Times New Roman" w:cs="Times New Roman"/>
          <w:sz w:val="24"/>
          <w:szCs w:val="24"/>
        </w:rPr>
        <w:t xml:space="preserve"> helpfully cited s14 (1) of the By</w:t>
      </w:r>
      <w:r w:rsidR="00CA5577" w:rsidRPr="001F7976">
        <w:rPr>
          <w:rFonts w:ascii="Times New Roman" w:hAnsi="Times New Roman" w:cs="Times New Roman"/>
          <w:sz w:val="24"/>
          <w:szCs w:val="24"/>
        </w:rPr>
        <w:t>e</w:t>
      </w:r>
      <w:r w:rsidRPr="001F7976">
        <w:rPr>
          <w:rFonts w:ascii="Times New Roman" w:hAnsi="Times New Roman" w:cs="Times New Roman"/>
          <w:sz w:val="24"/>
          <w:szCs w:val="24"/>
        </w:rPr>
        <w:t>-Laws in advancing the argument that the Architects Tariff prescribes a manner in which Architects compute their fees for services rendered.  It reads:-</w:t>
      </w:r>
    </w:p>
    <w:p w:rsidR="00CA5577" w:rsidRPr="001F7976" w:rsidRDefault="00FA6545" w:rsidP="008E3494">
      <w:pPr>
        <w:spacing w:after="0" w:line="240" w:lineRule="auto"/>
        <w:ind w:left="567"/>
        <w:jc w:val="both"/>
        <w:rPr>
          <w:rFonts w:ascii="Times New Roman" w:hAnsi="Times New Roman" w:cs="Times New Roman"/>
          <w:sz w:val="24"/>
          <w:szCs w:val="24"/>
        </w:rPr>
      </w:pPr>
      <w:r w:rsidRPr="001F7976">
        <w:rPr>
          <w:rFonts w:ascii="Times New Roman" w:hAnsi="Times New Roman" w:cs="Times New Roman"/>
          <w:sz w:val="24"/>
          <w:szCs w:val="24"/>
        </w:rPr>
        <w:t xml:space="preserve">“Subject to the provisions of this part, the fee for designing and supervising the construction of any building shall be a percentage of the final cost of the works according to the fee scale shown in the First Schedule and the valuations to it shown in the Second Schedule.” </w:t>
      </w:r>
    </w:p>
    <w:p w:rsidR="00175146" w:rsidRPr="001F7976" w:rsidRDefault="00DD3E23" w:rsidP="008E3494">
      <w:pPr>
        <w:spacing w:after="0" w:line="240" w:lineRule="auto"/>
        <w:ind w:left="1134"/>
        <w:jc w:val="both"/>
        <w:rPr>
          <w:rFonts w:ascii="Times New Roman" w:hAnsi="Times New Roman" w:cs="Times New Roman"/>
          <w:sz w:val="24"/>
          <w:szCs w:val="24"/>
        </w:rPr>
      </w:pPr>
      <w:r w:rsidRPr="001F7976">
        <w:rPr>
          <w:rFonts w:ascii="Times New Roman" w:hAnsi="Times New Roman" w:cs="Times New Roman"/>
          <w:sz w:val="24"/>
          <w:szCs w:val="24"/>
        </w:rPr>
        <w:t xml:space="preserve"> </w:t>
      </w:r>
      <w:r w:rsidR="00132202" w:rsidRPr="001F7976">
        <w:rPr>
          <w:rFonts w:ascii="Times New Roman" w:hAnsi="Times New Roman" w:cs="Times New Roman"/>
          <w:sz w:val="24"/>
          <w:szCs w:val="24"/>
        </w:rPr>
        <w:t xml:space="preserve">  </w:t>
      </w:r>
      <w:r w:rsidR="00175146" w:rsidRPr="001F7976">
        <w:rPr>
          <w:rFonts w:ascii="Times New Roman" w:hAnsi="Times New Roman" w:cs="Times New Roman"/>
          <w:sz w:val="24"/>
          <w:szCs w:val="24"/>
        </w:rPr>
        <w:t xml:space="preserve"> </w:t>
      </w:r>
    </w:p>
    <w:p w:rsidR="00175146" w:rsidRPr="001F7976" w:rsidRDefault="00175146" w:rsidP="008E3494">
      <w:pPr>
        <w:spacing w:after="0" w:line="480" w:lineRule="auto"/>
        <w:jc w:val="both"/>
        <w:rPr>
          <w:rFonts w:ascii="Times New Roman" w:hAnsi="Times New Roman" w:cs="Times New Roman"/>
          <w:sz w:val="24"/>
          <w:szCs w:val="24"/>
        </w:rPr>
      </w:pPr>
    </w:p>
    <w:p w:rsidR="00FA6545" w:rsidRPr="001F7976" w:rsidRDefault="00FA6545"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The fee note submitted by the appellant</w:t>
      </w:r>
      <w:r w:rsidR="00CC1A8F" w:rsidRPr="001F7976">
        <w:rPr>
          <w:rFonts w:ascii="Times New Roman" w:hAnsi="Times New Roman" w:cs="Times New Roman"/>
          <w:sz w:val="24"/>
          <w:szCs w:val="24"/>
        </w:rPr>
        <w:t>s on 3</w:t>
      </w:r>
      <w:r w:rsidRPr="001F7976">
        <w:rPr>
          <w:rFonts w:ascii="Times New Roman" w:hAnsi="Times New Roman" w:cs="Times New Roman"/>
          <w:sz w:val="24"/>
          <w:szCs w:val="24"/>
        </w:rPr>
        <w:t xml:space="preserve"> August 2010 showed the budgeted construction cost of the project which was being undertaken by the parties as being US$12 million.  This was an estimate produced </w:t>
      </w:r>
      <w:r w:rsidR="00CC1A8F" w:rsidRPr="001F7976">
        <w:rPr>
          <w:rFonts w:ascii="Times New Roman" w:hAnsi="Times New Roman" w:cs="Times New Roman"/>
          <w:sz w:val="24"/>
          <w:szCs w:val="24"/>
        </w:rPr>
        <w:t>on 30 June 2010.  The Architect</w:t>
      </w:r>
      <w:r w:rsidRPr="001F7976">
        <w:rPr>
          <w:rFonts w:ascii="Times New Roman" w:hAnsi="Times New Roman" w:cs="Times New Roman"/>
          <w:sz w:val="24"/>
          <w:szCs w:val="24"/>
        </w:rPr>
        <w:t>s</w:t>
      </w:r>
      <w:r w:rsidR="00CC1A8F" w:rsidRPr="001F7976">
        <w:rPr>
          <w:rFonts w:ascii="Times New Roman" w:hAnsi="Times New Roman" w:cs="Times New Roman"/>
          <w:sz w:val="24"/>
          <w:szCs w:val="24"/>
        </w:rPr>
        <w:t>’</w:t>
      </w:r>
      <w:r w:rsidRPr="001F7976">
        <w:rPr>
          <w:rFonts w:ascii="Times New Roman" w:hAnsi="Times New Roman" w:cs="Times New Roman"/>
          <w:sz w:val="24"/>
          <w:szCs w:val="24"/>
        </w:rPr>
        <w:t xml:space="preserve"> fees were calculated as a percentage of that cost using a certain formula extracted from the bye-Laws.  In his evidence before th</w:t>
      </w:r>
      <w:r w:rsidR="00CC1A8F" w:rsidRPr="001F7976">
        <w:rPr>
          <w:rFonts w:ascii="Times New Roman" w:hAnsi="Times New Roman" w:cs="Times New Roman"/>
          <w:sz w:val="24"/>
          <w:szCs w:val="24"/>
        </w:rPr>
        <w:t>e court Mutumwapabi Charles Ritc</w:t>
      </w:r>
      <w:r w:rsidRPr="001F7976">
        <w:rPr>
          <w:rFonts w:ascii="Times New Roman" w:hAnsi="Times New Roman" w:cs="Times New Roman"/>
          <w:sz w:val="24"/>
          <w:szCs w:val="24"/>
        </w:rPr>
        <w:t>hie Vengesayi made reference to the Bye-Laws stating that they stipulated how the fee was charged.</w:t>
      </w:r>
    </w:p>
    <w:p w:rsidR="001236ED" w:rsidRPr="001F7976" w:rsidRDefault="001236ED" w:rsidP="008E3494">
      <w:pPr>
        <w:spacing w:after="0" w:line="480" w:lineRule="auto"/>
        <w:ind w:firstLine="1134"/>
        <w:jc w:val="both"/>
        <w:rPr>
          <w:rFonts w:ascii="Times New Roman" w:hAnsi="Times New Roman" w:cs="Times New Roman"/>
          <w:sz w:val="24"/>
          <w:szCs w:val="24"/>
        </w:rPr>
      </w:pPr>
    </w:p>
    <w:p w:rsidR="001236ED" w:rsidRPr="001F7976" w:rsidRDefault="001236ED"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 xml:space="preserve">Vengesayi explained that the fees are divided into three series of payments namely the first phase, which constitutes the design and brief production stage.  There is the next phase </w:t>
      </w:r>
      <w:r w:rsidRPr="001F7976">
        <w:rPr>
          <w:rFonts w:ascii="Times New Roman" w:hAnsi="Times New Roman" w:cs="Times New Roman"/>
          <w:sz w:val="24"/>
          <w:szCs w:val="24"/>
        </w:rPr>
        <w:lastRenderedPageBreak/>
        <w:t>which constitutes the work and drawing stage and finally the supervision stage.  Significantly</w:t>
      </w:r>
      <w:r w:rsidR="00D74215" w:rsidRPr="001F7976">
        <w:rPr>
          <w:rFonts w:ascii="Times New Roman" w:hAnsi="Times New Roman" w:cs="Times New Roman"/>
          <w:sz w:val="24"/>
          <w:szCs w:val="24"/>
        </w:rPr>
        <w:t>,</w:t>
      </w:r>
      <w:r w:rsidRPr="001F7976">
        <w:rPr>
          <w:rFonts w:ascii="Times New Roman" w:hAnsi="Times New Roman" w:cs="Times New Roman"/>
          <w:sz w:val="24"/>
          <w:szCs w:val="24"/>
        </w:rPr>
        <w:t xml:space="preserve"> the tariff determines what is presented for payment.</w:t>
      </w:r>
    </w:p>
    <w:p w:rsidR="001236ED" w:rsidRPr="001F7976" w:rsidRDefault="001236ED" w:rsidP="008E3494">
      <w:pPr>
        <w:spacing w:after="0" w:line="480" w:lineRule="auto"/>
        <w:ind w:firstLine="1134"/>
        <w:jc w:val="both"/>
        <w:rPr>
          <w:rFonts w:ascii="Times New Roman" w:hAnsi="Times New Roman" w:cs="Times New Roman"/>
          <w:sz w:val="24"/>
          <w:szCs w:val="24"/>
        </w:rPr>
      </w:pPr>
    </w:p>
    <w:p w:rsidR="00487D4A" w:rsidRPr="001F7976" w:rsidRDefault="001236ED"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 xml:space="preserve">Having done that, and also having produced the fee note showing how the fee was calculated in terms of the Bye-Laws, the matter was resolved.  This is so because the respondent did not challenge the fees charged.  In fact the entire defence of the respondent </w:t>
      </w:r>
      <w:r w:rsidR="00BD143C" w:rsidRPr="001F7976">
        <w:rPr>
          <w:rFonts w:ascii="Times New Roman" w:hAnsi="Times New Roman" w:cs="Times New Roman"/>
          <w:sz w:val="24"/>
          <w:szCs w:val="24"/>
        </w:rPr>
        <w:t>centred around denial of</w:t>
      </w:r>
      <w:r w:rsidR="0024629A" w:rsidRPr="001F7976">
        <w:rPr>
          <w:rFonts w:ascii="Times New Roman" w:hAnsi="Times New Roman" w:cs="Times New Roman"/>
          <w:sz w:val="24"/>
          <w:szCs w:val="24"/>
        </w:rPr>
        <w:t xml:space="preserve"> the existence of</w:t>
      </w:r>
      <w:r w:rsidR="00D15936" w:rsidRPr="001F7976">
        <w:rPr>
          <w:rFonts w:ascii="Times New Roman" w:hAnsi="Times New Roman" w:cs="Times New Roman"/>
          <w:sz w:val="24"/>
          <w:szCs w:val="24"/>
        </w:rPr>
        <w:t xml:space="preserve"> </w:t>
      </w:r>
      <w:r w:rsidR="00817091" w:rsidRPr="001F7976">
        <w:rPr>
          <w:rFonts w:ascii="Times New Roman" w:hAnsi="Times New Roman" w:cs="Times New Roman"/>
          <w:sz w:val="24"/>
          <w:szCs w:val="24"/>
        </w:rPr>
        <w:t>a</w:t>
      </w:r>
      <w:r w:rsidR="00EF489E" w:rsidRPr="001F7976">
        <w:rPr>
          <w:rFonts w:ascii="Times New Roman" w:hAnsi="Times New Roman" w:cs="Times New Roman"/>
          <w:sz w:val="24"/>
          <w:szCs w:val="24"/>
        </w:rPr>
        <w:t xml:space="preserve"> </w:t>
      </w:r>
      <w:r w:rsidR="0024629A" w:rsidRPr="001F7976">
        <w:rPr>
          <w:rFonts w:ascii="Times New Roman" w:hAnsi="Times New Roman" w:cs="Times New Roman"/>
          <w:sz w:val="24"/>
          <w:szCs w:val="24"/>
        </w:rPr>
        <w:t xml:space="preserve">contractual </w:t>
      </w:r>
      <w:r w:rsidR="002665E4" w:rsidRPr="001F7976">
        <w:rPr>
          <w:rFonts w:ascii="Times New Roman" w:hAnsi="Times New Roman" w:cs="Times New Roman"/>
          <w:sz w:val="24"/>
          <w:szCs w:val="24"/>
        </w:rPr>
        <w:t>relationship</w:t>
      </w:r>
      <w:r w:rsidR="00BD143C" w:rsidRPr="001F7976">
        <w:rPr>
          <w:rFonts w:ascii="Times New Roman" w:hAnsi="Times New Roman" w:cs="Times New Roman"/>
          <w:sz w:val="24"/>
          <w:szCs w:val="24"/>
        </w:rPr>
        <w:t xml:space="preserve"> and not how the fees were computed.  The respondent was required, if it queried the fee note, to proceed in terms of s 29 (1) of </w:t>
      </w:r>
      <w:r w:rsidR="000D7223" w:rsidRPr="001F7976">
        <w:rPr>
          <w:rFonts w:ascii="Times New Roman" w:hAnsi="Times New Roman" w:cs="Times New Roman"/>
          <w:sz w:val="24"/>
          <w:szCs w:val="24"/>
        </w:rPr>
        <w:t xml:space="preserve">the </w:t>
      </w:r>
      <w:r w:rsidR="00487D4A" w:rsidRPr="001F7976">
        <w:rPr>
          <w:rFonts w:ascii="Times New Roman" w:hAnsi="Times New Roman" w:cs="Times New Roman"/>
          <w:sz w:val="24"/>
          <w:szCs w:val="24"/>
        </w:rPr>
        <w:t>Bye-Laws to refer the query to the Architects Council of Zimbabwe for adjudication.  This was not done.</w:t>
      </w:r>
    </w:p>
    <w:p w:rsidR="00487D4A" w:rsidRPr="001F7976" w:rsidRDefault="00487D4A" w:rsidP="008E3494">
      <w:pPr>
        <w:spacing w:after="0" w:line="240" w:lineRule="auto"/>
        <w:ind w:firstLine="1134"/>
        <w:jc w:val="both"/>
        <w:rPr>
          <w:rFonts w:ascii="Times New Roman" w:hAnsi="Times New Roman" w:cs="Times New Roman"/>
          <w:sz w:val="24"/>
          <w:szCs w:val="24"/>
        </w:rPr>
      </w:pPr>
    </w:p>
    <w:p w:rsidR="009431BE" w:rsidRPr="001F7976" w:rsidRDefault="009431BE" w:rsidP="008E3494">
      <w:pPr>
        <w:spacing w:after="0" w:line="240" w:lineRule="auto"/>
        <w:ind w:firstLine="1134"/>
        <w:jc w:val="both"/>
        <w:rPr>
          <w:rFonts w:ascii="Times New Roman" w:hAnsi="Times New Roman" w:cs="Times New Roman"/>
          <w:sz w:val="24"/>
          <w:szCs w:val="24"/>
        </w:rPr>
      </w:pPr>
    </w:p>
    <w:p w:rsidR="00552615" w:rsidRPr="001F7976" w:rsidRDefault="00487D4A"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 xml:space="preserve">A good part of the cross-examination of Vengesayi by counsel for the respondent concentrated on demanding a breakdown of fees for each of the heads of work undertaken.  In doing so counsel hoped to discredit the claim as not having been proved.  In my view this was completely unnecessary and may have contributed in misleading the court </w:t>
      </w:r>
      <w:r w:rsidRPr="001F7976">
        <w:rPr>
          <w:rFonts w:ascii="Times New Roman" w:hAnsi="Times New Roman" w:cs="Times New Roman"/>
          <w:i/>
          <w:sz w:val="24"/>
          <w:szCs w:val="24"/>
        </w:rPr>
        <w:t>a quo</w:t>
      </w:r>
      <w:r w:rsidRPr="001F7976">
        <w:rPr>
          <w:rFonts w:ascii="Times New Roman" w:hAnsi="Times New Roman" w:cs="Times New Roman"/>
          <w:sz w:val="24"/>
          <w:szCs w:val="24"/>
        </w:rPr>
        <w:t xml:space="preserve"> by drawing its attention to what was </w:t>
      </w:r>
      <w:r w:rsidR="00D74215" w:rsidRPr="001F7976">
        <w:rPr>
          <w:rFonts w:ascii="Times New Roman" w:hAnsi="Times New Roman" w:cs="Times New Roman"/>
          <w:sz w:val="24"/>
          <w:szCs w:val="24"/>
        </w:rPr>
        <w:t>ir</w:t>
      </w:r>
      <w:r w:rsidRPr="001F7976">
        <w:rPr>
          <w:rFonts w:ascii="Times New Roman" w:hAnsi="Times New Roman" w:cs="Times New Roman"/>
          <w:sz w:val="24"/>
          <w:szCs w:val="24"/>
        </w:rPr>
        <w:t>relevant.</w:t>
      </w:r>
      <w:r w:rsidR="006C36BC" w:rsidRPr="001F7976">
        <w:rPr>
          <w:rFonts w:ascii="Times New Roman" w:hAnsi="Times New Roman" w:cs="Times New Roman"/>
          <w:sz w:val="24"/>
          <w:szCs w:val="24"/>
        </w:rPr>
        <w:t xml:space="preserve">  That line of questioning was not even in pursuance of the respondent’s plea which</w:t>
      </w:r>
      <w:r w:rsidR="00D74215" w:rsidRPr="001F7976">
        <w:rPr>
          <w:rFonts w:ascii="Times New Roman" w:hAnsi="Times New Roman" w:cs="Times New Roman"/>
          <w:sz w:val="24"/>
          <w:szCs w:val="24"/>
        </w:rPr>
        <w:t>,</w:t>
      </w:r>
      <w:r w:rsidR="006C36BC" w:rsidRPr="001F7976">
        <w:rPr>
          <w:rFonts w:ascii="Times New Roman" w:hAnsi="Times New Roman" w:cs="Times New Roman"/>
          <w:sz w:val="24"/>
          <w:szCs w:val="24"/>
        </w:rPr>
        <w:t xml:space="preserve"> as </w:t>
      </w:r>
      <w:r w:rsidR="00D74215" w:rsidRPr="001F7976">
        <w:rPr>
          <w:rFonts w:ascii="Times New Roman" w:hAnsi="Times New Roman" w:cs="Times New Roman"/>
          <w:sz w:val="24"/>
          <w:szCs w:val="24"/>
        </w:rPr>
        <w:t xml:space="preserve">I </w:t>
      </w:r>
      <w:r w:rsidR="006C36BC" w:rsidRPr="001F7976">
        <w:rPr>
          <w:rFonts w:ascii="Times New Roman" w:hAnsi="Times New Roman" w:cs="Times New Roman"/>
          <w:sz w:val="24"/>
          <w:szCs w:val="24"/>
        </w:rPr>
        <w:t>have</w:t>
      </w:r>
      <w:r w:rsidR="00552615" w:rsidRPr="001F7976">
        <w:rPr>
          <w:rFonts w:ascii="Times New Roman" w:hAnsi="Times New Roman" w:cs="Times New Roman"/>
          <w:sz w:val="24"/>
          <w:szCs w:val="24"/>
        </w:rPr>
        <w:t xml:space="preserve"> said, was a denial of the existence of a contract between the parties.</w:t>
      </w:r>
    </w:p>
    <w:p w:rsidR="00552615" w:rsidRPr="001F7976" w:rsidRDefault="00552615" w:rsidP="008E3494">
      <w:pPr>
        <w:spacing w:after="0" w:line="480" w:lineRule="auto"/>
        <w:ind w:firstLine="1134"/>
        <w:jc w:val="both"/>
        <w:rPr>
          <w:rFonts w:ascii="Times New Roman" w:hAnsi="Times New Roman" w:cs="Times New Roman"/>
          <w:sz w:val="24"/>
          <w:szCs w:val="24"/>
        </w:rPr>
      </w:pPr>
    </w:p>
    <w:p w:rsidR="00E36ACA" w:rsidRPr="001F7976" w:rsidRDefault="00552615"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 xml:space="preserve">It is trite that a pleader cannot be allowed to direct the attention of the other party to one issue, and then pursue a different issue at the trial.  See </w:t>
      </w:r>
      <w:r w:rsidRPr="001F7976">
        <w:rPr>
          <w:rFonts w:ascii="Times New Roman" w:hAnsi="Times New Roman" w:cs="Times New Roman"/>
          <w:i/>
          <w:sz w:val="24"/>
          <w:szCs w:val="24"/>
        </w:rPr>
        <w:t>Kali v Incorporated General Insurance Ltd</w:t>
      </w:r>
      <w:r w:rsidRPr="001F7976">
        <w:rPr>
          <w:rFonts w:ascii="Times New Roman" w:hAnsi="Times New Roman" w:cs="Times New Roman"/>
          <w:sz w:val="24"/>
          <w:szCs w:val="24"/>
        </w:rPr>
        <w:t xml:space="preserve"> 1976 (2) SA 179 (D) at 182A (quoted with approval in </w:t>
      </w:r>
      <w:r w:rsidRPr="001F7976">
        <w:rPr>
          <w:rFonts w:ascii="Times New Roman" w:hAnsi="Times New Roman" w:cs="Times New Roman"/>
          <w:i/>
          <w:sz w:val="24"/>
          <w:szCs w:val="24"/>
        </w:rPr>
        <w:t>Kea</w:t>
      </w:r>
      <w:r w:rsidR="00D74215" w:rsidRPr="001F7976">
        <w:rPr>
          <w:rFonts w:ascii="Times New Roman" w:hAnsi="Times New Roman" w:cs="Times New Roman"/>
          <w:i/>
          <w:sz w:val="24"/>
          <w:szCs w:val="24"/>
        </w:rPr>
        <w:t>vney &amp; An</w:t>
      </w:r>
      <w:r w:rsidRPr="001F7976">
        <w:rPr>
          <w:rFonts w:ascii="Times New Roman" w:hAnsi="Times New Roman" w:cs="Times New Roman"/>
          <w:i/>
          <w:sz w:val="24"/>
          <w:szCs w:val="24"/>
        </w:rPr>
        <w:t>or v Msabaeka Bus Services (Pvt) Ltd</w:t>
      </w:r>
      <w:r w:rsidR="007E34F8" w:rsidRPr="001F7976">
        <w:rPr>
          <w:rFonts w:ascii="Times New Roman" w:hAnsi="Times New Roman" w:cs="Times New Roman"/>
          <w:sz w:val="24"/>
          <w:szCs w:val="24"/>
        </w:rPr>
        <w:t xml:space="preserve"> 1996 (1) ZLR 605 (S) at 608B</w:t>
      </w:r>
      <w:r w:rsidR="00D74215" w:rsidRPr="001F7976">
        <w:rPr>
          <w:rFonts w:ascii="Times New Roman" w:hAnsi="Times New Roman" w:cs="Times New Roman"/>
          <w:sz w:val="24"/>
          <w:szCs w:val="24"/>
        </w:rPr>
        <w:t>)</w:t>
      </w:r>
      <w:r w:rsidR="00E36ACA" w:rsidRPr="001F7976">
        <w:rPr>
          <w:rFonts w:ascii="Times New Roman" w:hAnsi="Times New Roman" w:cs="Times New Roman"/>
          <w:sz w:val="24"/>
          <w:szCs w:val="24"/>
        </w:rPr>
        <w:t>.</w:t>
      </w:r>
    </w:p>
    <w:p w:rsidR="00E36ACA" w:rsidRPr="001F7976" w:rsidRDefault="00E36ACA" w:rsidP="008E3494">
      <w:pPr>
        <w:spacing w:after="0" w:line="480" w:lineRule="auto"/>
        <w:ind w:firstLine="1134"/>
        <w:jc w:val="both"/>
        <w:rPr>
          <w:rFonts w:ascii="Times New Roman" w:hAnsi="Times New Roman" w:cs="Times New Roman"/>
          <w:sz w:val="24"/>
          <w:szCs w:val="24"/>
        </w:rPr>
      </w:pPr>
    </w:p>
    <w:p w:rsidR="00E36ACA" w:rsidRPr="001F7976" w:rsidRDefault="00E36ACA"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lastRenderedPageBreak/>
        <w:t xml:space="preserve">The court </w:t>
      </w:r>
      <w:r w:rsidRPr="001F7976">
        <w:rPr>
          <w:rFonts w:ascii="Times New Roman" w:hAnsi="Times New Roman" w:cs="Times New Roman"/>
          <w:i/>
          <w:sz w:val="24"/>
          <w:szCs w:val="24"/>
        </w:rPr>
        <w:t>a quo</w:t>
      </w:r>
      <w:r w:rsidRPr="001F7976">
        <w:rPr>
          <w:rFonts w:ascii="Times New Roman" w:hAnsi="Times New Roman" w:cs="Times New Roman"/>
          <w:sz w:val="24"/>
          <w:szCs w:val="24"/>
        </w:rPr>
        <w:t xml:space="preserve"> was clearly wrong to require the appellant</w:t>
      </w:r>
      <w:r w:rsidR="00D74215" w:rsidRPr="001F7976">
        <w:rPr>
          <w:rFonts w:ascii="Times New Roman" w:hAnsi="Times New Roman" w:cs="Times New Roman"/>
          <w:sz w:val="24"/>
          <w:szCs w:val="24"/>
        </w:rPr>
        <w:t>s</w:t>
      </w:r>
      <w:r w:rsidRPr="001F7976">
        <w:rPr>
          <w:rFonts w:ascii="Times New Roman" w:hAnsi="Times New Roman" w:cs="Times New Roman"/>
          <w:sz w:val="24"/>
          <w:szCs w:val="24"/>
        </w:rPr>
        <w:t xml:space="preserve"> to prove more than </w:t>
      </w:r>
      <w:r w:rsidR="00D74215" w:rsidRPr="001F7976">
        <w:rPr>
          <w:rFonts w:ascii="Times New Roman" w:hAnsi="Times New Roman" w:cs="Times New Roman"/>
          <w:sz w:val="24"/>
          <w:szCs w:val="24"/>
        </w:rPr>
        <w:t xml:space="preserve">what </w:t>
      </w:r>
      <w:r w:rsidRPr="001F7976">
        <w:rPr>
          <w:rFonts w:ascii="Times New Roman" w:hAnsi="Times New Roman" w:cs="Times New Roman"/>
          <w:sz w:val="24"/>
          <w:szCs w:val="24"/>
        </w:rPr>
        <w:t xml:space="preserve">the contract of the parties provided for.  In terms of the contract a presentation of a statement of fees calculated in terms of the Architects tariff was enough proof of liability in a case where the respondent did not query the fees but denied liability.  Once the court </w:t>
      </w:r>
      <w:r w:rsidRPr="001F7976">
        <w:rPr>
          <w:rFonts w:ascii="Times New Roman" w:hAnsi="Times New Roman" w:cs="Times New Roman"/>
          <w:i/>
          <w:sz w:val="24"/>
          <w:szCs w:val="24"/>
        </w:rPr>
        <w:t>a quo</w:t>
      </w:r>
      <w:r w:rsidRPr="001F7976">
        <w:rPr>
          <w:rFonts w:ascii="Times New Roman" w:hAnsi="Times New Roman" w:cs="Times New Roman"/>
          <w:sz w:val="24"/>
          <w:szCs w:val="24"/>
        </w:rPr>
        <w:t xml:space="preserve"> determined the existence of a valid contract and that the appellant had rendered architectural services not paid for, it should have granted judgment in favour of the appellant in respect of the part of the claim which had not prescribed.</w:t>
      </w:r>
      <w:r w:rsidR="00EE57FA" w:rsidRPr="001F7976">
        <w:rPr>
          <w:rFonts w:ascii="Times New Roman" w:hAnsi="Times New Roman" w:cs="Times New Roman"/>
          <w:sz w:val="24"/>
          <w:szCs w:val="24"/>
        </w:rPr>
        <w:t xml:space="preserve">  The appellants had already amended their claim for interest from 23 percent to 16 percent per annum.</w:t>
      </w:r>
    </w:p>
    <w:p w:rsidR="00D66A25" w:rsidRPr="001F7976" w:rsidRDefault="00D66A25" w:rsidP="008E3494">
      <w:pPr>
        <w:spacing w:after="0" w:line="480" w:lineRule="auto"/>
        <w:ind w:firstLine="1134"/>
        <w:jc w:val="both"/>
        <w:rPr>
          <w:rFonts w:ascii="Times New Roman" w:hAnsi="Times New Roman" w:cs="Times New Roman"/>
          <w:sz w:val="24"/>
          <w:szCs w:val="24"/>
        </w:rPr>
      </w:pPr>
    </w:p>
    <w:p w:rsidR="00D66A25" w:rsidRPr="001F7976" w:rsidRDefault="00D66A25"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 xml:space="preserve">Regarding the issue of costs, the appellants were substantially successful to a large extent.  There is no reason why the costs should not follow the result as is the norm. </w:t>
      </w:r>
    </w:p>
    <w:p w:rsidR="00E36ACA" w:rsidRPr="001F7976" w:rsidRDefault="00E36ACA"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The appeal should succeed.</w:t>
      </w:r>
    </w:p>
    <w:p w:rsidR="00E36ACA" w:rsidRPr="001F7976" w:rsidRDefault="00E36ACA" w:rsidP="008E3494">
      <w:pPr>
        <w:spacing w:after="0" w:line="240" w:lineRule="auto"/>
        <w:ind w:firstLine="1134"/>
        <w:jc w:val="both"/>
        <w:rPr>
          <w:rFonts w:ascii="Times New Roman" w:hAnsi="Times New Roman" w:cs="Times New Roman"/>
          <w:sz w:val="24"/>
          <w:szCs w:val="24"/>
        </w:rPr>
      </w:pPr>
    </w:p>
    <w:p w:rsidR="00A55427" w:rsidRPr="001F7976" w:rsidRDefault="00E36ACA"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Accordingly it is ordered that:</w:t>
      </w:r>
    </w:p>
    <w:p w:rsidR="00A55427" w:rsidRPr="001F7976" w:rsidRDefault="00A55427" w:rsidP="008E3494">
      <w:pPr>
        <w:pStyle w:val="ListParagraph"/>
        <w:numPr>
          <w:ilvl w:val="0"/>
          <w:numId w:val="12"/>
        </w:numPr>
        <w:spacing w:after="0" w:line="480" w:lineRule="auto"/>
        <w:ind w:left="567"/>
        <w:jc w:val="both"/>
        <w:rPr>
          <w:rFonts w:ascii="Times New Roman" w:hAnsi="Times New Roman" w:cs="Times New Roman"/>
          <w:sz w:val="24"/>
          <w:szCs w:val="24"/>
        </w:rPr>
      </w:pPr>
      <w:r w:rsidRPr="001F7976">
        <w:rPr>
          <w:rFonts w:ascii="Times New Roman" w:hAnsi="Times New Roman" w:cs="Times New Roman"/>
          <w:sz w:val="24"/>
          <w:szCs w:val="24"/>
        </w:rPr>
        <w:t>The appeal be and is hereby allowed with costs.</w:t>
      </w:r>
    </w:p>
    <w:p w:rsidR="00A55427" w:rsidRPr="001F7976" w:rsidRDefault="00A55427" w:rsidP="008E3494">
      <w:pPr>
        <w:pStyle w:val="ListParagraph"/>
        <w:numPr>
          <w:ilvl w:val="0"/>
          <w:numId w:val="12"/>
        </w:numPr>
        <w:spacing w:after="0" w:line="480" w:lineRule="auto"/>
        <w:ind w:left="567"/>
        <w:jc w:val="both"/>
        <w:rPr>
          <w:rFonts w:ascii="Times New Roman" w:hAnsi="Times New Roman" w:cs="Times New Roman"/>
          <w:sz w:val="24"/>
          <w:szCs w:val="24"/>
        </w:rPr>
      </w:pPr>
      <w:r w:rsidRPr="001F7976">
        <w:rPr>
          <w:rFonts w:ascii="Times New Roman" w:hAnsi="Times New Roman" w:cs="Times New Roman"/>
          <w:sz w:val="24"/>
          <w:szCs w:val="24"/>
        </w:rPr>
        <w:t xml:space="preserve">The judgment of the court </w:t>
      </w:r>
      <w:r w:rsidRPr="001F7976">
        <w:rPr>
          <w:rFonts w:ascii="Times New Roman" w:hAnsi="Times New Roman" w:cs="Times New Roman"/>
          <w:i/>
          <w:sz w:val="24"/>
          <w:szCs w:val="24"/>
        </w:rPr>
        <w:t>a quo</w:t>
      </w:r>
      <w:r w:rsidRPr="001F7976">
        <w:rPr>
          <w:rFonts w:ascii="Times New Roman" w:hAnsi="Times New Roman" w:cs="Times New Roman"/>
          <w:sz w:val="24"/>
          <w:szCs w:val="24"/>
        </w:rPr>
        <w:t xml:space="preserve"> is hereby set aside and substituted with the following:</w:t>
      </w:r>
    </w:p>
    <w:p w:rsidR="0003599D" w:rsidRPr="001F7976" w:rsidRDefault="00A55427" w:rsidP="008E3494">
      <w:pPr>
        <w:pStyle w:val="ListParagraph"/>
        <w:spacing w:after="0" w:line="240" w:lineRule="auto"/>
        <w:ind w:left="567"/>
        <w:jc w:val="both"/>
        <w:rPr>
          <w:rFonts w:ascii="Times New Roman" w:hAnsi="Times New Roman" w:cs="Times New Roman"/>
          <w:sz w:val="24"/>
          <w:szCs w:val="24"/>
        </w:rPr>
      </w:pPr>
      <w:r w:rsidRPr="001F7976">
        <w:rPr>
          <w:rFonts w:ascii="Times New Roman" w:hAnsi="Times New Roman" w:cs="Times New Roman"/>
          <w:sz w:val="24"/>
          <w:szCs w:val="24"/>
        </w:rPr>
        <w:t xml:space="preserve">“(a) The agreement for the provision of architectural services entered into </w:t>
      </w:r>
    </w:p>
    <w:p w:rsidR="00A55427" w:rsidRPr="001F7976" w:rsidRDefault="0003599D" w:rsidP="008E3494">
      <w:pPr>
        <w:pStyle w:val="ListParagraph"/>
        <w:spacing w:after="0" w:line="240" w:lineRule="auto"/>
        <w:ind w:left="567"/>
        <w:jc w:val="both"/>
        <w:rPr>
          <w:rFonts w:ascii="Times New Roman" w:hAnsi="Times New Roman" w:cs="Times New Roman"/>
          <w:sz w:val="24"/>
          <w:szCs w:val="24"/>
        </w:rPr>
      </w:pPr>
      <w:r w:rsidRPr="001F7976">
        <w:rPr>
          <w:rFonts w:ascii="Times New Roman" w:hAnsi="Times New Roman" w:cs="Times New Roman"/>
          <w:sz w:val="24"/>
          <w:szCs w:val="24"/>
        </w:rPr>
        <w:t xml:space="preserve">       </w:t>
      </w:r>
      <w:r w:rsidR="00A55427" w:rsidRPr="001F7976">
        <w:rPr>
          <w:rFonts w:ascii="Times New Roman" w:hAnsi="Times New Roman" w:cs="Times New Roman"/>
          <w:sz w:val="24"/>
          <w:szCs w:val="24"/>
        </w:rPr>
        <w:t>between the plaintiff and the defendant on 19 September 2005 be and is</w:t>
      </w:r>
    </w:p>
    <w:p w:rsidR="00A55427" w:rsidRPr="001F7976" w:rsidRDefault="0003599D" w:rsidP="008E3494">
      <w:pPr>
        <w:pStyle w:val="ListParagraph"/>
        <w:spacing w:after="0" w:line="240" w:lineRule="auto"/>
        <w:ind w:left="567"/>
        <w:jc w:val="both"/>
        <w:rPr>
          <w:rFonts w:ascii="Times New Roman" w:hAnsi="Times New Roman" w:cs="Times New Roman"/>
          <w:sz w:val="24"/>
          <w:szCs w:val="24"/>
        </w:rPr>
      </w:pPr>
      <w:r w:rsidRPr="001F7976">
        <w:rPr>
          <w:rFonts w:ascii="Times New Roman" w:hAnsi="Times New Roman" w:cs="Times New Roman"/>
          <w:sz w:val="24"/>
          <w:szCs w:val="24"/>
        </w:rPr>
        <w:t xml:space="preserve">  </w:t>
      </w:r>
      <w:r w:rsidR="00A55427" w:rsidRPr="001F7976">
        <w:rPr>
          <w:rFonts w:ascii="Times New Roman" w:hAnsi="Times New Roman" w:cs="Times New Roman"/>
          <w:sz w:val="24"/>
          <w:szCs w:val="24"/>
        </w:rPr>
        <w:t xml:space="preserve">     hereby declared valid and binding.</w:t>
      </w:r>
    </w:p>
    <w:p w:rsidR="00A55427" w:rsidRPr="001F7976" w:rsidRDefault="00A55427" w:rsidP="008E3494">
      <w:pPr>
        <w:pStyle w:val="ListParagraph"/>
        <w:spacing w:after="0" w:line="240" w:lineRule="auto"/>
        <w:ind w:left="567"/>
        <w:jc w:val="both"/>
        <w:rPr>
          <w:rFonts w:ascii="Times New Roman" w:hAnsi="Times New Roman" w:cs="Times New Roman"/>
          <w:sz w:val="24"/>
          <w:szCs w:val="24"/>
        </w:rPr>
      </w:pPr>
    </w:p>
    <w:p w:rsidR="0003599D" w:rsidRPr="001F7976" w:rsidRDefault="00A55427" w:rsidP="008E3494">
      <w:pPr>
        <w:pStyle w:val="ListParagraph"/>
        <w:spacing w:after="0" w:line="240" w:lineRule="auto"/>
        <w:ind w:left="567"/>
        <w:jc w:val="both"/>
        <w:rPr>
          <w:rFonts w:ascii="Times New Roman" w:hAnsi="Times New Roman" w:cs="Times New Roman"/>
          <w:sz w:val="24"/>
          <w:szCs w:val="24"/>
        </w:rPr>
      </w:pPr>
      <w:r w:rsidRPr="001F7976">
        <w:rPr>
          <w:rFonts w:ascii="Times New Roman" w:hAnsi="Times New Roman" w:cs="Times New Roman"/>
          <w:sz w:val="24"/>
          <w:szCs w:val="24"/>
        </w:rPr>
        <w:t xml:space="preserve"> (b) The defendant shall pay to the plaintiff the sum of US$357 330,68 together</w:t>
      </w:r>
    </w:p>
    <w:p w:rsidR="0003599D" w:rsidRPr="001F7976" w:rsidRDefault="0003599D" w:rsidP="008E3494">
      <w:pPr>
        <w:pStyle w:val="ListParagraph"/>
        <w:spacing w:after="0" w:line="240" w:lineRule="auto"/>
        <w:ind w:left="567"/>
        <w:jc w:val="both"/>
        <w:rPr>
          <w:rFonts w:ascii="Times New Roman" w:hAnsi="Times New Roman" w:cs="Times New Roman"/>
          <w:sz w:val="24"/>
          <w:szCs w:val="24"/>
        </w:rPr>
      </w:pPr>
      <w:r w:rsidRPr="001F7976">
        <w:rPr>
          <w:rFonts w:ascii="Times New Roman" w:hAnsi="Times New Roman" w:cs="Times New Roman"/>
          <w:sz w:val="24"/>
          <w:szCs w:val="24"/>
        </w:rPr>
        <w:t xml:space="preserve">   </w:t>
      </w:r>
      <w:r w:rsidR="00A55427" w:rsidRPr="001F7976">
        <w:rPr>
          <w:rFonts w:ascii="Times New Roman" w:hAnsi="Times New Roman" w:cs="Times New Roman"/>
          <w:sz w:val="24"/>
          <w:szCs w:val="24"/>
        </w:rPr>
        <w:t xml:space="preserve"> </w:t>
      </w:r>
      <w:r w:rsidRPr="001F7976">
        <w:rPr>
          <w:rFonts w:ascii="Times New Roman" w:hAnsi="Times New Roman" w:cs="Times New Roman"/>
          <w:sz w:val="24"/>
          <w:szCs w:val="24"/>
        </w:rPr>
        <w:t xml:space="preserve">   </w:t>
      </w:r>
      <w:r w:rsidR="00A55427" w:rsidRPr="001F7976">
        <w:rPr>
          <w:rFonts w:ascii="Times New Roman" w:hAnsi="Times New Roman" w:cs="Times New Roman"/>
          <w:sz w:val="24"/>
          <w:szCs w:val="24"/>
        </w:rPr>
        <w:t>with interest thereon at the rate of 16 percent per annum from 17 August</w:t>
      </w:r>
    </w:p>
    <w:p w:rsidR="00A55427" w:rsidRPr="001F7976" w:rsidRDefault="0003599D" w:rsidP="008E3494">
      <w:pPr>
        <w:pStyle w:val="ListParagraph"/>
        <w:spacing w:after="0" w:line="240" w:lineRule="auto"/>
        <w:ind w:left="567"/>
        <w:jc w:val="both"/>
        <w:rPr>
          <w:rFonts w:ascii="Times New Roman" w:hAnsi="Times New Roman" w:cs="Times New Roman"/>
          <w:sz w:val="24"/>
          <w:szCs w:val="24"/>
        </w:rPr>
      </w:pPr>
      <w:r w:rsidRPr="001F7976">
        <w:rPr>
          <w:rFonts w:ascii="Times New Roman" w:hAnsi="Times New Roman" w:cs="Times New Roman"/>
          <w:sz w:val="24"/>
          <w:szCs w:val="24"/>
        </w:rPr>
        <w:t xml:space="preserve">      </w:t>
      </w:r>
      <w:r w:rsidR="00A55427" w:rsidRPr="001F7976">
        <w:rPr>
          <w:rFonts w:ascii="Times New Roman" w:hAnsi="Times New Roman" w:cs="Times New Roman"/>
          <w:sz w:val="24"/>
          <w:szCs w:val="24"/>
        </w:rPr>
        <w:t xml:space="preserve"> 2010 to date of payment in full.</w:t>
      </w:r>
    </w:p>
    <w:p w:rsidR="00A55427" w:rsidRPr="001F7976" w:rsidRDefault="00A55427" w:rsidP="008E3494">
      <w:pPr>
        <w:pStyle w:val="ListParagraph"/>
        <w:spacing w:after="0" w:line="240" w:lineRule="auto"/>
        <w:ind w:left="567"/>
        <w:jc w:val="both"/>
        <w:rPr>
          <w:rFonts w:ascii="Times New Roman" w:hAnsi="Times New Roman" w:cs="Times New Roman"/>
          <w:sz w:val="24"/>
          <w:szCs w:val="24"/>
        </w:rPr>
      </w:pPr>
    </w:p>
    <w:p w:rsidR="001236ED" w:rsidRPr="001F7976" w:rsidRDefault="00A55427" w:rsidP="008E3494">
      <w:pPr>
        <w:pStyle w:val="ListParagraph"/>
        <w:spacing w:after="0" w:line="240" w:lineRule="auto"/>
        <w:ind w:left="567"/>
        <w:jc w:val="both"/>
        <w:rPr>
          <w:rFonts w:ascii="Times New Roman" w:hAnsi="Times New Roman" w:cs="Times New Roman"/>
          <w:sz w:val="24"/>
          <w:szCs w:val="24"/>
        </w:rPr>
      </w:pPr>
      <w:r w:rsidRPr="001F7976">
        <w:rPr>
          <w:rFonts w:ascii="Times New Roman" w:hAnsi="Times New Roman" w:cs="Times New Roman"/>
          <w:sz w:val="24"/>
          <w:szCs w:val="24"/>
        </w:rPr>
        <w:t xml:space="preserve"> (c) The defendant shall bear the plaintiff’s costs</w:t>
      </w:r>
      <w:r w:rsidR="00D11C97" w:rsidRPr="001F7976">
        <w:rPr>
          <w:rFonts w:ascii="Times New Roman" w:hAnsi="Times New Roman" w:cs="Times New Roman"/>
          <w:sz w:val="24"/>
          <w:szCs w:val="24"/>
        </w:rPr>
        <w:t xml:space="preserve"> </w:t>
      </w:r>
      <w:r w:rsidRPr="001F7976">
        <w:rPr>
          <w:rFonts w:ascii="Times New Roman" w:hAnsi="Times New Roman" w:cs="Times New Roman"/>
          <w:sz w:val="24"/>
          <w:szCs w:val="24"/>
        </w:rPr>
        <w:t xml:space="preserve">of suit.” </w:t>
      </w:r>
      <w:r w:rsidR="00E36ACA" w:rsidRPr="001F7976">
        <w:rPr>
          <w:rFonts w:ascii="Times New Roman" w:hAnsi="Times New Roman" w:cs="Times New Roman"/>
          <w:sz w:val="24"/>
          <w:szCs w:val="24"/>
        </w:rPr>
        <w:t xml:space="preserve">  </w:t>
      </w:r>
      <w:r w:rsidR="00552615" w:rsidRPr="001F7976">
        <w:rPr>
          <w:rFonts w:ascii="Times New Roman" w:hAnsi="Times New Roman" w:cs="Times New Roman"/>
          <w:sz w:val="24"/>
          <w:szCs w:val="24"/>
        </w:rPr>
        <w:t xml:space="preserve">  </w:t>
      </w:r>
      <w:r w:rsidR="00487D4A" w:rsidRPr="001F7976">
        <w:rPr>
          <w:rFonts w:ascii="Times New Roman" w:hAnsi="Times New Roman" w:cs="Times New Roman"/>
          <w:sz w:val="24"/>
          <w:szCs w:val="24"/>
        </w:rPr>
        <w:t xml:space="preserve"> </w:t>
      </w:r>
      <w:r w:rsidR="00BD143C" w:rsidRPr="001F7976">
        <w:rPr>
          <w:rFonts w:ascii="Times New Roman" w:hAnsi="Times New Roman" w:cs="Times New Roman"/>
          <w:sz w:val="24"/>
          <w:szCs w:val="24"/>
        </w:rPr>
        <w:t xml:space="preserve"> </w:t>
      </w:r>
      <w:r w:rsidR="001236ED" w:rsidRPr="001F7976">
        <w:rPr>
          <w:rFonts w:ascii="Times New Roman" w:hAnsi="Times New Roman" w:cs="Times New Roman"/>
          <w:sz w:val="24"/>
          <w:szCs w:val="24"/>
        </w:rPr>
        <w:t xml:space="preserve">  </w:t>
      </w:r>
    </w:p>
    <w:p w:rsidR="00FA6545" w:rsidRPr="001F7976" w:rsidRDefault="00FA6545" w:rsidP="008E3494">
      <w:pPr>
        <w:spacing w:after="0" w:line="480" w:lineRule="auto"/>
        <w:ind w:left="567"/>
        <w:jc w:val="both"/>
        <w:rPr>
          <w:rFonts w:ascii="Times New Roman" w:hAnsi="Times New Roman" w:cs="Times New Roman"/>
          <w:sz w:val="24"/>
          <w:szCs w:val="24"/>
        </w:rPr>
      </w:pPr>
      <w:r w:rsidRPr="001F7976">
        <w:rPr>
          <w:rFonts w:ascii="Times New Roman" w:hAnsi="Times New Roman" w:cs="Times New Roman"/>
          <w:sz w:val="24"/>
          <w:szCs w:val="24"/>
        </w:rPr>
        <w:t xml:space="preserve"> </w:t>
      </w:r>
    </w:p>
    <w:p w:rsidR="00B52B63" w:rsidRPr="001F7976" w:rsidRDefault="00E65557" w:rsidP="008E3494">
      <w:pPr>
        <w:spacing w:after="0" w:line="480" w:lineRule="auto"/>
        <w:jc w:val="both"/>
        <w:rPr>
          <w:rFonts w:ascii="Times New Roman" w:hAnsi="Times New Roman" w:cs="Times New Roman"/>
          <w:sz w:val="24"/>
          <w:szCs w:val="24"/>
        </w:rPr>
      </w:pPr>
      <w:r w:rsidRPr="001F7976">
        <w:rPr>
          <w:rFonts w:ascii="Times New Roman" w:hAnsi="Times New Roman" w:cs="Times New Roman"/>
          <w:sz w:val="24"/>
          <w:szCs w:val="24"/>
        </w:rPr>
        <w:t xml:space="preserve">    </w:t>
      </w:r>
    </w:p>
    <w:p w:rsidR="00265F85" w:rsidRPr="001F7976" w:rsidRDefault="00A55427"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b/>
          <w:sz w:val="24"/>
          <w:szCs w:val="24"/>
        </w:rPr>
        <w:t>GUVAVA JA</w:t>
      </w:r>
      <w:r w:rsidR="00265F85" w:rsidRPr="001F7976">
        <w:rPr>
          <w:rFonts w:ascii="Times New Roman" w:hAnsi="Times New Roman" w:cs="Times New Roman"/>
          <w:sz w:val="24"/>
          <w:szCs w:val="24"/>
        </w:rPr>
        <w:tab/>
      </w:r>
      <w:r w:rsidR="00265F85" w:rsidRPr="001F7976">
        <w:rPr>
          <w:rFonts w:ascii="Times New Roman" w:hAnsi="Times New Roman" w:cs="Times New Roman"/>
          <w:sz w:val="24"/>
          <w:szCs w:val="24"/>
        </w:rPr>
        <w:tab/>
      </w:r>
      <w:r w:rsidR="00265F85" w:rsidRPr="001F7976">
        <w:rPr>
          <w:rFonts w:ascii="Times New Roman" w:hAnsi="Times New Roman" w:cs="Times New Roman"/>
          <w:sz w:val="24"/>
          <w:szCs w:val="24"/>
        </w:rPr>
        <w:tab/>
        <w:t>I agree</w:t>
      </w:r>
    </w:p>
    <w:p w:rsidR="00265F85" w:rsidRPr="001F7976" w:rsidRDefault="00265F85" w:rsidP="008E3494">
      <w:pPr>
        <w:spacing w:after="0" w:line="480" w:lineRule="auto"/>
        <w:jc w:val="both"/>
        <w:rPr>
          <w:rFonts w:ascii="Times New Roman" w:hAnsi="Times New Roman" w:cs="Times New Roman"/>
          <w:sz w:val="24"/>
          <w:szCs w:val="24"/>
        </w:rPr>
      </w:pPr>
    </w:p>
    <w:p w:rsidR="00265F85" w:rsidRPr="001F7976" w:rsidRDefault="00265F85" w:rsidP="008E3494">
      <w:pPr>
        <w:spacing w:after="0" w:line="240" w:lineRule="auto"/>
        <w:ind w:firstLine="1134"/>
        <w:jc w:val="both"/>
        <w:rPr>
          <w:rFonts w:ascii="Times New Roman" w:hAnsi="Times New Roman" w:cs="Times New Roman"/>
          <w:sz w:val="24"/>
          <w:szCs w:val="24"/>
        </w:rPr>
      </w:pPr>
    </w:p>
    <w:p w:rsidR="00265F85" w:rsidRPr="001F7976" w:rsidRDefault="00A55427"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b/>
          <w:sz w:val="24"/>
          <w:szCs w:val="24"/>
        </w:rPr>
        <w:t>BERE</w:t>
      </w:r>
      <w:r w:rsidR="00265F85" w:rsidRPr="001F7976">
        <w:rPr>
          <w:rFonts w:ascii="Times New Roman" w:hAnsi="Times New Roman" w:cs="Times New Roman"/>
          <w:b/>
          <w:sz w:val="24"/>
          <w:szCs w:val="24"/>
        </w:rPr>
        <w:t xml:space="preserve"> JA</w:t>
      </w:r>
      <w:r w:rsidRPr="001F7976">
        <w:rPr>
          <w:rFonts w:ascii="Times New Roman" w:hAnsi="Times New Roman" w:cs="Times New Roman"/>
          <w:b/>
          <w:sz w:val="24"/>
          <w:szCs w:val="24"/>
        </w:rPr>
        <w:tab/>
      </w:r>
      <w:r w:rsidR="00265F85" w:rsidRPr="001F7976">
        <w:rPr>
          <w:rFonts w:ascii="Times New Roman" w:hAnsi="Times New Roman" w:cs="Times New Roman"/>
          <w:sz w:val="24"/>
          <w:szCs w:val="24"/>
        </w:rPr>
        <w:tab/>
      </w:r>
      <w:r w:rsidR="00265F85" w:rsidRPr="001F7976">
        <w:rPr>
          <w:rFonts w:ascii="Times New Roman" w:hAnsi="Times New Roman" w:cs="Times New Roman"/>
          <w:sz w:val="24"/>
          <w:szCs w:val="24"/>
        </w:rPr>
        <w:tab/>
      </w:r>
      <w:r w:rsidR="00265F85" w:rsidRPr="001F7976">
        <w:rPr>
          <w:rFonts w:ascii="Times New Roman" w:hAnsi="Times New Roman" w:cs="Times New Roman"/>
          <w:sz w:val="24"/>
          <w:szCs w:val="24"/>
        </w:rPr>
        <w:tab/>
        <w:t>I agree</w:t>
      </w:r>
    </w:p>
    <w:p w:rsidR="00265F85" w:rsidRPr="001F7976" w:rsidRDefault="00265F85"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lastRenderedPageBreak/>
        <w:t xml:space="preserve">   </w:t>
      </w:r>
    </w:p>
    <w:p w:rsidR="00265F85" w:rsidRPr="001F7976" w:rsidRDefault="00265F85" w:rsidP="008E3494">
      <w:pPr>
        <w:spacing w:after="0" w:line="480" w:lineRule="auto"/>
        <w:ind w:firstLine="1134"/>
        <w:jc w:val="both"/>
        <w:rPr>
          <w:rFonts w:ascii="Times New Roman" w:hAnsi="Times New Roman" w:cs="Times New Roman"/>
          <w:sz w:val="24"/>
          <w:szCs w:val="24"/>
        </w:rPr>
      </w:pPr>
      <w:r w:rsidRPr="001F7976">
        <w:rPr>
          <w:rFonts w:ascii="Times New Roman" w:hAnsi="Times New Roman" w:cs="Times New Roman"/>
          <w:sz w:val="24"/>
          <w:szCs w:val="24"/>
        </w:rPr>
        <w:t xml:space="preserve">                             </w:t>
      </w:r>
    </w:p>
    <w:p w:rsidR="00265F85" w:rsidRPr="001F7976" w:rsidRDefault="00BC5D56" w:rsidP="008E3494">
      <w:pPr>
        <w:spacing w:after="0" w:line="240" w:lineRule="auto"/>
        <w:ind w:left="720" w:hanging="720"/>
        <w:jc w:val="both"/>
        <w:rPr>
          <w:rFonts w:ascii="Times New Roman" w:hAnsi="Times New Roman" w:cs="Times New Roman"/>
          <w:sz w:val="24"/>
          <w:szCs w:val="24"/>
        </w:rPr>
      </w:pPr>
      <w:r w:rsidRPr="001F7976">
        <w:rPr>
          <w:rFonts w:ascii="Times New Roman" w:hAnsi="Times New Roman" w:cs="Times New Roman"/>
          <w:i/>
          <w:sz w:val="24"/>
          <w:szCs w:val="24"/>
        </w:rPr>
        <w:t>Kantor &amp; Immerson</w:t>
      </w:r>
      <w:r w:rsidR="00265F85" w:rsidRPr="001F7976">
        <w:rPr>
          <w:rFonts w:ascii="Times New Roman" w:hAnsi="Times New Roman" w:cs="Times New Roman"/>
          <w:sz w:val="24"/>
          <w:szCs w:val="24"/>
        </w:rPr>
        <w:t>, legal practitioners for the</w:t>
      </w:r>
      <w:r w:rsidR="00C86B14" w:rsidRPr="001F7976">
        <w:rPr>
          <w:rFonts w:ascii="Times New Roman" w:hAnsi="Times New Roman" w:cs="Times New Roman"/>
          <w:sz w:val="24"/>
          <w:szCs w:val="24"/>
        </w:rPr>
        <w:t xml:space="preserve"> </w:t>
      </w:r>
      <w:r w:rsidRPr="001F7976">
        <w:rPr>
          <w:rFonts w:ascii="Times New Roman" w:hAnsi="Times New Roman" w:cs="Times New Roman"/>
          <w:sz w:val="24"/>
          <w:szCs w:val="24"/>
        </w:rPr>
        <w:t>a</w:t>
      </w:r>
      <w:r w:rsidR="00265F85" w:rsidRPr="001F7976">
        <w:rPr>
          <w:rFonts w:ascii="Times New Roman" w:hAnsi="Times New Roman" w:cs="Times New Roman"/>
          <w:sz w:val="24"/>
          <w:szCs w:val="24"/>
        </w:rPr>
        <w:t>ppellant.</w:t>
      </w:r>
    </w:p>
    <w:p w:rsidR="00265F85" w:rsidRPr="001F7976" w:rsidRDefault="00265F85" w:rsidP="008E3494">
      <w:pPr>
        <w:spacing w:after="0" w:line="240" w:lineRule="auto"/>
        <w:ind w:left="720" w:hanging="720"/>
        <w:jc w:val="both"/>
        <w:rPr>
          <w:rFonts w:ascii="Times New Roman" w:hAnsi="Times New Roman" w:cs="Times New Roman"/>
          <w:sz w:val="24"/>
          <w:szCs w:val="24"/>
        </w:rPr>
      </w:pPr>
    </w:p>
    <w:p w:rsidR="00265F85" w:rsidRPr="001F7976" w:rsidRDefault="00F11D65" w:rsidP="004B72DF">
      <w:pPr>
        <w:spacing w:after="0" w:line="240" w:lineRule="auto"/>
        <w:jc w:val="both"/>
        <w:rPr>
          <w:rFonts w:ascii="Times New Roman" w:hAnsi="Times New Roman" w:cs="Times New Roman"/>
          <w:sz w:val="24"/>
          <w:szCs w:val="24"/>
        </w:rPr>
      </w:pPr>
      <w:r w:rsidRPr="001F7976">
        <w:rPr>
          <w:rFonts w:ascii="Times New Roman" w:hAnsi="Times New Roman" w:cs="Times New Roman"/>
          <w:i/>
          <w:sz w:val="24"/>
          <w:szCs w:val="24"/>
        </w:rPr>
        <w:t>Chihambakwe, Mutizwa &amp; Partners,</w:t>
      </w:r>
      <w:r w:rsidRPr="001F7976">
        <w:rPr>
          <w:rFonts w:ascii="Times New Roman" w:hAnsi="Times New Roman" w:cs="Times New Roman"/>
          <w:sz w:val="24"/>
          <w:szCs w:val="24"/>
        </w:rPr>
        <w:t xml:space="preserve"> </w:t>
      </w:r>
      <w:r w:rsidR="00265F85" w:rsidRPr="001F7976">
        <w:rPr>
          <w:rFonts w:ascii="Times New Roman" w:hAnsi="Times New Roman" w:cs="Times New Roman"/>
          <w:sz w:val="24"/>
          <w:szCs w:val="24"/>
        </w:rPr>
        <w:t>respondent</w:t>
      </w:r>
      <w:r w:rsidR="00BC5D56" w:rsidRPr="001F7976">
        <w:rPr>
          <w:rFonts w:ascii="Times New Roman" w:hAnsi="Times New Roman" w:cs="Times New Roman"/>
          <w:sz w:val="24"/>
          <w:szCs w:val="24"/>
        </w:rPr>
        <w:t>’s</w:t>
      </w:r>
      <w:r w:rsidR="00265F85" w:rsidRPr="001F7976">
        <w:rPr>
          <w:rFonts w:ascii="Times New Roman" w:hAnsi="Times New Roman" w:cs="Times New Roman"/>
          <w:sz w:val="24"/>
          <w:szCs w:val="24"/>
        </w:rPr>
        <w:t xml:space="preserve"> legal</w:t>
      </w:r>
      <w:r w:rsidR="00C86B14" w:rsidRPr="001F7976">
        <w:rPr>
          <w:rFonts w:ascii="Times New Roman" w:hAnsi="Times New Roman" w:cs="Times New Roman"/>
          <w:sz w:val="24"/>
          <w:szCs w:val="24"/>
        </w:rPr>
        <w:t xml:space="preserve"> </w:t>
      </w:r>
      <w:r w:rsidR="00265F85" w:rsidRPr="001F7976">
        <w:rPr>
          <w:rFonts w:ascii="Times New Roman" w:hAnsi="Times New Roman" w:cs="Times New Roman"/>
          <w:sz w:val="24"/>
          <w:szCs w:val="24"/>
        </w:rPr>
        <w:t xml:space="preserve">practitioners </w:t>
      </w:r>
    </w:p>
    <w:p w:rsidR="0062775C" w:rsidRPr="001F7976" w:rsidRDefault="0062775C" w:rsidP="008E3494">
      <w:pPr>
        <w:spacing w:after="0"/>
        <w:jc w:val="both"/>
        <w:rPr>
          <w:rFonts w:ascii="Times New Roman" w:hAnsi="Times New Roman" w:cs="Times New Roman"/>
          <w:sz w:val="24"/>
          <w:szCs w:val="24"/>
        </w:rPr>
      </w:pPr>
    </w:p>
    <w:sectPr w:rsidR="0062775C" w:rsidRPr="001F797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417" w:rsidRDefault="00C34417" w:rsidP="00265F85">
      <w:pPr>
        <w:spacing w:after="0" w:line="240" w:lineRule="auto"/>
      </w:pPr>
      <w:r>
        <w:separator/>
      </w:r>
    </w:p>
  </w:endnote>
  <w:endnote w:type="continuationSeparator" w:id="0">
    <w:p w:rsidR="00C34417" w:rsidRDefault="00C34417" w:rsidP="00265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42A" w:rsidRDefault="004134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42A" w:rsidRDefault="004134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42A" w:rsidRDefault="00413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417" w:rsidRDefault="00C34417" w:rsidP="00265F85">
      <w:pPr>
        <w:spacing w:after="0" w:line="240" w:lineRule="auto"/>
      </w:pPr>
      <w:r>
        <w:separator/>
      </w:r>
    </w:p>
  </w:footnote>
  <w:footnote w:type="continuationSeparator" w:id="0">
    <w:p w:rsidR="00C34417" w:rsidRDefault="00C34417" w:rsidP="00265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42A" w:rsidRDefault="004134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037" w:rsidRDefault="00FD6037">
    <w:pPr>
      <w:pStyle w:val="Header"/>
    </w:pPr>
    <w:r>
      <w:rPr>
        <w:noProof/>
        <w:lang w:eastAsia="en-ZW"/>
      </w:rPr>
      <mc:AlternateContent>
        <mc:Choice Requires="wps">
          <w:drawing>
            <wp:anchor distT="0" distB="0" distL="114300" distR="114300" simplePos="0" relativeHeight="251660288" behindDoc="0" locked="0" layoutInCell="0" allowOverlap="1" wp14:anchorId="415C6752" wp14:editId="10F483D7">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42A" w:rsidRPr="009431BE" w:rsidRDefault="0041342A" w:rsidP="0041342A">
                          <w:pPr>
                            <w:spacing w:after="0"/>
                            <w:jc w:val="right"/>
                            <w:rPr>
                              <w:rFonts w:ascii="Times New Roman" w:hAnsi="Times New Roman" w:cs="Times New Roman"/>
                              <w:b/>
                              <w:sz w:val="24"/>
                              <w:szCs w:val="24"/>
                            </w:rPr>
                          </w:pPr>
                          <w:r w:rsidRPr="009431BE">
                            <w:rPr>
                              <w:rFonts w:ascii="Times New Roman" w:hAnsi="Times New Roman" w:cs="Times New Roman"/>
                              <w:b/>
                              <w:sz w:val="24"/>
                              <w:szCs w:val="24"/>
                            </w:rPr>
                            <w:t>J</w:t>
                          </w:r>
                          <w:r>
                            <w:rPr>
                              <w:rFonts w:ascii="Times New Roman" w:hAnsi="Times New Roman" w:cs="Times New Roman"/>
                              <w:b/>
                              <w:sz w:val="24"/>
                              <w:szCs w:val="24"/>
                            </w:rPr>
                            <w:t>udgment</w:t>
                          </w:r>
                          <w:r w:rsidRPr="009431BE">
                            <w:rPr>
                              <w:rFonts w:ascii="Times New Roman" w:hAnsi="Times New Roman" w:cs="Times New Roman"/>
                              <w:b/>
                              <w:sz w:val="24"/>
                              <w:szCs w:val="24"/>
                            </w:rPr>
                            <w:t xml:space="preserve"> N</w:t>
                          </w:r>
                          <w:r>
                            <w:rPr>
                              <w:rFonts w:ascii="Times New Roman" w:hAnsi="Times New Roman" w:cs="Times New Roman"/>
                              <w:b/>
                              <w:sz w:val="24"/>
                              <w:szCs w:val="24"/>
                            </w:rPr>
                            <w:t>o</w:t>
                          </w:r>
                          <w:r w:rsidRPr="009431BE">
                            <w:rPr>
                              <w:rFonts w:ascii="Times New Roman" w:hAnsi="Times New Roman" w:cs="Times New Roman"/>
                              <w:b/>
                              <w:sz w:val="24"/>
                              <w:szCs w:val="24"/>
                            </w:rPr>
                            <w:t>. SC</w:t>
                          </w:r>
                          <w:r>
                            <w:rPr>
                              <w:rFonts w:ascii="Times New Roman" w:hAnsi="Times New Roman" w:cs="Times New Roman"/>
                              <w:b/>
                              <w:sz w:val="24"/>
                              <w:szCs w:val="24"/>
                            </w:rPr>
                            <w:t xml:space="preserve"> 15</w:t>
                          </w:r>
                          <w:r w:rsidRPr="009431BE">
                            <w:rPr>
                              <w:rFonts w:ascii="Times New Roman" w:hAnsi="Times New Roman" w:cs="Times New Roman"/>
                              <w:b/>
                              <w:sz w:val="24"/>
                              <w:szCs w:val="24"/>
                            </w:rPr>
                            <w:t>/2020</w:t>
                          </w:r>
                        </w:p>
                        <w:p w:rsidR="0041342A" w:rsidRPr="009431BE" w:rsidRDefault="0041342A" w:rsidP="0041342A">
                          <w:pPr>
                            <w:spacing w:after="0"/>
                            <w:jc w:val="right"/>
                            <w:rPr>
                              <w:rFonts w:ascii="Times New Roman" w:hAnsi="Times New Roman" w:cs="Times New Roman"/>
                              <w:b/>
                              <w:sz w:val="24"/>
                              <w:szCs w:val="24"/>
                            </w:rPr>
                          </w:pPr>
                          <w:r w:rsidRPr="009431BE">
                            <w:rPr>
                              <w:rFonts w:ascii="Times New Roman" w:hAnsi="Times New Roman" w:cs="Times New Roman"/>
                              <w:b/>
                              <w:sz w:val="24"/>
                              <w:szCs w:val="24"/>
                            </w:rPr>
                            <w:t xml:space="preserve">Civil Appeal </w:t>
                          </w:r>
                          <w:r>
                            <w:rPr>
                              <w:rFonts w:ascii="Times New Roman" w:hAnsi="Times New Roman" w:cs="Times New Roman"/>
                              <w:b/>
                              <w:sz w:val="24"/>
                              <w:szCs w:val="24"/>
                            </w:rPr>
                            <w:t>No</w:t>
                          </w:r>
                          <w:r w:rsidRPr="009431BE">
                            <w:rPr>
                              <w:rFonts w:ascii="Times New Roman" w:hAnsi="Times New Roman" w:cs="Times New Roman"/>
                              <w:b/>
                              <w:sz w:val="24"/>
                              <w:szCs w:val="24"/>
                            </w:rPr>
                            <w:t>. SC 27/19</w:t>
                          </w:r>
                        </w:p>
                        <w:p w:rsidR="00FD6037" w:rsidRDefault="00FD6037">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15C6752"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1342A" w:rsidRPr="009431BE" w:rsidRDefault="0041342A" w:rsidP="0041342A">
                    <w:pPr>
                      <w:spacing w:after="0"/>
                      <w:jc w:val="right"/>
                      <w:rPr>
                        <w:rFonts w:ascii="Times New Roman" w:hAnsi="Times New Roman" w:cs="Times New Roman"/>
                        <w:b/>
                        <w:sz w:val="24"/>
                        <w:szCs w:val="24"/>
                      </w:rPr>
                    </w:pPr>
                    <w:r w:rsidRPr="009431BE">
                      <w:rPr>
                        <w:rFonts w:ascii="Times New Roman" w:hAnsi="Times New Roman" w:cs="Times New Roman"/>
                        <w:b/>
                        <w:sz w:val="24"/>
                        <w:szCs w:val="24"/>
                      </w:rPr>
                      <w:t>J</w:t>
                    </w:r>
                    <w:r>
                      <w:rPr>
                        <w:rFonts w:ascii="Times New Roman" w:hAnsi="Times New Roman" w:cs="Times New Roman"/>
                        <w:b/>
                        <w:sz w:val="24"/>
                        <w:szCs w:val="24"/>
                      </w:rPr>
                      <w:t>udgment</w:t>
                    </w:r>
                    <w:r w:rsidRPr="009431BE">
                      <w:rPr>
                        <w:rFonts w:ascii="Times New Roman" w:hAnsi="Times New Roman" w:cs="Times New Roman"/>
                        <w:b/>
                        <w:sz w:val="24"/>
                        <w:szCs w:val="24"/>
                      </w:rPr>
                      <w:t xml:space="preserve"> N</w:t>
                    </w:r>
                    <w:r>
                      <w:rPr>
                        <w:rFonts w:ascii="Times New Roman" w:hAnsi="Times New Roman" w:cs="Times New Roman"/>
                        <w:b/>
                        <w:sz w:val="24"/>
                        <w:szCs w:val="24"/>
                      </w:rPr>
                      <w:t>o</w:t>
                    </w:r>
                    <w:r w:rsidRPr="009431BE">
                      <w:rPr>
                        <w:rFonts w:ascii="Times New Roman" w:hAnsi="Times New Roman" w:cs="Times New Roman"/>
                        <w:b/>
                        <w:sz w:val="24"/>
                        <w:szCs w:val="24"/>
                      </w:rPr>
                      <w:t>. SC</w:t>
                    </w:r>
                    <w:r>
                      <w:rPr>
                        <w:rFonts w:ascii="Times New Roman" w:hAnsi="Times New Roman" w:cs="Times New Roman"/>
                        <w:b/>
                        <w:sz w:val="24"/>
                        <w:szCs w:val="24"/>
                      </w:rPr>
                      <w:t xml:space="preserve"> 15</w:t>
                    </w:r>
                    <w:r w:rsidRPr="009431BE">
                      <w:rPr>
                        <w:rFonts w:ascii="Times New Roman" w:hAnsi="Times New Roman" w:cs="Times New Roman"/>
                        <w:b/>
                        <w:sz w:val="24"/>
                        <w:szCs w:val="24"/>
                      </w:rPr>
                      <w:t>/2020</w:t>
                    </w:r>
                  </w:p>
                  <w:p w:rsidR="0041342A" w:rsidRPr="009431BE" w:rsidRDefault="0041342A" w:rsidP="0041342A">
                    <w:pPr>
                      <w:spacing w:after="0"/>
                      <w:jc w:val="right"/>
                      <w:rPr>
                        <w:rFonts w:ascii="Times New Roman" w:hAnsi="Times New Roman" w:cs="Times New Roman"/>
                        <w:b/>
                        <w:sz w:val="24"/>
                        <w:szCs w:val="24"/>
                      </w:rPr>
                    </w:pPr>
                    <w:r w:rsidRPr="009431BE">
                      <w:rPr>
                        <w:rFonts w:ascii="Times New Roman" w:hAnsi="Times New Roman" w:cs="Times New Roman"/>
                        <w:b/>
                        <w:sz w:val="24"/>
                        <w:szCs w:val="24"/>
                      </w:rPr>
                      <w:t xml:space="preserve">Civil Appeal </w:t>
                    </w:r>
                    <w:r>
                      <w:rPr>
                        <w:rFonts w:ascii="Times New Roman" w:hAnsi="Times New Roman" w:cs="Times New Roman"/>
                        <w:b/>
                        <w:sz w:val="24"/>
                        <w:szCs w:val="24"/>
                      </w:rPr>
                      <w:t>No</w:t>
                    </w:r>
                    <w:r w:rsidRPr="009431BE">
                      <w:rPr>
                        <w:rFonts w:ascii="Times New Roman" w:hAnsi="Times New Roman" w:cs="Times New Roman"/>
                        <w:b/>
                        <w:sz w:val="24"/>
                        <w:szCs w:val="24"/>
                      </w:rPr>
                      <w:t>. SC 27/19</w:t>
                    </w:r>
                  </w:p>
                  <w:p w:rsidR="00FD6037" w:rsidRDefault="00FD6037">
                    <w:pPr>
                      <w:spacing w:after="0" w:line="240" w:lineRule="auto"/>
                      <w:jc w:val="right"/>
                      <w:rPr>
                        <w:noProof/>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0F729AC9" wp14:editId="3AA8D607">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D6037" w:rsidRDefault="00FD6037">
                          <w:pPr>
                            <w:spacing w:after="0" w:line="240" w:lineRule="auto"/>
                            <w:rPr>
                              <w:color w:val="FFFFFF" w:themeColor="background1"/>
                            </w:rPr>
                          </w:pPr>
                          <w:r>
                            <w:fldChar w:fldCharType="begin"/>
                          </w:r>
                          <w:r>
                            <w:instrText xml:space="preserve"> PAGE   \* MERGEFORMAT </w:instrText>
                          </w:r>
                          <w:r>
                            <w:fldChar w:fldCharType="separate"/>
                          </w:r>
                          <w:r w:rsidR="00C346BC" w:rsidRPr="00C346B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F729AC9"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FD6037" w:rsidRDefault="00FD6037">
                    <w:pPr>
                      <w:spacing w:after="0" w:line="240" w:lineRule="auto"/>
                      <w:rPr>
                        <w:color w:val="FFFFFF" w:themeColor="background1"/>
                      </w:rPr>
                    </w:pPr>
                    <w:r>
                      <w:fldChar w:fldCharType="begin"/>
                    </w:r>
                    <w:r>
                      <w:instrText xml:space="preserve"> PAGE   \* MERGEFORMAT </w:instrText>
                    </w:r>
                    <w:r>
                      <w:fldChar w:fldCharType="separate"/>
                    </w:r>
                    <w:r w:rsidR="00C346BC" w:rsidRPr="00C346B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42A" w:rsidRDefault="004134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367FF"/>
    <w:multiLevelType w:val="hybridMultilevel"/>
    <w:tmpl w:val="42B8E0D8"/>
    <w:lvl w:ilvl="0" w:tplc="DEDACF10">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9BD216E"/>
    <w:multiLevelType w:val="hybridMultilevel"/>
    <w:tmpl w:val="721060F4"/>
    <w:lvl w:ilvl="0" w:tplc="E8E6715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B66116C"/>
    <w:multiLevelType w:val="hybridMultilevel"/>
    <w:tmpl w:val="A99C5AC6"/>
    <w:lvl w:ilvl="0" w:tplc="B26EBAEC">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3" w15:restartNumberingAfterBreak="0">
    <w:nsid w:val="36F3562D"/>
    <w:multiLevelType w:val="hybridMultilevel"/>
    <w:tmpl w:val="6FF44AFC"/>
    <w:lvl w:ilvl="0" w:tplc="064043C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C083CF9"/>
    <w:multiLevelType w:val="hybridMultilevel"/>
    <w:tmpl w:val="EA94E2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9AB7298"/>
    <w:multiLevelType w:val="multilevel"/>
    <w:tmpl w:val="F4C600DC"/>
    <w:lvl w:ilvl="0">
      <w:start w:val="1"/>
      <w:numFmt w:val="decimal"/>
      <w:lvlText w:val="%1."/>
      <w:lvlJc w:val="left"/>
      <w:pPr>
        <w:ind w:left="1494" w:hanging="360"/>
      </w:pPr>
      <w:rPr>
        <w:rFonts w:hint="default"/>
      </w:rPr>
    </w:lvl>
    <w:lvl w:ilvl="1">
      <w:start w:val="2"/>
      <w:numFmt w:val="decimal"/>
      <w:isLgl/>
      <w:lvlText w:val="%1.%2."/>
      <w:lvlJc w:val="left"/>
      <w:pPr>
        <w:ind w:left="2214" w:hanging="720"/>
      </w:pPr>
      <w:rPr>
        <w:rFonts w:hint="default"/>
      </w:rPr>
    </w:lvl>
    <w:lvl w:ilvl="2">
      <w:start w:val="1"/>
      <w:numFmt w:val="decimal"/>
      <w:isLgl/>
      <w:lvlText w:val="%1.%2.%3."/>
      <w:lvlJc w:val="left"/>
      <w:pPr>
        <w:ind w:left="2934" w:hanging="1080"/>
      </w:pPr>
      <w:rPr>
        <w:rFonts w:hint="default"/>
      </w:rPr>
    </w:lvl>
    <w:lvl w:ilvl="3">
      <w:start w:val="1"/>
      <w:numFmt w:val="decimal"/>
      <w:isLgl/>
      <w:lvlText w:val="%1.%2.%3.%4."/>
      <w:lvlJc w:val="left"/>
      <w:pPr>
        <w:ind w:left="3654" w:hanging="1440"/>
      </w:pPr>
      <w:rPr>
        <w:rFonts w:hint="default"/>
      </w:rPr>
    </w:lvl>
    <w:lvl w:ilvl="4">
      <w:start w:val="1"/>
      <w:numFmt w:val="decimal"/>
      <w:isLgl/>
      <w:lvlText w:val="%1.%2.%3.%4.%5."/>
      <w:lvlJc w:val="left"/>
      <w:pPr>
        <w:ind w:left="4014" w:hanging="1440"/>
      </w:pPr>
      <w:rPr>
        <w:rFonts w:hint="default"/>
      </w:rPr>
    </w:lvl>
    <w:lvl w:ilvl="5">
      <w:start w:val="1"/>
      <w:numFmt w:val="decimal"/>
      <w:isLgl/>
      <w:lvlText w:val="%1.%2.%3.%4.%5.%6."/>
      <w:lvlJc w:val="left"/>
      <w:pPr>
        <w:ind w:left="4734" w:hanging="1800"/>
      </w:pPr>
      <w:rPr>
        <w:rFonts w:hint="default"/>
      </w:rPr>
    </w:lvl>
    <w:lvl w:ilvl="6">
      <w:start w:val="1"/>
      <w:numFmt w:val="decimal"/>
      <w:isLgl/>
      <w:lvlText w:val="%1.%2.%3.%4.%5.%6.%7."/>
      <w:lvlJc w:val="left"/>
      <w:pPr>
        <w:ind w:left="5454" w:hanging="2160"/>
      </w:pPr>
      <w:rPr>
        <w:rFonts w:hint="default"/>
      </w:rPr>
    </w:lvl>
    <w:lvl w:ilvl="7">
      <w:start w:val="1"/>
      <w:numFmt w:val="decimal"/>
      <w:isLgl/>
      <w:lvlText w:val="%1.%2.%3.%4.%5.%6.%7.%8."/>
      <w:lvlJc w:val="left"/>
      <w:pPr>
        <w:ind w:left="6174" w:hanging="2520"/>
      </w:pPr>
      <w:rPr>
        <w:rFonts w:hint="default"/>
      </w:rPr>
    </w:lvl>
    <w:lvl w:ilvl="8">
      <w:start w:val="1"/>
      <w:numFmt w:val="decimal"/>
      <w:isLgl/>
      <w:lvlText w:val="%1.%2.%3.%4.%5.%6.%7.%8.%9."/>
      <w:lvlJc w:val="left"/>
      <w:pPr>
        <w:ind w:left="6894" w:hanging="2880"/>
      </w:pPr>
      <w:rPr>
        <w:rFonts w:hint="default"/>
      </w:rPr>
    </w:lvl>
  </w:abstractNum>
  <w:abstractNum w:abstractNumId="6" w15:restartNumberingAfterBreak="0">
    <w:nsid w:val="4C05228E"/>
    <w:multiLevelType w:val="hybridMultilevel"/>
    <w:tmpl w:val="D960ED8E"/>
    <w:lvl w:ilvl="0" w:tplc="30090001">
      <w:start w:val="1"/>
      <w:numFmt w:val="bullet"/>
      <w:lvlText w:val=""/>
      <w:lvlJc w:val="left"/>
      <w:pPr>
        <w:ind w:left="1287" w:hanging="360"/>
      </w:pPr>
      <w:rPr>
        <w:rFonts w:ascii="Symbol" w:hAnsi="Symbol" w:hint="default"/>
      </w:rPr>
    </w:lvl>
    <w:lvl w:ilvl="1" w:tplc="30090003" w:tentative="1">
      <w:start w:val="1"/>
      <w:numFmt w:val="bullet"/>
      <w:lvlText w:val="o"/>
      <w:lvlJc w:val="left"/>
      <w:pPr>
        <w:ind w:left="2007" w:hanging="360"/>
      </w:pPr>
      <w:rPr>
        <w:rFonts w:ascii="Courier New" w:hAnsi="Courier New" w:cs="Courier New" w:hint="default"/>
      </w:rPr>
    </w:lvl>
    <w:lvl w:ilvl="2" w:tplc="30090005" w:tentative="1">
      <w:start w:val="1"/>
      <w:numFmt w:val="bullet"/>
      <w:lvlText w:val=""/>
      <w:lvlJc w:val="left"/>
      <w:pPr>
        <w:ind w:left="2727" w:hanging="360"/>
      </w:pPr>
      <w:rPr>
        <w:rFonts w:ascii="Wingdings" w:hAnsi="Wingdings" w:hint="default"/>
      </w:rPr>
    </w:lvl>
    <w:lvl w:ilvl="3" w:tplc="30090001" w:tentative="1">
      <w:start w:val="1"/>
      <w:numFmt w:val="bullet"/>
      <w:lvlText w:val=""/>
      <w:lvlJc w:val="left"/>
      <w:pPr>
        <w:ind w:left="3447" w:hanging="360"/>
      </w:pPr>
      <w:rPr>
        <w:rFonts w:ascii="Symbol" w:hAnsi="Symbol" w:hint="default"/>
      </w:rPr>
    </w:lvl>
    <w:lvl w:ilvl="4" w:tplc="30090003" w:tentative="1">
      <w:start w:val="1"/>
      <w:numFmt w:val="bullet"/>
      <w:lvlText w:val="o"/>
      <w:lvlJc w:val="left"/>
      <w:pPr>
        <w:ind w:left="4167" w:hanging="360"/>
      </w:pPr>
      <w:rPr>
        <w:rFonts w:ascii="Courier New" w:hAnsi="Courier New" w:cs="Courier New" w:hint="default"/>
      </w:rPr>
    </w:lvl>
    <w:lvl w:ilvl="5" w:tplc="30090005" w:tentative="1">
      <w:start w:val="1"/>
      <w:numFmt w:val="bullet"/>
      <w:lvlText w:val=""/>
      <w:lvlJc w:val="left"/>
      <w:pPr>
        <w:ind w:left="4887" w:hanging="360"/>
      </w:pPr>
      <w:rPr>
        <w:rFonts w:ascii="Wingdings" w:hAnsi="Wingdings" w:hint="default"/>
      </w:rPr>
    </w:lvl>
    <w:lvl w:ilvl="6" w:tplc="30090001" w:tentative="1">
      <w:start w:val="1"/>
      <w:numFmt w:val="bullet"/>
      <w:lvlText w:val=""/>
      <w:lvlJc w:val="left"/>
      <w:pPr>
        <w:ind w:left="5607" w:hanging="360"/>
      </w:pPr>
      <w:rPr>
        <w:rFonts w:ascii="Symbol" w:hAnsi="Symbol" w:hint="default"/>
      </w:rPr>
    </w:lvl>
    <w:lvl w:ilvl="7" w:tplc="30090003" w:tentative="1">
      <w:start w:val="1"/>
      <w:numFmt w:val="bullet"/>
      <w:lvlText w:val="o"/>
      <w:lvlJc w:val="left"/>
      <w:pPr>
        <w:ind w:left="6327" w:hanging="360"/>
      </w:pPr>
      <w:rPr>
        <w:rFonts w:ascii="Courier New" w:hAnsi="Courier New" w:cs="Courier New" w:hint="default"/>
      </w:rPr>
    </w:lvl>
    <w:lvl w:ilvl="8" w:tplc="30090005" w:tentative="1">
      <w:start w:val="1"/>
      <w:numFmt w:val="bullet"/>
      <w:lvlText w:val=""/>
      <w:lvlJc w:val="left"/>
      <w:pPr>
        <w:ind w:left="7047" w:hanging="360"/>
      </w:pPr>
      <w:rPr>
        <w:rFonts w:ascii="Wingdings" w:hAnsi="Wingdings" w:hint="default"/>
      </w:rPr>
    </w:lvl>
  </w:abstractNum>
  <w:abstractNum w:abstractNumId="7" w15:restartNumberingAfterBreak="0">
    <w:nsid w:val="4EBB128F"/>
    <w:multiLevelType w:val="hybridMultilevel"/>
    <w:tmpl w:val="1F44FE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FBD5891"/>
    <w:multiLevelType w:val="hybridMultilevel"/>
    <w:tmpl w:val="E168CE78"/>
    <w:lvl w:ilvl="0" w:tplc="30090001">
      <w:start w:val="1"/>
      <w:numFmt w:val="bullet"/>
      <w:lvlText w:val=""/>
      <w:lvlJc w:val="left"/>
      <w:pPr>
        <w:ind w:left="1854" w:hanging="360"/>
      </w:pPr>
      <w:rPr>
        <w:rFonts w:ascii="Symbol" w:hAnsi="Symbol" w:hint="default"/>
      </w:rPr>
    </w:lvl>
    <w:lvl w:ilvl="1" w:tplc="30090003" w:tentative="1">
      <w:start w:val="1"/>
      <w:numFmt w:val="bullet"/>
      <w:lvlText w:val="o"/>
      <w:lvlJc w:val="left"/>
      <w:pPr>
        <w:ind w:left="2574" w:hanging="360"/>
      </w:pPr>
      <w:rPr>
        <w:rFonts w:ascii="Courier New" w:hAnsi="Courier New" w:cs="Courier New" w:hint="default"/>
      </w:rPr>
    </w:lvl>
    <w:lvl w:ilvl="2" w:tplc="30090005" w:tentative="1">
      <w:start w:val="1"/>
      <w:numFmt w:val="bullet"/>
      <w:lvlText w:val=""/>
      <w:lvlJc w:val="left"/>
      <w:pPr>
        <w:ind w:left="3294" w:hanging="360"/>
      </w:pPr>
      <w:rPr>
        <w:rFonts w:ascii="Wingdings" w:hAnsi="Wingdings" w:hint="default"/>
      </w:rPr>
    </w:lvl>
    <w:lvl w:ilvl="3" w:tplc="30090001" w:tentative="1">
      <w:start w:val="1"/>
      <w:numFmt w:val="bullet"/>
      <w:lvlText w:val=""/>
      <w:lvlJc w:val="left"/>
      <w:pPr>
        <w:ind w:left="4014" w:hanging="360"/>
      </w:pPr>
      <w:rPr>
        <w:rFonts w:ascii="Symbol" w:hAnsi="Symbol" w:hint="default"/>
      </w:rPr>
    </w:lvl>
    <w:lvl w:ilvl="4" w:tplc="30090003" w:tentative="1">
      <w:start w:val="1"/>
      <w:numFmt w:val="bullet"/>
      <w:lvlText w:val="o"/>
      <w:lvlJc w:val="left"/>
      <w:pPr>
        <w:ind w:left="4734" w:hanging="360"/>
      </w:pPr>
      <w:rPr>
        <w:rFonts w:ascii="Courier New" w:hAnsi="Courier New" w:cs="Courier New" w:hint="default"/>
      </w:rPr>
    </w:lvl>
    <w:lvl w:ilvl="5" w:tplc="30090005" w:tentative="1">
      <w:start w:val="1"/>
      <w:numFmt w:val="bullet"/>
      <w:lvlText w:val=""/>
      <w:lvlJc w:val="left"/>
      <w:pPr>
        <w:ind w:left="5454" w:hanging="360"/>
      </w:pPr>
      <w:rPr>
        <w:rFonts w:ascii="Wingdings" w:hAnsi="Wingdings" w:hint="default"/>
      </w:rPr>
    </w:lvl>
    <w:lvl w:ilvl="6" w:tplc="30090001" w:tentative="1">
      <w:start w:val="1"/>
      <w:numFmt w:val="bullet"/>
      <w:lvlText w:val=""/>
      <w:lvlJc w:val="left"/>
      <w:pPr>
        <w:ind w:left="6174" w:hanging="360"/>
      </w:pPr>
      <w:rPr>
        <w:rFonts w:ascii="Symbol" w:hAnsi="Symbol" w:hint="default"/>
      </w:rPr>
    </w:lvl>
    <w:lvl w:ilvl="7" w:tplc="30090003" w:tentative="1">
      <w:start w:val="1"/>
      <w:numFmt w:val="bullet"/>
      <w:lvlText w:val="o"/>
      <w:lvlJc w:val="left"/>
      <w:pPr>
        <w:ind w:left="6894" w:hanging="360"/>
      </w:pPr>
      <w:rPr>
        <w:rFonts w:ascii="Courier New" w:hAnsi="Courier New" w:cs="Courier New" w:hint="default"/>
      </w:rPr>
    </w:lvl>
    <w:lvl w:ilvl="8" w:tplc="30090005" w:tentative="1">
      <w:start w:val="1"/>
      <w:numFmt w:val="bullet"/>
      <w:lvlText w:val=""/>
      <w:lvlJc w:val="left"/>
      <w:pPr>
        <w:ind w:left="7614" w:hanging="360"/>
      </w:pPr>
      <w:rPr>
        <w:rFonts w:ascii="Wingdings" w:hAnsi="Wingdings" w:hint="default"/>
      </w:rPr>
    </w:lvl>
  </w:abstractNum>
  <w:abstractNum w:abstractNumId="9" w15:restartNumberingAfterBreak="0">
    <w:nsid w:val="5BC13D3B"/>
    <w:multiLevelType w:val="hybridMultilevel"/>
    <w:tmpl w:val="CBB0C0F6"/>
    <w:lvl w:ilvl="0" w:tplc="CAF8450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8F24B70"/>
    <w:multiLevelType w:val="hybridMultilevel"/>
    <w:tmpl w:val="FDB247F8"/>
    <w:lvl w:ilvl="0" w:tplc="EE20039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4BC14EE"/>
    <w:multiLevelType w:val="hybridMultilevel"/>
    <w:tmpl w:val="55EA6A24"/>
    <w:lvl w:ilvl="0" w:tplc="73B68608">
      <w:start w:val="1"/>
      <w:numFmt w:val="decimal"/>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77DF766F"/>
    <w:multiLevelType w:val="hybridMultilevel"/>
    <w:tmpl w:val="E71CA8B2"/>
    <w:lvl w:ilvl="0" w:tplc="0BDC37E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12"/>
  </w:num>
  <w:num w:numId="5">
    <w:abstractNumId w:val="11"/>
  </w:num>
  <w:num w:numId="6">
    <w:abstractNumId w:val="0"/>
  </w:num>
  <w:num w:numId="7">
    <w:abstractNumId w:val="3"/>
  </w:num>
  <w:num w:numId="8">
    <w:abstractNumId w:val="8"/>
  </w:num>
  <w:num w:numId="9">
    <w:abstractNumId w:val="4"/>
  </w:num>
  <w:num w:numId="10">
    <w:abstractNumId w:val="9"/>
  </w:num>
  <w:num w:numId="11">
    <w:abstractNumId w:val="1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F85"/>
    <w:rsid w:val="000121FF"/>
    <w:rsid w:val="0003599D"/>
    <w:rsid w:val="0004304B"/>
    <w:rsid w:val="00054AE8"/>
    <w:rsid w:val="00070ED8"/>
    <w:rsid w:val="00082380"/>
    <w:rsid w:val="000B0888"/>
    <w:rsid w:val="000D6CC6"/>
    <w:rsid w:val="000D7223"/>
    <w:rsid w:val="000E41F9"/>
    <w:rsid w:val="000F491E"/>
    <w:rsid w:val="0010598D"/>
    <w:rsid w:val="00113353"/>
    <w:rsid w:val="001236BE"/>
    <w:rsid w:val="001236ED"/>
    <w:rsid w:val="00132202"/>
    <w:rsid w:val="00133CA6"/>
    <w:rsid w:val="00137D53"/>
    <w:rsid w:val="001522E3"/>
    <w:rsid w:val="00160696"/>
    <w:rsid w:val="00175146"/>
    <w:rsid w:val="00193B41"/>
    <w:rsid w:val="001A515E"/>
    <w:rsid w:val="001A7723"/>
    <w:rsid w:val="001A7AEA"/>
    <w:rsid w:val="001C0756"/>
    <w:rsid w:val="001C176B"/>
    <w:rsid w:val="001C2C19"/>
    <w:rsid w:val="001E5E37"/>
    <w:rsid w:val="001F7976"/>
    <w:rsid w:val="0021792E"/>
    <w:rsid w:val="00235A61"/>
    <w:rsid w:val="0024629A"/>
    <w:rsid w:val="00265F85"/>
    <w:rsid w:val="002665E4"/>
    <w:rsid w:val="00276FF8"/>
    <w:rsid w:val="0028352E"/>
    <w:rsid w:val="00285615"/>
    <w:rsid w:val="002D0677"/>
    <w:rsid w:val="002D72EE"/>
    <w:rsid w:val="00303289"/>
    <w:rsid w:val="00305B2A"/>
    <w:rsid w:val="003248DE"/>
    <w:rsid w:val="00327894"/>
    <w:rsid w:val="00352231"/>
    <w:rsid w:val="00360B46"/>
    <w:rsid w:val="00367391"/>
    <w:rsid w:val="00382FED"/>
    <w:rsid w:val="00386B55"/>
    <w:rsid w:val="003C1424"/>
    <w:rsid w:val="003F6CAA"/>
    <w:rsid w:val="0041342A"/>
    <w:rsid w:val="0041377B"/>
    <w:rsid w:val="00421887"/>
    <w:rsid w:val="00450820"/>
    <w:rsid w:val="00482529"/>
    <w:rsid w:val="00485CA1"/>
    <w:rsid w:val="00487D4A"/>
    <w:rsid w:val="00491243"/>
    <w:rsid w:val="004B3938"/>
    <w:rsid w:val="004B3A52"/>
    <w:rsid w:val="004B72DF"/>
    <w:rsid w:val="004C34DA"/>
    <w:rsid w:val="00510D89"/>
    <w:rsid w:val="00552615"/>
    <w:rsid w:val="005536A7"/>
    <w:rsid w:val="005811F4"/>
    <w:rsid w:val="00586F40"/>
    <w:rsid w:val="005A5C13"/>
    <w:rsid w:val="005C2898"/>
    <w:rsid w:val="005E0027"/>
    <w:rsid w:val="00611BFE"/>
    <w:rsid w:val="006229E7"/>
    <w:rsid w:val="0062775C"/>
    <w:rsid w:val="00652ABF"/>
    <w:rsid w:val="00654DDA"/>
    <w:rsid w:val="00665EF1"/>
    <w:rsid w:val="0067214E"/>
    <w:rsid w:val="006760F7"/>
    <w:rsid w:val="006C36BC"/>
    <w:rsid w:val="006D478E"/>
    <w:rsid w:val="006F202E"/>
    <w:rsid w:val="007904CC"/>
    <w:rsid w:val="007C4658"/>
    <w:rsid w:val="007E34F8"/>
    <w:rsid w:val="007F4F01"/>
    <w:rsid w:val="007F7A13"/>
    <w:rsid w:val="008070A0"/>
    <w:rsid w:val="00817091"/>
    <w:rsid w:val="00850B33"/>
    <w:rsid w:val="00857382"/>
    <w:rsid w:val="00876610"/>
    <w:rsid w:val="008821C7"/>
    <w:rsid w:val="00896260"/>
    <w:rsid w:val="008A3222"/>
    <w:rsid w:val="008A5620"/>
    <w:rsid w:val="008C0FA6"/>
    <w:rsid w:val="008C56E9"/>
    <w:rsid w:val="008E3494"/>
    <w:rsid w:val="00913C8E"/>
    <w:rsid w:val="009200CA"/>
    <w:rsid w:val="00942A6C"/>
    <w:rsid w:val="009431BE"/>
    <w:rsid w:val="00972E89"/>
    <w:rsid w:val="009A41EF"/>
    <w:rsid w:val="009C046E"/>
    <w:rsid w:val="009E02B0"/>
    <w:rsid w:val="009F2F70"/>
    <w:rsid w:val="00A07208"/>
    <w:rsid w:val="00A103CA"/>
    <w:rsid w:val="00A27E4F"/>
    <w:rsid w:val="00A4593C"/>
    <w:rsid w:val="00A55427"/>
    <w:rsid w:val="00A82124"/>
    <w:rsid w:val="00AB08C9"/>
    <w:rsid w:val="00AB5BE3"/>
    <w:rsid w:val="00AD3064"/>
    <w:rsid w:val="00B52B63"/>
    <w:rsid w:val="00B627AC"/>
    <w:rsid w:val="00B7295F"/>
    <w:rsid w:val="00B84DB1"/>
    <w:rsid w:val="00BA05B7"/>
    <w:rsid w:val="00BA5628"/>
    <w:rsid w:val="00BB2801"/>
    <w:rsid w:val="00BC5D56"/>
    <w:rsid w:val="00BD1067"/>
    <w:rsid w:val="00BD143C"/>
    <w:rsid w:val="00BD65E0"/>
    <w:rsid w:val="00BE6E9F"/>
    <w:rsid w:val="00BE6F1F"/>
    <w:rsid w:val="00BE740D"/>
    <w:rsid w:val="00BF0071"/>
    <w:rsid w:val="00BF2C47"/>
    <w:rsid w:val="00C14331"/>
    <w:rsid w:val="00C233A2"/>
    <w:rsid w:val="00C34417"/>
    <w:rsid w:val="00C346BC"/>
    <w:rsid w:val="00C649E2"/>
    <w:rsid w:val="00C757CF"/>
    <w:rsid w:val="00C80E65"/>
    <w:rsid w:val="00C86B14"/>
    <w:rsid w:val="00CA5577"/>
    <w:rsid w:val="00CC1A8F"/>
    <w:rsid w:val="00CE3486"/>
    <w:rsid w:val="00CF2E99"/>
    <w:rsid w:val="00CF5EDA"/>
    <w:rsid w:val="00D03BEA"/>
    <w:rsid w:val="00D11C97"/>
    <w:rsid w:val="00D12056"/>
    <w:rsid w:val="00D150D5"/>
    <w:rsid w:val="00D15476"/>
    <w:rsid w:val="00D15936"/>
    <w:rsid w:val="00D30C96"/>
    <w:rsid w:val="00D3757D"/>
    <w:rsid w:val="00D4097D"/>
    <w:rsid w:val="00D44F60"/>
    <w:rsid w:val="00D66A25"/>
    <w:rsid w:val="00D74215"/>
    <w:rsid w:val="00D94A50"/>
    <w:rsid w:val="00D975C7"/>
    <w:rsid w:val="00DA1042"/>
    <w:rsid w:val="00DD3E23"/>
    <w:rsid w:val="00E01876"/>
    <w:rsid w:val="00E02F75"/>
    <w:rsid w:val="00E14996"/>
    <w:rsid w:val="00E35A07"/>
    <w:rsid w:val="00E36ACA"/>
    <w:rsid w:val="00E65557"/>
    <w:rsid w:val="00E97CD0"/>
    <w:rsid w:val="00EB67EA"/>
    <w:rsid w:val="00EC2447"/>
    <w:rsid w:val="00EE4CBD"/>
    <w:rsid w:val="00EE57FA"/>
    <w:rsid w:val="00EF489E"/>
    <w:rsid w:val="00F11D65"/>
    <w:rsid w:val="00F477F6"/>
    <w:rsid w:val="00F90400"/>
    <w:rsid w:val="00FA6545"/>
    <w:rsid w:val="00FA71CD"/>
    <w:rsid w:val="00FD6037"/>
    <w:rsid w:val="00FF23F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449770B-5B9D-44A8-93AE-21AA25F6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F8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F85"/>
    <w:pPr>
      <w:ind w:left="720"/>
      <w:contextualSpacing/>
    </w:pPr>
  </w:style>
  <w:style w:type="paragraph" w:styleId="Header">
    <w:name w:val="header"/>
    <w:basedOn w:val="Normal"/>
    <w:link w:val="HeaderChar"/>
    <w:uiPriority w:val="99"/>
    <w:unhideWhenUsed/>
    <w:rsid w:val="00265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F85"/>
  </w:style>
  <w:style w:type="paragraph" w:styleId="Footer">
    <w:name w:val="footer"/>
    <w:basedOn w:val="Normal"/>
    <w:link w:val="FooterChar"/>
    <w:uiPriority w:val="99"/>
    <w:unhideWhenUsed/>
    <w:rsid w:val="00265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F85"/>
  </w:style>
  <w:style w:type="paragraph" w:styleId="BalloonText">
    <w:name w:val="Balloon Text"/>
    <w:basedOn w:val="Normal"/>
    <w:link w:val="BalloonTextChar"/>
    <w:uiPriority w:val="99"/>
    <w:semiHidden/>
    <w:unhideWhenUsed/>
    <w:rsid w:val="00790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3186</Words>
  <Characters>18162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2020-03-02T12:55:00Z</cp:lastPrinted>
  <dcterms:created xsi:type="dcterms:W3CDTF">2020-05-19T07:46:00Z</dcterms:created>
  <dcterms:modified xsi:type="dcterms:W3CDTF">2020-05-19T07:46:00Z</dcterms:modified>
</cp:coreProperties>
</file>