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C17" w:rsidRPr="003A0449" w:rsidRDefault="007B7C17" w:rsidP="00D45F3E">
      <w:pPr>
        <w:pStyle w:val="NoSpacing"/>
        <w:spacing w:after="0" w:afterAutospacing="0"/>
        <w:jc w:val="both"/>
        <w:rPr>
          <w:rFonts w:cs="Times New Roman"/>
          <w:szCs w:val="24"/>
        </w:rPr>
      </w:pPr>
      <w:bookmarkStart w:id="0" w:name="_GoBack"/>
      <w:bookmarkEnd w:id="0"/>
      <w:r w:rsidRPr="003A0449">
        <w:rPr>
          <w:rFonts w:cs="Times New Roman"/>
          <w:szCs w:val="24"/>
        </w:rPr>
        <w:t>M. M. W. (PVT) LTD</w:t>
      </w:r>
    </w:p>
    <w:p w:rsidR="007B7C17" w:rsidRPr="003A0449" w:rsidRDefault="008E504E" w:rsidP="00D45F3E">
      <w:pPr>
        <w:pStyle w:val="NoSpacing"/>
        <w:spacing w:after="0" w:afterAutospacing="0"/>
        <w:jc w:val="both"/>
        <w:rPr>
          <w:rFonts w:cs="Times New Roman"/>
          <w:szCs w:val="24"/>
        </w:rPr>
      </w:pPr>
      <w:r w:rsidRPr="003A0449">
        <w:rPr>
          <w:rFonts w:cs="Times New Roman"/>
          <w:szCs w:val="24"/>
        </w:rPr>
        <w:t>v</w:t>
      </w:r>
      <w:r w:rsidR="007B7C17" w:rsidRPr="003A0449">
        <w:rPr>
          <w:rFonts w:cs="Times New Roman"/>
          <w:szCs w:val="24"/>
        </w:rPr>
        <w:t>ersus</w:t>
      </w:r>
    </w:p>
    <w:p w:rsidR="007B7C17" w:rsidRPr="003A0449" w:rsidRDefault="007B7C17" w:rsidP="00D45F3E">
      <w:pPr>
        <w:pStyle w:val="NoSpacing"/>
        <w:spacing w:after="0" w:afterAutospacing="0"/>
        <w:jc w:val="both"/>
        <w:rPr>
          <w:rFonts w:cs="Times New Roman"/>
          <w:szCs w:val="24"/>
        </w:rPr>
      </w:pPr>
      <w:r w:rsidRPr="003A0449">
        <w:rPr>
          <w:rFonts w:cs="Times New Roman"/>
          <w:szCs w:val="24"/>
        </w:rPr>
        <w:t>ZIMBABWE REVENUE AUTHORITY</w:t>
      </w:r>
    </w:p>
    <w:p w:rsidR="007B7C17" w:rsidRPr="003A0449" w:rsidRDefault="007B7C17" w:rsidP="003A0449">
      <w:pPr>
        <w:pStyle w:val="NoSpacing"/>
        <w:spacing w:line="360" w:lineRule="auto"/>
        <w:jc w:val="both"/>
        <w:rPr>
          <w:rFonts w:cs="Times New Roman"/>
          <w:b/>
          <w:szCs w:val="24"/>
        </w:rPr>
      </w:pPr>
    </w:p>
    <w:p w:rsidR="008E504E" w:rsidRPr="003A0449" w:rsidRDefault="008E504E" w:rsidP="003A0449">
      <w:pPr>
        <w:pStyle w:val="NoSpacing"/>
        <w:spacing w:line="360" w:lineRule="auto"/>
        <w:jc w:val="both"/>
        <w:rPr>
          <w:rFonts w:cs="Times New Roman"/>
          <w:b/>
          <w:szCs w:val="24"/>
        </w:rPr>
      </w:pPr>
    </w:p>
    <w:p w:rsidR="007B7C17" w:rsidRPr="003A0449" w:rsidRDefault="007B7C17" w:rsidP="00EB5D68">
      <w:pPr>
        <w:pStyle w:val="NoSpacing"/>
        <w:jc w:val="both"/>
        <w:rPr>
          <w:rFonts w:cs="Times New Roman"/>
          <w:szCs w:val="24"/>
        </w:rPr>
      </w:pPr>
      <w:r w:rsidRPr="003A0449">
        <w:rPr>
          <w:rFonts w:cs="Times New Roman"/>
          <w:szCs w:val="24"/>
        </w:rPr>
        <w:t>IN THE HIGH COURT OF ZIMBABWE</w:t>
      </w:r>
    </w:p>
    <w:p w:rsidR="007B7C17" w:rsidRPr="003A0449" w:rsidRDefault="007B7C17" w:rsidP="00EB5D68">
      <w:pPr>
        <w:pStyle w:val="NoSpacing"/>
        <w:jc w:val="both"/>
        <w:rPr>
          <w:rFonts w:cs="Times New Roman"/>
          <w:szCs w:val="24"/>
        </w:rPr>
      </w:pPr>
      <w:r w:rsidRPr="003A0449">
        <w:rPr>
          <w:rFonts w:cs="Times New Roman"/>
          <w:szCs w:val="24"/>
        </w:rPr>
        <w:t>NDOU AJ</w:t>
      </w:r>
    </w:p>
    <w:p w:rsidR="007B7C17" w:rsidRPr="003A0449" w:rsidRDefault="007B7C17" w:rsidP="00EB5D68">
      <w:pPr>
        <w:pStyle w:val="NoSpacing"/>
        <w:jc w:val="both"/>
        <w:rPr>
          <w:rFonts w:cs="Times New Roman"/>
          <w:szCs w:val="24"/>
        </w:rPr>
      </w:pPr>
      <w:r w:rsidRPr="003A0449">
        <w:rPr>
          <w:rFonts w:cs="Times New Roman"/>
          <w:szCs w:val="24"/>
        </w:rPr>
        <w:t>HARARE 21 J</w:t>
      </w:r>
      <w:r w:rsidR="00DA73A0" w:rsidRPr="003A0449">
        <w:rPr>
          <w:rFonts w:cs="Times New Roman"/>
          <w:szCs w:val="24"/>
        </w:rPr>
        <w:t>une</w:t>
      </w:r>
      <w:r w:rsidR="00B9345D" w:rsidRPr="003A0449">
        <w:rPr>
          <w:rFonts w:cs="Times New Roman"/>
          <w:szCs w:val="24"/>
        </w:rPr>
        <w:t xml:space="preserve"> 2021</w:t>
      </w:r>
      <w:r w:rsidRPr="003A0449">
        <w:rPr>
          <w:rFonts w:cs="Times New Roman"/>
          <w:szCs w:val="24"/>
        </w:rPr>
        <w:t xml:space="preserve"> </w:t>
      </w:r>
      <w:r w:rsidR="003A0449" w:rsidRPr="003A0449">
        <w:rPr>
          <w:rFonts w:cs="Times New Roman"/>
          <w:szCs w:val="24"/>
        </w:rPr>
        <w:t>and 19</w:t>
      </w:r>
      <w:r w:rsidR="008E504E" w:rsidRPr="003A0449">
        <w:rPr>
          <w:rFonts w:cs="Times New Roman"/>
          <w:szCs w:val="24"/>
        </w:rPr>
        <w:t xml:space="preserve"> January</w:t>
      </w:r>
      <w:r w:rsidR="00B9345D" w:rsidRPr="003A0449">
        <w:rPr>
          <w:rFonts w:cs="Times New Roman"/>
          <w:szCs w:val="24"/>
        </w:rPr>
        <w:t xml:space="preserve"> 2022</w:t>
      </w:r>
    </w:p>
    <w:p w:rsidR="007B7C17" w:rsidRDefault="007B7C17" w:rsidP="003A0449">
      <w:pPr>
        <w:pStyle w:val="NoSpacing"/>
        <w:spacing w:line="360" w:lineRule="auto"/>
        <w:jc w:val="both"/>
        <w:rPr>
          <w:rFonts w:cs="Times New Roman"/>
          <w:szCs w:val="24"/>
        </w:rPr>
      </w:pPr>
    </w:p>
    <w:p w:rsidR="00EB5D68" w:rsidRPr="003A0449" w:rsidRDefault="00EB5D68" w:rsidP="003A0449">
      <w:pPr>
        <w:pStyle w:val="NoSpacing"/>
        <w:spacing w:line="360" w:lineRule="auto"/>
        <w:jc w:val="both"/>
        <w:rPr>
          <w:rFonts w:cs="Times New Roman"/>
          <w:szCs w:val="24"/>
        </w:rPr>
      </w:pPr>
    </w:p>
    <w:p w:rsidR="007B7C17" w:rsidRPr="003A0449" w:rsidRDefault="007B7C17" w:rsidP="003A0449">
      <w:pPr>
        <w:pStyle w:val="NoSpacing"/>
        <w:spacing w:line="360" w:lineRule="auto"/>
        <w:jc w:val="both"/>
        <w:rPr>
          <w:rFonts w:cs="Times New Roman"/>
          <w:b/>
          <w:szCs w:val="24"/>
        </w:rPr>
      </w:pPr>
      <w:r w:rsidRPr="003A0449">
        <w:rPr>
          <w:rFonts w:cs="Times New Roman"/>
          <w:b/>
          <w:szCs w:val="24"/>
        </w:rPr>
        <w:t xml:space="preserve">Special Court for Income Tax Appeals  </w:t>
      </w:r>
    </w:p>
    <w:p w:rsidR="007B7C17" w:rsidRPr="003A0449" w:rsidRDefault="007B7C17" w:rsidP="003A0449">
      <w:pPr>
        <w:pStyle w:val="NoSpacing"/>
        <w:spacing w:line="360" w:lineRule="auto"/>
        <w:jc w:val="both"/>
        <w:rPr>
          <w:rFonts w:cs="Times New Roman"/>
          <w:szCs w:val="24"/>
        </w:rPr>
      </w:pPr>
    </w:p>
    <w:p w:rsidR="007B7C17" w:rsidRPr="003A0449" w:rsidRDefault="007B7C17" w:rsidP="003A0449">
      <w:pPr>
        <w:pStyle w:val="NoSpacing"/>
        <w:jc w:val="both"/>
        <w:rPr>
          <w:rFonts w:cs="Times New Roman"/>
          <w:szCs w:val="24"/>
        </w:rPr>
      </w:pPr>
      <w:r w:rsidRPr="003A0449">
        <w:rPr>
          <w:rFonts w:cs="Times New Roman"/>
          <w:i/>
          <w:szCs w:val="24"/>
        </w:rPr>
        <w:t>M Tshuma</w:t>
      </w:r>
      <w:r w:rsidRPr="003A0449">
        <w:rPr>
          <w:rFonts w:cs="Times New Roman"/>
          <w:szCs w:val="24"/>
        </w:rPr>
        <w:t>, for the appellant</w:t>
      </w:r>
    </w:p>
    <w:p w:rsidR="007B7C17" w:rsidRDefault="007B7C17" w:rsidP="003A0449">
      <w:pPr>
        <w:pStyle w:val="NoSpacing"/>
        <w:jc w:val="both"/>
        <w:rPr>
          <w:rFonts w:cs="Times New Roman"/>
          <w:szCs w:val="24"/>
        </w:rPr>
      </w:pPr>
      <w:r w:rsidRPr="003A0449">
        <w:rPr>
          <w:rFonts w:cs="Times New Roman"/>
          <w:i/>
          <w:szCs w:val="24"/>
        </w:rPr>
        <w:t xml:space="preserve">S. Bhebhe, </w:t>
      </w:r>
      <w:r w:rsidRPr="003A0449">
        <w:rPr>
          <w:rFonts w:cs="Times New Roman"/>
          <w:szCs w:val="24"/>
        </w:rPr>
        <w:t>for the respondent</w:t>
      </w:r>
    </w:p>
    <w:p w:rsidR="003A0449" w:rsidRPr="003A0449" w:rsidRDefault="003A0449" w:rsidP="003A0449">
      <w:pPr>
        <w:pStyle w:val="NoSpacing"/>
        <w:jc w:val="both"/>
        <w:rPr>
          <w:rFonts w:cs="Times New Roman"/>
          <w:szCs w:val="24"/>
        </w:rPr>
      </w:pPr>
    </w:p>
    <w:p w:rsidR="003A0449" w:rsidRDefault="007B7C17" w:rsidP="00D45F3E">
      <w:pPr>
        <w:spacing w:before="0" w:beforeAutospacing="0" w:after="0" w:afterAutospacing="0"/>
        <w:jc w:val="both"/>
        <w:rPr>
          <w:rFonts w:cs="Times New Roman"/>
          <w:szCs w:val="24"/>
        </w:rPr>
      </w:pPr>
      <w:r w:rsidRPr="003A0449">
        <w:rPr>
          <w:rFonts w:cs="Times New Roman"/>
          <w:szCs w:val="24"/>
        </w:rPr>
        <w:tab/>
        <w:t>NDOU AJ</w:t>
      </w:r>
      <w:r w:rsidR="00784B7C" w:rsidRPr="003A0449">
        <w:rPr>
          <w:rFonts w:cs="Times New Roman"/>
          <w:szCs w:val="24"/>
        </w:rPr>
        <w:t>:</w:t>
      </w:r>
      <w:r w:rsidR="00784B7C" w:rsidRPr="003A0449">
        <w:rPr>
          <w:rFonts w:cs="Times New Roman"/>
          <w:b/>
          <w:szCs w:val="24"/>
        </w:rPr>
        <w:tab/>
      </w:r>
      <w:r w:rsidR="00784B7C" w:rsidRPr="003A0449">
        <w:rPr>
          <w:rFonts w:cs="Times New Roman"/>
          <w:szCs w:val="24"/>
        </w:rPr>
        <w:t xml:space="preserve">The respondent is an administrative authority tasked with the duty and obligation to collect taxes and other statutory dues under various legislative instruments.  In particular, the respondent is mandated to collect income tax </w:t>
      </w:r>
      <w:r w:rsidR="00E74BD5" w:rsidRPr="003A0449">
        <w:rPr>
          <w:rFonts w:cs="Times New Roman"/>
          <w:szCs w:val="24"/>
        </w:rPr>
        <w:t>in terms of the Income Tax Act [</w:t>
      </w:r>
      <w:r w:rsidR="00E74BD5" w:rsidRPr="003A0449">
        <w:rPr>
          <w:rFonts w:cs="Times New Roman"/>
          <w:i/>
          <w:szCs w:val="24"/>
        </w:rPr>
        <w:t>Chapter 23:06</w:t>
      </w:r>
      <w:r w:rsidR="00E74BD5" w:rsidRPr="003A0449">
        <w:rPr>
          <w:rFonts w:cs="Times New Roman"/>
          <w:szCs w:val="24"/>
        </w:rPr>
        <w:t>]</w:t>
      </w:r>
      <w:r w:rsidR="00784B7C" w:rsidRPr="003A0449">
        <w:rPr>
          <w:rFonts w:cs="Times New Roman"/>
          <w:szCs w:val="24"/>
        </w:rPr>
        <w:t xml:space="preserve"> (“Act”).</w:t>
      </w:r>
    </w:p>
    <w:p w:rsidR="003A0449" w:rsidRDefault="00784B7C" w:rsidP="00D45F3E">
      <w:pPr>
        <w:spacing w:before="0" w:beforeAutospacing="0" w:after="0" w:afterAutospacing="0"/>
        <w:ind w:firstLine="720"/>
        <w:jc w:val="both"/>
        <w:rPr>
          <w:rFonts w:cs="Times New Roman"/>
          <w:szCs w:val="24"/>
        </w:rPr>
      </w:pPr>
      <w:r w:rsidRPr="003A0449">
        <w:rPr>
          <w:rFonts w:cs="Times New Roman"/>
          <w:i/>
          <w:szCs w:val="24"/>
        </w:rPr>
        <w:t>In casu</w:t>
      </w:r>
      <w:r w:rsidRPr="003A0449">
        <w:rPr>
          <w:rFonts w:cs="Times New Roman"/>
          <w:szCs w:val="24"/>
        </w:rPr>
        <w:t xml:space="preserve">, sometime in 2014, the appellant paid the sum of US$400, 000.00 (Four Hundred Thousand United States Dollars) to an organization known as the </w:t>
      </w:r>
      <w:r w:rsidR="00527E91" w:rsidRPr="003A0449">
        <w:rPr>
          <w:rFonts w:cs="Times New Roman"/>
          <w:szCs w:val="24"/>
        </w:rPr>
        <w:t>I. Cultural Institute (“the Institute”), a registered private voluntary organization.  It is the appellant’s contention that this payment was a donation.</w:t>
      </w:r>
    </w:p>
    <w:p w:rsidR="003A0449" w:rsidRDefault="00131DB1" w:rsidP="00D45F3E">
      <w:pPr>
        <w:spacing w:before="0" w:beforeAutospacing="0" w:after="0" w:afterAutospacing="0"/>
        <w:ind w:firstLine="720"/>
        <w:jc w:val="both"/>
        <w:rPr>
          <w:rFonts w:cs="Times New Roman"/>
          <w:szCs w:val="24"/>
        </w:rPr>
      </w:pPr>
      <w:r w:rsidRPr="003A0449">
        <w:rPr>
          <w:rFonts w:cs="Times New Roman"/>
          <w:szCs w:val="24"/>
        </w:rPr>
        <w:t>Pursuant thereto, the appellant applied tax deductions in accordanc</w:t>
      </w:r>
      <w:r w:rsidR="003A0449">
        <w:rPr>
          <w:rFonts w:cs="Times New Roman"/>
          <w:szCs w:val="24"/>
        </w:rPr>
        <w:t>e with the provisions of s</w:t>
      </w:r>
      <w:r w:rsidRPr="003A0449">
        <w:rPr>
          <w:rFonts w:cs="Times New Roman"/>
          <w:szCs w:val="24"/>
        </w:rPr>
        <w:t xml:space="preserve"> 15(2)(r)(iii) of the Act.  This provision allows a deduction on a donation to a charitable trust administered b</w:t>
      </w:r>
      <w:r w:rsidR="00F42D01" w:rsidRPr="003A0449">
        <w:rPr>
          <w:rFonts w:cs="Times New Roman"/>
          <w:szCs w:val="24"/>
        </w:rPr>
        <w:t>y the Minister responsible for Social W</w:t>
      </w:r>
      <w:r w:rsidRPr="003A0449">
        <w:rPr>
          <w:rFonts w:cs="Times New Roman"/>
          <w:szCs w:val="24"/>
        </w:rPr>
        <w:t>elfare o</w:t>
      </w:r>
      <w:r w:rsidR="00F42D01" w:rsidRPr="003A0449">
        <w:rPr>
          <w:rFonts w:cs="Times New Roman"/>
          <w:szCs w:val="24"/>
        </w:rPr>
        <w:t>r the Minister responsible for H</w:t>
      </w:r>
      <w:r w:rsidRPr="003A0449">
        <w:rPr>
          <w:rFonts w:cs="Times New Roman"/>
          <w:szCs w:val="24"/>
        </w:rPr>
        <w:t>ealth in his or her capacity as such, or by any official in his or her ministry in his or her official capacity.  It is the respondent’s contention that both elements of this provision must be present for a deduction to be allowable.  The respondent disallowed the deductions on the basis that the payment did not fall within the scope and ambit of the p</w:t>
      </w:r>
      <w:r w:rsidR="003A0449">
        <w:rPr>
          <w:rFonts w:cs="Times New Roman"/>
          <w:szCs w:val="24"/>
        </w:rPr>
        <w:t>ermissible deductions in s</w:t>
      </w:r>
      <w:r w:rsidRPr="003A0449">
        <w:rPr>
          <w:rFonts w:cs="Times New Roman"/>
          <w:szCs w:val="24"/>
        </w:rPr>
        <w:t xml:space="preserve"> 15(2)(r)(iii), </w:t>
      </w:r>
      <w:r w:rsidRPr="003A0449">
        <w:rPr>
          <w:rFonts w:cs="Times New Roman"/>
          <w:i/>
          <w:szCs w:val="24"/>
        </w:rPr>
        <w:t>supra.</w:t>
      </w:r>
      <w:r w:rsidRPr="003A0449">
        <w:rPr>
          <w:rFonts w:cs="Times New Roman"/>
          <w:szCs w:val="24"/>
        </w:rPr>
        <w:t xml:space="preserve">  The respondent opined that the I. Cultural Institute was not a charitable trust and was not administered b</w:t>
      </w:r>
      <w:r w:rsidR="008F26E3" w:rsidRPr="003A0449">
        <w:rPr>
          <w:rFonts w:cs="Times New Roman"/>
          <w:szCs w:val="24"/>
        </w:rPr>
        <w:t>y the Minister responsible for Social W</w:t>
      </w:r>
      <w:r w:rsidRPr="003A0449">
        <w:rPr>
          <w:rFonts w:cs="Times New Roman"/>
          <w:szCs w:val="24"/>
        </w:rPr>
        <w:t xml:space="preserve">elfare as contemplated </w:t>
      </w:r>
      <w:r w:rsidR="003A0449">
        <w:rPr>
          <w:rFonts w:cs="Times New Roman"/>
          <w:szCs w:val="24"/>
        </w:rPr>
        <w:t>by s</w:t>
      </w:r>
      <w:r w:rsidR="00313DB1" w:rsidRPr="003A0449">
        <w:rPr>
          <w:rFonts w:cs="Times New Roman"/>
          <w:szCs w:val="24"/>
        </w:rPr>
        <w:t xml:space="preserve"> 15(2)(r)(iii).  The respondent proceeded to impose </w:t>
      </w:r>
      <w:r w:rsidR="003A0449" w:rsidRPr="003A0449">
        <w:rPr>
          <w:rFonts w:cs="Times New Roman"/>
          <w:szCs w:val="24"/>
        </w:rPr>
        <w:t>a 60</w:t>
      </w:r>
      <w:r w:rsidR="008F26E3" w:rsidRPr="003A0449">
        <w:rPr>
          <w:rFonts w:cs="Times New Roman"/>
          <w:szCs w:val="24"/>
        </w:rPr>
        <w:t xml:space="preserve"> </w:t>
      </w:r>
      <w:r w:rsidR="00313DB1" w:rsidRPr="003A0449">
        <w:rPr>
          <w:rFonts w:cs="Times New Roman"/>
          <w:szCs w:val="24"/>
        </w:rPr>
        <w:t>% penalty following the tax ass</w:t>
      </w:r>
      <w:r w:rsidR="00D45F3E">
        <w:rPr>
          <w:rFonts w:cs="Times New Roman"/>
          <w:szCs w:val="24"/>
        </w:rPr>
        <w:t>essment.  Having filed a s</w:t>
      </w:r>
      <w:r w:rsidR="00313DB1" w:rsidRPr="003A0449">
        <w:rPr>
          <w:rFonts w:cs="Times New Roman"/>
          <w:szCs w:val="24"/>
        </w:rPr>
        <w:t xml:space="preserve"> 62 objection which was dismissed by the respondent, the appellant has now appealed t</w:t>
      </w:r>
      <w:r w:rsidR="00D45F3E">
        <w:rPr>
          <w:rFonts w:cs="Times New Roman"/>
          <w:szCs w:val="24"/>
        </w:rPr>
        <w:t>o this court in terms of s</w:t>
      </w:r>
      <w:r w:rsidR="00313DB1" w:rsidRPr="003A0449">
        <w:rPr>
          <w:rFonts w:cs="Times New Roman"/>
          <w:szCs w:val="24"/>
        </w:rPr>
        <w:t xml:space="preserve"> 65 of the Act.</w:t>
      </w:r>
    </w:p>
    <w:p w:rsidR="00313DB1" w:rsidRPr="003A0449" w:rsidRDefault="00313DB1" w:rsidP="00D45F3E">
      <w:pPr>
        <w:spacing w:before="0" w:beforeAutospacing="0" w:after="0" w:afterAutospacing="0" w:line="240" w:lineRule="auto"/>
        <w:ind w:firstLine="720"/>
        <w:jc w:val="both"/>
        <w:rPr>
          <w:rFonts w:cs="Times New Roman"/>
          <w:szCs w:val="24"/>
        </w:rPr>
      </w:pPr>
      <w:r w:rsidRPr="003A0449">
        <w:rPr>
          <w:rFonts w:cs="Times New Roman"/>
          <w:szCs w:val="24"/>
        </w:rPr>
        <w:lastRenderedPageBreak/>
        <w:t>According to the parties’ joint pre-hearing minute the issues for determination in this appeal are:</w:t>
      </w:r>
    </w:p>
    <w:p w:rsidR="00775E51" w:rsidRDefault="00313DB1" w:rsidP="00775E51">
      <w:pPr>
        <w:pStyle w:val="ListParagraph"/>
        <w:numPr>
          <w:ilvl w:val="0"/>
          <w:numId w:val="1"/>
        </w:numPr>
        <w:spacing w:line="240" w:lineRule="auto"/>
        <w:jc w:val="both"/>
        <w:rPr>
          <w:rFonts w:cs="Times New Roman"/>
          <w:szCs w:val="24"/>
        </w:rPr>
      </w:pPr>
      <w:r w:rsidRPr="00775E51">
        <w:rPr>
          <w:rFonts w:cs="Times New Roman"/>
          <w:szCs w:val="24"/>
        </w:rPr>
        <w:t>Is the Institute a charitable trust administered by the Minister responsible for Social Welfare for the purposes of section 15(2)(r)(iii) of the Act?</w:t>
      </w:r>
    </w:p>
    <w:p w:rsidR="00775E51" w:rsidRPr="00775E51" w:rsidRDefault="00775E51" w:rsidP="00775E51">
      <w:pPr>
        <w:pStyle w:val="ListParagraph"/>
        <w:spacing w:line="240" w:lineRule="auto"/>
        <w:ind w:left="1440"/>
        <w:jc w:val="both"/>
        <w:rPr>
          <w:rFonts w:cs="Times New Roman"/>
          <w:szCs w:val="24"/>
        </w:rPr>
      </w:pPr>
    </w:p>
    <w:p w:rsidR="00775E51" w:rsidRPr="00775E51" w:rsidRDefault="00313DB1" w:rsidP="00775E51">
      <w:pPr>
        <w:pStyle w:val="ListParagraph"/>
        <w:numPr>
          <w:ilvl w:val="0"/>
          <w:numId w:val="1"/>
        </w:numPr>
        <w:spacing w:line="240" w:lineRule="auto"/>
        <w:jc w:val="both"/>
        <w:rPr>
          <w:rFonts w:cs="Times New Roman"/>
          <w:szCs w:val="24"/>
        </w:rPr>
      </w:pPr>
      <w:r w:rsidRPr="00775E51">
        <w:rPr>
          <w:rFonts w:cs="Times New Roman"/>
          <w:szCs w:val="24"/>
        </w:rPr>
        <w:t>Does the Institute’s registration as a private voluntary organization exclude it from being construed as a charitable trust for the purposes of Act?</w:t>
      </w:r>
    </w:p>
    <w:p w:rsidR="00775E51" w:rsidRPr="00775E51" w:rsidRDefault="00775E51" w:rsidP="00775E51">
      <w:pPr>
        <w:pStyle w:val="ListParagraph"/>
        <w:spacing w:line="240" w:lineRule="auto"/>
        <w:ind w:left="1440"/>
        <w:jc w:val="both"/>
        <w:rPr>
          <w:rFonts w:cs="Times New Roman"/>
          <w:szCs w:val="24"/>
        </w:rPr>
      </w:pPr>
    </w:p>
    <w:p w:rsidR="00775E51" w:rsidRPr="00775E51" w:rsidRDefault="00313DB1" w:rsidP="00775E51">
      <w:pPr>
        <w:pStyle w:val="ListParagraph"/>
        <w:numPr>
          <w:ilvl w:val="0"/>
          <w:numId w:val="1"/>
        </w:numPr>
        <w:spacing w:line="240" w:lineRule="auto"/>
        <w:jc w:val="both"/>
        <w:rPr>
          <w:rFonts w:cs="Times New Roman"/>
          <w:szCs w:val="24"/>
        </w:rPr>
      </w:pPr>
      <w:r w:rsidRPr="00775E51">
        <w:rPr>
          <w:rFonts w:cs="Times New Roman"/>
          <w:szCs w:val="24"/>
        </w:rPr>
        <w:t>Should the 60% penalty imposed by the respondent be reduced?</w:t>
      </w:r>
    </w:p>
    <w:p w:rsidR="00775E51" w:rsidRPr="00775E51" w:rsidRDefault="00313DB1" w:rsidP="00775E51">
      <w:pPr>
        <w:pStyle w:val="ListParagraph"/>
        <w:numPr>
          <w:ilvl w:val="0"/>
          <w:numId w:val="1"/>
        </w:numPr>
        <w:spacing w:line="240" w:lineRule="auto"/>
        <w:jc w:val="both"/>
        <w:rPr>
          <w:rFonts w:cs="Times New Roman"/>
          <w:szCs w:val="24"/>
        </w:rPr>
      </w:pPr>
      <w:r w:rsidRPr="00775E51">
        <w:rPr>
          <w:rFonts w:cs="Times New Roman"/>
          <w:szCs w:val="24"/>
        </w:rPr>
        <w:t>If so, to what amount?</w:t>
      </w:r>
    </w:p>
    <w:p w:rsidR="003A0449" w:rsidRDefault="00313DB1" w:rsidP="006C11AF">
      <w:pPr>
        <w:spacing w:after="0" w:afterAutospacing="0"/>
        <w:ind w:firstLine="720"/>
        <w:contextualSpacing/>
        <w:jc w:val="both"/>
        <w:rPr>
          <w:rFonts w:cs="Times New Roman"/>
          <w:szCs w:val="24"/>
        </w:rPr>
      </w:pPr>
      <w:r w:rsidRPr="003A0449">
        <w:rPr>
          <w:rFonts w:cs="Times New Roman"/>
          <w:szCs w:val="24"/>
        </w:rPr>
        <w:t xml:space="preserve">This appeal is by way of a stated case.  The relevant and material facts that can be discerned from the Statement of Agreed Facts </w:t>
      </w:r>
      <w:r w:rsidR="0003103C" w:rsidRPr="003A0449">
        <w:rPr>
          <w:rFonts w:cs="Times New Roman"/>
          <w:szCs w:val="24"/>
        </w:rPr>
        <w:t>are the following</w:t>
      </w:r>
      <w:r w:rsidR="008D3D1F" w:rsidRPr="003A0449">
        <w:rPr>
          <w:rFonts w:cs="Times New Roman"/>
          <w:szCs w:val="24"/>
        </w:rPr>
        <w:t>:</w:t>
      </w:r>
    </w:p>
    <w:p w:rsidR="0003103C" w:rsidRPr="003A0449" w:rsidRDefault="0003103C" w:rsidP="006C11AF">
      <w:pPr>
        <w:spacing w:after="0" w:afterAutospacing="0"/>
        <w:ind w:firstLine="720"/>
        <w:contextualSpacing/>
        <w:jc w:val="both"/>
        <w:rPr>
          <w:rFonts w:cs="Times New Roman"/>
          <w:szCs w:val="24"/>
        </w:rPr>
      </w:pPr>
      <w:r w:rsidRPr="003A0449">
        <w:rPr>
          <w:rFonts w:cs="Times New Roman"/>
          <w:szCs w:val="24"/>
        </w:rPr>
        <w:t xml:space="preserve">For the above-mentioned payment, no consideration of any sort was received by the appellant from the Institute in return for the donation concerned.  The Institute was registered as a welfare organization in terms of the Welfare Organizations Act on 26 June 2002 and is governed by a Constitution.  In terms of their Constitution, the object of the Institute include, </w:t>
      </w:r>
      <w:r w:rsidRPr="003A0449">
        <w:rPr>
          <w:rFonts w:cs="Times New Roman"/>
          <w:i/>
          <w:szCs w:val="24"/>
        </w:rPr>
        <w:t>inter alia</w:t>
      </w:r>
      <w:r w:rsidRPr="003A0449">
        <w:rPr>
          <w:rFonts w:cs="Times New Roman"/>
          <w:szCs w:val="24"/>
        </w:rPr>
        <w:t>, to:-</w:t>
      </w:r>
    </w:p>
    <w:p w:rsidR="0003103C" w:rsidRPr="003A0449" w:rsidRDefault="0003103C" w:rsidP="006C11AF">
      <w:pPr>
        <w:spacing w:after="0" w:afterAutospacing="0" w:line="240" w:lineRule="auto"/>
        <w:ind w:left="1440" w:hanging="720"/>
        <w:contextualSpacing/>
        <w:jc w:val="both"/>
        <w:rPr>
          <w:rFonts w:cs="Times New Roman"/>
          <w:sz w:val="22"/>
        </w:rPr>
      </w:pPr>
      <w:r w:rsidRPr="003A0449">
        <w:rPr>
          <w:rFonts w:cs="Times New Roman"/>
          <w:szCs w:val="24"/>
        </w:rPr>
        <w:t>“(a)</w:t>
      </w:r>
      <w:r w:rsidRPr="003A0449">
        <w:rPr>
          <w:rFonts w:cs="Times New Roman"/>
          <w:szCs w:val="24"/>
        </w:rPr>
        <w:tab/>
      </w:r>
      <w:r w:rsidRPr="003A0449">
        <w:rPr>
          <w:rFonts w:cs="Times New Roman"/>
          <w:sz w:val="22"/>
        </w:rPr>
        <w:t xml:space="preserve">Promote the religious, cultural, educational and social welfare interests in and aims of all Asian Muslims, Cape Malays, Somalis and their descendants of Harare and the surrounding districts. </w:t>
      </w:r>
    </w:p>
    <w:p w:rsidR="0003103C" w:rsidRPr="003A0449" w:rsidRDefault="0003103C" w:rsidP="006C11AF">
      <w:pPr>
        <w:spacing w:after="0" w:afterAutospacing="0" w:line="240" w:lineRule="auto"/>
        <w:ind w:left="1440" w:hanging="720"/>
        <w:contextualSpacing/>
        <w:jc w:val="both"/>
        <w:rPr>
          <w:rFonts w:cs="Times New Roman"/>
          <w:sz w:val="22"/>
        </w:rPr>
      </w:pPr>
      <w:r w:rsidRPr="003A0449">
        <w:rPr>
          <w:rFonts w:cs="Times New Roman"/>
          <w:sz w:val="22"/>
        </w:rPr>
        <w:t>(b)</w:t>
      </w:r>
      <w:r w:rsidRPr="003A0449">
        <w:rPr>
          <w:rFonts w:cs="Times New Roman"/>
          <w:sz w:val="22"/>
        </w:rPr>
        <w:tab/>
        <w:t xml:space="preserve">Assist charitable </w:t>
      </w:r>
      <w:r w:rsidR="003A0449" w:rsidRPr="003A0449">
        <w:rPr>
          <w:rFonts w:cs="Times New Roman"/>
          <w:sz w:val="22"/>
        </w:rPr>
        <w:t>organizations</w:t>
      </w:r>
      <w:r w:rsidRPr="003A0449">
        <w:rPr>
          <w:rFonts w:cs="Times New Roman"/>
          <w:sz w:val="22"/>
        </w:rPr>
        <w:t xml:space="preserve"> and funds for the benefit of the same community.</w:t>
      </w:r>
    </w:p>
    <w:p w:rsidR="0003103C" w:rsidRPr="003A0449" w:rsidRDefault="0003103C" w:rsidP="006C11AF">
      <w:pPr>
        <w:spacing w:after="0" w:afterAutospacing="0" w:line="240" w:lineRule="auto"/>
        <w:ind w:left="1440" w:hanging="720"/>
        <w:contextualSpacing/>
        <w:jc w:val="both"/>
        <w:rPr>
          <w:rFonts w:cs="Times New Roman"/>
          <w:sz w:val="22"/>
        </w:rPr>
      </w:pPr>
      <w:r w:rsidRPr="003A0449">
        <w:rPr>
          <w:rFonts w:cs="Times New Roman"/>
          <w:sz w:val="22"/>
        </w:rPr>
        <w:t>(c)</w:t>
      </w:r>
      <w:r w:rsidRPr="003A0449">
        <w:rPr>
          <w:rFonts w:cs="Times New Roman"/>
          <w:sz w:val="22"/>
        </w:rPr>
        <w:tab/>
        <w:t>Raise funds for all or any of the above purposes.</w:t>
      </w:r>
    </w:p>
    <w:p w:rsidR="0003103C" w:rsidRPr="003A0449" w:rsidRDefault="0003103C" w:rsidP="006C11AF">
      <w:pPr>
        <w:spacing w:after="0" w:afterAutospacing="0" w:line="240" w:lineRule="auto"/>
        <w:ind w:left="1440" w:hanging="720"/>
        <w:contextualSpacing/>
        <w:jc w:val="both"/>
        <w:rPr>
          <w:rFonts w:cs="Times New Roman"/>
          <w:sz w:val="22"/>
        </w:rPr>
      </w:pPr>
      <w:r w:rsidRPr="003A0449">
        <w:rPr>
          <w:rFonts w:cs="Times New Roman"/>
          <w:sz w:val="22"/>
        </w:rPr>
        <w:t>(d)</w:t>
      </w:r>
      <w:r w:rsidRPr="003A0449">
        <w:rPr>
          <w:rFonts w:cs="Times New Roman"/>
          <w:sz w:val="22"/>
        </w:rPr>
        <w:tab/>
        <w:t>Invest and utilize any monies the Institute may have for the Institute’s objects.</w:t>
      </w:r>
    </w:p>
    <w:p w:rsidR="00271D53" w:rsidRPr="003A0449" w:rsidRDefault="00D429F7" w:rsidP="006C11AF">
      <w:pPr>
        <w:spacing w:after="0" w:afterAutospacing="0" w:line="240" w:lineRule="auto"/>
        <w:ind w:left="1440" w:hanging="720"/>
        <w:contextualSpacing/>
        <w:jc w:val="both"/>
        <w:rPr>
          <w:rFonts w:cs="Times New Roman"/>
          <w:sz w:val="22"/>
        </w:rPr>
      </w:pPr>
      <w:r w:rsidRPr="003A0449">
        <w:rPr>
          <w:rFonts w:cs="Times New Roman"/>
          <w:sz w:val="22"/>
        </w:rPr>
        <w:t>(e)</w:t>
      </w:r>
      <w:r w:rsidRPr="003A0449">
        <w:rPr>
          <w:rFonts w:cs="Times New Roman"/>
          <w:sz w:val="22"/>
        </w:rPr>
        <w:tab/>
        <w:t>Acquire for the I</w:t>
      </w:r>
      <w:r w:rsidR="0003103C" w:rsidRPr="003A0449">
        <w:rPr>
          <w:rFonts w:cs="Times New Roman"/>
          <w:sz w:val="22"/>
        </w:rPr>
        <w:t>nstitute any land and building</w:t>
      </w:r>
      <w:r w:rsidR="00271D53" w:rsidRPr="003A0449">
        <w:rPr>
          <w:rFonts w:cs="Times New Roman"/>
          <w:sz w:val="22"/>
        </w:rPr>
        <w:t>s</w:t>
      </w:r>
      <w:r w:rsidR="0003103C" w:rsidRPr="003A0449">
        <w:rPr>
          <w:rFonts w:cs="Times New Roman"/>
          <w:sz w:val="22"/>
        </w:rPr>
        <w:t xml:space="preserve"> furniture</w:t>
      </w:r>
      <w:r w:rsidR="00271D53" w:rsidRPr="003A0449">
        <w:rPr>
          <w:rFonts w:cs="Times New Roman"/>
          <w:sz w:val="22"/>
        </w:rPr>
        <w:t>, equipment as may be required.</w:t>
      </w:r>
    </w:p>
    <w:p w:rsidR="00271D53" w:rsidRDefault="00271D53" w:rsidP="006C11AF">
      <w:pPr>
        <w:spacing w:after="0" w:afterAutospacing="0" w:line="240" w:lineRule="auto"/>
        <w:ind w:left="1440" w:hanging="720"/>
        <w:contextualSpacing/>
        <w:jc w:val="both"/>
        <w:rPr>
          <w:rFonts w:cs="Times New Roman"/>
          <w:sz w:val="22"/>
        </w:rPr>
      </w:pPr>
      <w:r w:rsidRPr="003A0449">
        <w:rPr>
          <w:rFonts w:cs="Times New Roman"/>
          <w:sz w:val="22"/>
        </w:rPr>
        <w:t>(f)</w:t>
      </w:r>
      <w:r w:rsidRPr="003A0449">
        <w:rPr>
          <w:rFonts w:cs="Times New Roman"/>
          <w:sz w:val="22"/>
        </w:rPr>
        <w:tab/>
        <w:t>Do all such other things as are incidental or conducive towards achieving the objects above set out.”</w:t>
      </w:r>
    </w:p>
    <w:p w:rsidR="006C11AF" w:rsidRPr="003A0449" w:rsidRDefault="006C11AF" w:rsidP="006C11AF">
      <w:pPr>
        <w:spacing w:after="0" w:afterAutospacing="0" w:line="240" w:lineRule="auto"/>
        <w:ind w:left="1440" w:hanging="720"/>
        <w:contextualSpacing/>
        <w:jc w:val="both"/>
        <w:rPr>
          <w:rFonts w:cs="Times New Roman"/>
          <w:sz w:val="22"/>
        </w:rPr>
      </w:pPr>
    </w:p>
    <w:p w:rsidR="003A0449" w:rsidRDefault="00271D53" w:rsidP="006C11AF">
      <w:pPr>
        <w:spacing w:after="0" w:afterAutospacing="0"/>
        <w:ind w:firstLine="720"/>
        <w:contextualSpacing/>
        <w:jc w:val="both"/>
        <w:rPr>
          <w:rFonts w:cs="Times New Roman"/>
          <w:szCs w:val="24"/>
        </w:rPr>
      </w:pPr>
      <w:r w:rsidRPr="003A0449">
        <w:rPr>
          <w:rFonts w:cs="Times New Roman"/>
          <w:szCs w:val="24"/>
        </w:rPr>
        <w:t>The operations of the Institute</w:t>
      </w:r>
      <w:r w:rsidR="008D3D1F" w:rsidRPr="003A0449">
        <w:rPr>
          <w:rFonts w:cs="Times New Roman"/>
          <w:szCs w:val="24"/>
        </w:rPr>
        <w:t>,</w:t>
      </w:r>
      <w:r w:rsidRPr="003A0449">
        <w:rPr>
          <w:rFonts w:cs="Times New Roman"/>
          <w:szCs w:val="24"/>
        </w:rPr>
        <w:t xml:space="preserve"> </w:t>
      </w:r>
      <w:r w:rsidR="008D3D1F" w:rsidRPr="003A0449">
        <w:rPr>
          <w:rFonts w:cs="Times New Roman"/>
          <w:szCs w:val="24"/>
        </w:rPr>
        <w:t xml:space="preserve">as alluded to above, </w:t>
      </w:r>
      <w:r w:rsidRPr="003A0449">
        <w:rPr>
          <w:rFonts w:cs="Times New Roman"/>
          <w:szCs w:val="24"/>
        </w:rPr>
        <w:t>are carried out for no profit, that being in accordance with its constitution and objectives.  The Act in terms of which the Institute is registered as a welfare organization is administered by the Minister responsible for Social Welfare.</w:t>
      </w:r>
    </w:p>
    <w:p w:rsidR="00271D53" w:rsidRPr="003A0449" w:rsidRDefault="00271D53" w:rsidP="006C11AF">
      <w:pPr>
        <w:spacing w:after="0" w:afterAutospacing="0"/>
        <w:ind w:firstLine="720"/>
        <w:contextualSpacing/>
        <w:jc w:val="both"/>
        <w:rPr>
          <w:rFonts w:cs="Times New Roman"/>
          <w:szCs w:val="24"/>
        </w:rPr>
      </w:pPr>
      <w:r w:rsidRPr="003A0449">
        <w:rPr>
          <w:rFonts w:cs="Times New Roman"/>
          <w:szCs w:val="24"/>
        </w:rPr>
        <w:t>As alluded to above, d</w:t>
      </w:r>
      <w:r w:rsidR="008D3D1F" w:rsidRPr="003A0449">
        <w:rPr>
          <w:rFonts w:cs="Times New Roman"/>
          <w:szCs w:val="24"/>
        </w:rPr>
        <w:t>ur</w:t>
      </w:r>
      <w:r w:rsidRPr="003A0449">
        <w:rPr>
          <w:rFonts w:cs="Times New Roman"/>
          <w:szCs w:val="24"/>
        </w:rPr>
        <w:t>ing its assessment of the appellant’s income tax liabilities in respect of the year 2014, the respondent disallowed the donation of US$400,000.00 as an allowable deduction.  Further to disallowing that deduction, the respondent also imposed a penalty of 60% of the disallowed deduction.  The primary contention by the respondent is that the Institute is not a charitable trust and as such donations made to it canno</w:t>
      </w:r>
      <w:r w:rsidR="003A0449">
        <w:rPr>
          <w:rFonts w:cs="Times New Roman"/>
          <w:szCs w:val="24"/>
        </w:rPr>
        <w:t>t be allowed in terms of s</w:t>
      </w:r>
      <w:r w:rsidRPr="003A0449">
        <w:rPr>
          <w:rFonts w:cs="Times New Roman"/>
          <w:szCs w:val="24"/>
        </w:rPr>
        <w:t xml:space="preserve"> 15(2)(r)(iii) of the ITA.  It is contended by the respondent that the Institute is not a trust because it is a private voluntary organization governed by its Constitution in terms of the </w:t>
      </w:r>
      <w:r w:rsidRPr="003A0449">
        <w:rPr>
          <w:rFonts w:cs="Times New Roman"/>
          <w:szCs w:val="24"/>
        </w:rPr>
        <w:lastRenderedPageBreak/>
        <w:t xml:space="preserve">Welfare Organization Act, </w:t>
      </w:r>
      <w:r w:rsidR="00EB5D68">
        <w:rPr>
          <w:rFonts w:cs="Times New Roman"/>
          <w:szCs w:val="24"/>
        </w:rPr>
        <w:t>[</w:t>
      </w:r>
      <w:r w:rsidRPr="00EB5D68">
        <w:rPr>
          <w:rFonts w:cs="Times New Roman"/>
          <w:i/>
          <w:szCs w:val="24"/>
        </w:rPr>
        <w:t>Chapter 93</w:t>
      </w:r>
      <w:r w:rsidR="00EB5D68">
        <w:rPr>
          <w:rFonts w:cs="Times New Roman"/>
          <w:szCs w:val="24"/>
        </w:rPr>
        <w:t>]</w:t>
      </w:r>
      <w:r w:rsidRPr="003A0449">
        <w:rPr>
          <w:rFonts w:cs="Times New Roman"/>
          <w:szCs w:val="24"/>
        </w:rPr>
        <w:t xml:space="preserve"> (now the Priva</w:t>
      </w:r>
      <w:r w:rsidR="00A94BB5" w:rsidRPr="003A0449">
        <w:rPr>
          <w:rFonts w:cs="Times New Roman"/>
          <w:szCs w:val="24"/>
        </w:rPr>
        <w:t>te Voluntary Organizations Act [</w:t>
      </w:r>
      <w:r w:rsidRPr="003A0449">
        <w:rPr>
          <w:rFonts w:cs="Times New Roman"/>
          <w:i/>
          <w:szCs w:val="24"/>
        </w:rPr>
        <w:t>Chapter 17:05</w:t>
      </w:r>
      <w:r w:rsidR="00A94BB5" w:rsidRPr="003A0449">
        <w:rPr>
          <w:rFonts w:cs="Times New Roman"/>
          <w:szCs w:val="24"/>
        </w:rPr>
        <w:t xml:space="preserve">] (“PVOA”).  The </w:t>
      </w:r>
      <w:r w:rsidR="003A0449">
        <w:rPr>
          <w:rFonts w:cs="Times New Roman"/>
          <w:szCs w:val="24"/>
        </w:rPr>
        <w:t>respondent relies on s</w:t>
      </w:r>
      <w:r w:rsidR="00D00405" w:rsidRPr="003A0449">
        <w:rPr>
          <w:rFonts w:cs="Times New Roman"/>
          <w:szCs w:val="24"/>
        </w:rPr>
        <w:t xml:space="preserve"> 2(1) of PVOA which defines a private voluntary organization as follows:</w:t>
      </w:r>
    </w:p>
    <w:p w:rsidR="00D00405" w:rsidRPr="006C11AF" w:rsidRDefault="006C11AF" w:rsidP="006C11AF">
      <w:pPr>
        <w:spacing w:after="0" w:afterAutospacing="0" w:line="240" w:lineRule="auto"/>
        <w:ind w:left="720"/>
        <w:contextualSpacing/>
        <w:jc w:val="both"/>
        <w:rPr>
          <w:rFonts w:cs="Times New Roman"/>
          <w:sz w:val="22"/>
        </w:rPr>
      </w:pPr>
      <w:r w:rsidRPr="006C11AF">
        <w:rPr>
          <w:rFonts w:cs="Times New Roman"/>
          <w:sz w:val="22"/>
        </w:rPr>
        <w:t>“</w:t>
      </w:r>
      <w:r w:rsidR="00D00405" w:rsidRPr="006C11AF">
        <w:rPr>
          <w:rFonts w:cs="Times New Roman"/>
          <w:sz w:val="22"/>
        </w:rPr>
        <w:t xml:space="preserve">…. “ Private voluntary organization” means </w:t>
      </w:r>
      <w:r w:rsidR="002772EE" w:rsidRPr="006C11AF">
        <w:rPr>
          <w:rFonts w:cs="Times New Roman"/>
          <w:sz w:val="22"/>
        </w:rPr>
        <w:t>anybody</w:t>
      </w:r>
      <w:r w:rsidR="00D00405" w:rsidRPr="006C11AF">
        <w:rPr>
          <w:rFonts w:cs="Times New Roman"/>
          <w:sz w:val="22"/>
        </w:rPr>
        <w:t xml:space="preserve"> or association of persons, corporate or unincorporated, or any institution, the objects of which include or are one or more of the following …..</w:t>
      </w:r>
    </w:p>
    <w:p w:rsidR="00D00405" w:rsidRPr="006C11AF" w:rsidRDefault="002A6093" w:rsidP="006C11AF">
      <w:pPr>
        <w:spacing w:after="0" w:afterAutospacing="0" w:line="240" w:lineRule="auto"/>
        <w:ind w:firstLine="720"/>
        <w:contextualSpacing/>
        <w:jc w:val="both"/>
        <w:rPr>
          <w:rFonts w:cs="Times New Roman"/>
          <w:sz w:val="22"/>
        </w:rPr>
      </w:pPr>
      <w:r w:rsidRPr="006C11AF">
        <w:rPr>
          <w:rFonts w:cs="Times New Roman"/>
          <w:sz w:val="22"/>
        </w:rPr>
        <w:t>…. b</w:t>
      </w:r>
      <w:r w:rsidR="00D00405" w:rsidRPr="006C11AF">
        <w:rPr>
          <w:rFonts w:cs="Times New Roman"/>
          <w:sz w:val="22"/>
        </w:rPr>
        <w:t>ut does not include –</w:t>
      </w:r>
    </w:p>
    <w:p w:rsidR="003A0449" w:rsidRDefault="00D00405" w:rsidP="006C11AF">
      <w:pPr>
        <w:spacing w:after="0" w:afterAutospacing="0" w:line="240" w:lineRule="auto"/>
        <w:ind w:left="1440" w:hanging="720"/>
        <w:contextualSpacing/>
        <w:jc w:val="both"/>
        <w:rPr>
          <w:rFonts w:cs="Times New Roman"/>
          <w:sz w:val="22"/>
        </w:rPr>
      </w:pPr>
      <w:r w:rsidRPr="006C11AF">
        <w:rPr>
          <w:rFonts w:cs="Times New Roman"/>
          <w:sz w:val="22"/>
        </w:rPr>
        <w:t>(iii)</w:t>
      </w:r>
      <w:r w:rsidRPr="006C11AF">
        <w:rPr>
          <w:rFonts w:cs="Times New Roman"/>
          <w:sz w:val="22"/>
        </w:rPr>
        <w:tab/>
        <w:t>any trust established directly by any enactment or registered with the High Court.”</w:t>
      </w:r>
    </w:p>
    <w:p w:rsidR="006C11AF" w:rsidRPr="006C11AF" w:rsidRDefault="006C11AF" w:rsidP="006C11AF">
      <w:pPr>
        <w:spacing w:after="0" w:afterAutospacing="0" w:line="240" w:lineRule="auto"/>
        <w:ind w:left="1440" w:hanging="720"/>
        <w:contextualSpacing/>
        <w:jc w:val="both"/>
        <w:rPr>
          <w:rFonts w:cs="Times New Roman"/>
          <w:sz w:val="22"/>
        </w:rPr>
      </w:pPr>
    </w:p>
    <w:p w:rsidR="00D00405" w:rsidRPr="003A0449" w:rsidRDefault="00D00405" w:rsidP="006C11AF">
      <w:pPr>
        <w:ind w:firstLine="720"/>
        <w:contextualSpacing/>
        <w:jc w:val="both"/>
        <w:rPr>
          <w:rFonts w:cs="Times New Roman"/>
          <w:szCs w:val="24"/>
        </w:rPr>
      </w:pPr>
      <w:r w:rsidRPr="003A0449">
        <w:rPr>
          <w:rFonts w:cs="Times New Roman"/>
          <w:szCs w:val="24"/>
        </w:rPr>
        <w:t xml:space="preserve">From the foregoing definition in the PVOA the respondent contends that a private voluntary organization cannot be considered to be a trust.  Put in another way, the respondent’s contention as outlined by </w:t>
      </w:r>
      <w:r w:rsidRPr="003A0449">
        <w:rPr>
          <w:rFonts w:cs="Times New Roman"/>
          <w:i/>
          <w:szCs w:val="24"/>
        </w:rPr>
        <w:t>Mr Bhebhe</w:t>
      </w:r>
      <w:r w:rsidRPr="003A0449">
        <w:rPr>
          <w:rFonts w:cs="Times New Roman"/>
          <w:szCs w:val="24"/>
        </w:rPr>
        <w:t xml:space="preserve"> is as follows.  The dispute between the parties is really on </w:t>
      </w:r>
      <w:r w:rsidR="00CB40E5" w:rsidRPr="003A0449">
        <w:rPr>
          <w:rFonts w:cs="Times New Roman"/>
          <w:szCs w:val="24"/>
        </w:rPr>
        <w:t xml:space="preserve">whether or not the appellant is a charitable trust administered by the Minister responsible for Social Welfare.  If that question is answered in favour of the appellant then they will fit within the definition, within the provision that is in question and the appellant would be entitled to the relief it seeks.  But if the appellant is not a charitable trust administered by the Minister responsible for Social Welfare then the respondent’s decision in disallowing the appellant’s objection should stand.  In other words, it is not just any trust that benefits from the provisions of section 15(2)(r)(iii) A, </w:t>
      </w:r>
      <w:r w:rsidR="00CB40E5" w:rsidRPr="003A0449">
        <w:rPr>
          <w:rFonts w:cs="Times New Roman"/>
          <w:i/>
          <w:szCs w:val="24"/>
        </w:rPr>
        <w:t>supra</w:t>
      </w:r>
      <w:r w:rsidR="00CB40E5" w:rsidRPr="003A0449">
        <w:rPr>
          <w:rFonts w:cs="Times New Roman"/>
          <w:szCs w:val="24"/>
        </w:rPr>
        <w:t>, for the trust to benefit it has to be a charitable one and</w:t>
      </w:r>
      <w:r w:rsidR="00D017BB" w:rsidRPr="003A0449">
        <w:rPr>
          <w:rFonts w:cs="Times New Roman"/>
          <w:szCs w:val="24"/>
        </w:rPr>
        <w:t xml:space="preserve"> further be administered by the Minister responsible for Social Welfare.  While the respondent concedes that the appellant is a charitable organization, it is in dispute whether it is a charitable trust and whether it is administered by the Minister of Social Welfare.</w:t>
      </w:r>
    </w:p>
    <w:p w:rsidR="00D45F3E" w:rsidRDefault="00D017BB" w:rsidP="006C11AF">
      <w:pPr>
        <w:ind w:firstLine="720"/>
        <w:contextualSpacing/>
        <w:jc w:val="both"/>
        <w:rPr>
          <w:rFonts w:cs="Times New Roman"/>
          <w:szCs w:val="24"/>
        </w:rPr>
      </w:pPr>
      <w:r w:rsidRPr="003A0449">
        <w:rPr>
          <w:rFonts w:cs="Times New Roman"/>
          <w:szCs w:val="24"/>
        </w:rPr>
        <w:t xml:space="preserve">The word </w:t>
      </w:r>
      <w:r w:rsidR="008D3D1F" w:rsidRPr="003A0449">
        <w:rPr>
          <w:rFonts w:cs="Times New Roman"/>
          <w:szCs w:val="24"/>
        </w:rPr>
        <w:t>“</w:t>
      </w:r>
      <w:r w:rsidRPr="003A0449">
        <w:rPr>
          <w:rFonts w:cs="Times New Roman"/>
          <w:szCs w:val="24"/>
        </w:rPr>
        <w:t>trust</w:t>
      </w:r>
      <w:r w:rsidR="008D3D1F" w:rsidRPr="003A0449">
        <w:rPr>
          <w:rFonts w:cs="Times New Roman"/>
          <w:szCs w:val="24"/>
        </w:rPr>
        <w:t>”</w:t>
      </w:r>
      <w:r w:rsidRPr="003A0449">
        <w:rPr>
          <w:rFonts w:cs="Times New Roman"/>
          <w:szCs w:val="24"/>
        </w:rPr>
        <w:t xml:space="preserve"> is not defined in the Act, trustee is the word that is defined.  The respondent’s argument is that in finding out what a trust is you must deduce the meaning from the definition of trustee.  The respondents submits that the appellant does not fit into any deductible definition of trustee.  The Act also defin</w:t>
      </w:r>
      <w:r w:rsidR="00D45F3E">
        <w:rPr>
          <w:rFonts w:cs="Times New Roman"/>
          <w:szCs w:val="24"/>
        </w:rPr>
        <w:t>es a trust instrument in s</w:t>
      </w:r>
      <w:r w:rsidRPr="003A0449">
        <w:rPr>
          <w:rFonts w:cs="Times New Roman"/>
          <w:szCs w:val="24"/>
        </w:rPr>
        <w:t xml:space="preserve"> 2.  In the circumstances the respondent argues that a trust is an organization which is managed or administered by a trustee and which is created in terms of a trust instrument.  The respondent’s primary basis in disallowing the deduction claimed by the app</w:t>
      </w:r>
      <w:r w:rsidR="0080120E" w:rsidRPr="003A0449">
        <w:rPr>
          <w:rFonts w:cs="Times New Roman"/>
          <w:szCs w:val="24"/>
        </w:rPr>
        <w:t>ellant is that the Institute’s C</w:t>
      </w:r>
      <w:r w:rsidRPr="003A0449">
        <w:rPr>
          <w:rFonts w:cs="Times New Roman"/>
          <w:szCs w:val="24"/>
        </w:rPr>
        <w:t xml:space="preserve">onstitution does not disclose that it is a trust.  As such, the respondent ultimately finds that Institute falls outside the definition of a trust.  The appellant conceded that “trust” is not defined in the Act.  It however, argues that when construing the term, its ordinary and natural meaning as demanded by legislative context will apply.  It argues that </w:t>
      </w:r>
      <w:r w:rsidR="007945B9" w:rsidRPr="003A0449">
        <w:rPr>
          <w:rFonts w:cs="Times New Roman"/>
          <w:szCs w:val="24"/>
        </w:rPr>
        <w:t>a trust arises in a situation where ownership or control of an asset are separated from the benefit and enjoyment of the asset.  In other words, a trust arises where one entrusted with control ex</w:t>
      </w:r>
      <w:r w:rsidR="00BC5B7C" w:rsidRPr="003A0449">
        <w:rPr>
          <w:rFonts w:cs="Times New Roman"/>
          <w:szCs w:val="24"/>
        </w:rPr>
        <w:t>e</w:t>
      </w:r>
      <w:r w:rsidR="007945B9" w:rsidRPr="003A0449">
        <w:rPr>
          <w:rFonts w:cs="Times New Roman"/>
          <w:szCs w:val="24"/>
        </w:rPr>
        <w:t xml:space="preserve">rcises it on behalf of and in the </w:t>
      </w:r>
      <w:r w:rsidR="007945B9" w:rsidRPr="003A0449">
        <w:rPr>
          <w:rFonts w:cs="Times New Roman"/>
          <w:szCs w:val="24"/>
        </w:rPr>
        <w:lastRenderedPageBreak/>
        <w:t xml:space="preserve">interest of another.  The Institute seeks to raise </w:t>
      </w:r>
      <w:r w:rsidR="00BC5B7C" w:rsidRPr="003A0449">
        <w:rPr>
          <w:rFonts w:cs="Times New Roman"/>
          <w:szCs w:val="24"/>
        </w:rPr>
        <w:t>funds and assets to utilize for the benefit of the Muslim community.  Whilst the Institute owns and controls the funds and other assets, it does this not on its own behalf but in the interests of 3</w:t>
      </w:r>
      <w:r w:rsidR="00BC5B7C" w:rsidRPr="003A0449">
        <w:rPr>
          <w:rFonts w:cs="Times New Roman"/>
          <w:szCs w:val="24"/>
          <w:vertAlign w:val="superscript"/>
        </w:rPr>
        <w:t>rd</w:t>
      </w:r>
      <w:r w:rsidR="00BC5B7C" w:rsidRPr="003A0449">
        <w:rPr>
          <w:rFonts w:cs="Times New Roman"/>
          <w:szCs w:val="24"/>
        </w:rPr>
        <w:t xml:space="preserve"> party beneficiaries i.e members of Harare’s Muslim community.  The appellant emphasizes that the deductability of charitable donations indicates that the legislat</w:t>
      </w:r>
      <w:r w:rsidR="009E2BB8" w:rsidRPr="003A0449">
        <w:rPr>
          <w:rFonts w:cs="Times New Roman"/>
          <w:szCs w:val="24"/>
        </w:rPr>
        <w:t>ur</w:t>
      </w:r>
      <w:r w:rsidR="00BC5B7C" w:rsidRPr="003A0449">
        <w:rPr>
          <w:rFonts w:cs="Times New Roman"/>
          <w:szCs w:val="24"/>
        </w:rPr>
        <w:t>e’s aim was to encourage taxpayers to make donations to institutes that assist the Social Welfare of citizens.  It is common cause that the Institute is charitable and that it aims to assist the social welfare of the relevant community.  Respondent argues that simply because of the legal form the Institute takes, the legislat</w:t>
      </w:r>
      <w:r w:rsidR="009E2BB8" w:rsidRPr="003A0449">
        <w:rPr>
          <w:rFonts w:cs="Times New Roman"/>
          <w:szCs w:val="24"/>
        </w:rPr>
        <w:t>ur</w:t>
      </w:r>
      <w:r w:rsidR="00BC5B7C" w:rsidRPr="003A0449">
        <w:rPr>
          <w:rFonts w:cs="Times New Roman"/>
          <w:szCs w:val="24"/>
        </w:rPr>
        <w:t>e did not encourage donations to be made to it.  The appellant argues that by adopting such a restrictive and legalistic interpretation the legislat</w:t>
      </w:r>
      <w:r w:rsidR="009E2BB8" w:rsidRPr="003A0449">
        <w:rPr>
          <w:rFonts w:cs="Times New Roman"/>
          <w:szCs w:val="24"/>
        </w:rPr>
        <w:t>ur</w:t>
      </w:r>
      <w:r w:rsidR="00BC5B7C" w:rsidRPr="003A0449">
        <w:rPr>
          <w:rFonts w:cs="Times New Roman"/>
          <w:szCs w:val="24"/>
        </w:rPr>
        <w:t>e’s intention would not be served.  If the legislat</w:t>
      </w:r>
      <w:r w:rsidR="009E2BB8" w:rsidRPr="003A0449">
        <w:rPr>
          <w:rFonts w:cs="Times New Roman"/>
          <w:szCs w:val="24"/>
        </w:rPr>
        <w:t>ur</w:t>
      </w:r>
      <w:r w:rsidR="00BC5B7C" w:rsidRPr="003A0449">
        <w:rPr>
          <w:rFonts w:cs="Times New Roman"/>
          <w:szCs w:val="24"/>
        </w:rPr>
        <w:t xml:space="preserve">e’s intention was to acknowledge and encourage the social utility of charitable donations, </w:t>
      </w:r>
      <w:r w:rsidR="008A6659" w:rsidRPr="003A0449">
        <w:rPr>
          <w:rFonts w:cs="Times New Roman"/>
          <w:szCs w:val="24"/>
        </w:rPr>
        <w:t>the trust must not be restrictively interpreted as contended for by the respondent.  From the foregoing arguments, the appellant contends that the Institute is a trust.</w:t>
      </w:r>
    </w:p>
    <w:p w:rsidR="008A6659" w:rsidRPr="003A0449" w:rsidRDefault="008A6659" w:rsidP="006C11AF">
      <w:pPr>
        <w:ind w:firstLine="720"/>
        <w:jc w:val="both"/>
        <w:rPr>
          <w:rFonts w:cs="Times New Roman"/>
          <w:szCs w:val="24"/>
        </w:rPr>
      </w:pPr>
      <w:r w:rsidRPr="003A0449">
        <w:rPr>
          <w:rFonts w:cs="Times New Roman"/>
          <w:szCs w:val="24"/>
        </w:rPr>
        <w:t xml:space="preserve">In its Supplementary heads of argument the appellant contends that on a proper understanding of the law, the respondent has not only misdirected itself, but has failed to apply its mind to the issues at hand, with the result that it had acted unreasonably in denying the appellant a deduction it is entitled to at law.  Further, as there is no definition of trust in the Act, the word trust must be accorded its common law meaning – </w:t>
      </w:r>
      <w:r w:rsidRPr="003A0449">
        <w:rPr>
          <w:rFonts w:cs="Times New Roman"/>
          <w:i/>
          <w:szCs w:val="24"/>
        </w:rPr>
        <w:t>Endeavour Foundation and UDC Ltd</w:t>
      </w:r>
      <w:r w:rsidRPr="003A0449">
        <w:rPr>
          <w:rFonts w:cs="Times New Roman"/>
          <w:szCs w:val="24"/>
        </w:rPr>
        <w:t xml:space="preserve"> v </w:t>
      </w:r>
      <w:r w:rsidRPr="003A0449">
        <w:rPr>
          <w:rFonts w:cs="Times New Roman"/>
          <w:i/>
          <w:szCs w:val="24"/>
        </w:rPr>
        <w:t>Commissioner of Taxes</w:t>
      </w:r>
      <w:r w:rsidRPr="003A0449">
        <w:rPr>
          <w:rFonts w:cs="Times New Roman"/>
          <w:szCs w:val="24"/>
        </w:rPr>
        <w:t xml:space="preserve"> (1995) 57 SATC 297.  It is argued that a trust is a legal relationship created (in lifetime, or on death) by a settlor when assets are indeed under the control of a trustee for the benefit of a beneficiary or for a specified purpose.  The key characteristics of a trust is that it permits the separation of legal ownership and beneficial interest: the trustees become the owners of the trust property as far as third parties are concerned, and the beneficiaries are entitled to expect that the trustees will manage the trust property for their benefit – </w:t>
      </w:r>
      <w:r w:rsidRPr="003A0449">
        <w:rPr>
          <w:rFonts w:cs="Times New Roman"/>
          <w:i/>
          <w:szCs w:val="24"/>
        </w:rPr>
        <w:t>Estate Kemp</w:t>
      </w:r>
      <w:r w:rsidRPr="003A0449">
        <w:rPr>
          <w:rFonts w:cs="Times New Roman"/>
          <w:szCs w:val="24"/>
        </w:rPr>
        <w:t xml:space="preserve"> v </w:t>
      </w:r>
      <w:r w:rsidRPr="003A0449">
        <w:rPr>
          <w:rFonts w:cs="Times New Roman"/>
          <w:i/>
          <w:szCs w:val="24"/>
        </w:rPr>
        <w:t>McDonald’s Trustee</w:t>
      </w:r>
      <w:r w:rsidRPr="003A0449">
        <w:rPr>
          <w:rFonts w:cs="Times New Roman"/>
          <w:szCs w:val="24"/>
        </w:rPr>
        <w:t xml:space="preserve"> 1915 AD 491.</w:t>
      </w:r>
    </w:p>
    <w:p w:rsidR="00971EE7" w:rsidRPr="003A0449" w:rsidRDefault="00971EE7" w:rsidP="00D45F3E">
      <w:pPr>
        <w:spacing w:line="240" w:lineRule="auto"/>
        <w:jc w:val="both"/>
        <w:rPr>
          <w:rFonts w:cs="Times New Roman"/>
          <w:b/>
          <w:szCs w:val="24"/>
        </w:rPr>
      </w:pPr>
      <w:r w:rsidRPr="003A0449">
        <w:rPr>
          <w:rFonts w:cs="Times New Roman"/>
          <w:b/>
          <w:szCs w:val="24"/>
        </w:rPr>
        <w:t>Resolution of the Is</w:t>
      </w:r>
      <w:r w:rsidR="009E2BB8" w:rsidRPr="003A0449">
        <w:rPr>
          <w:rFonts w:cs="Times New Roman"/>
          <w:b/>
          <w:szCs w:val="24"/>
        </w:rPr>
        <w:t>s</w:t>
      </w:r>
      <w:r w:rsidRPr="003A0449">
        <w:rPr>
          <w:rFonts w:cs="Times New Roman"/>
          <w:b/>
          <w:szCs w:val="24"/>
        </w:rPr>
        <w:t>ues:</w:t>
      </w:r>
    </w:p>
    <w:p w:rsidR="00971EE7" w:rsidRPr="003A0449" w:rsidRDefault="00971EE7" w:rsidP="006C11AF">
      <w:pPr>
        <w:ind w:firstLine="720"/>
        <w:contextualSpacing/>
        <w:jc w:val="both"/>
        <w:rPr>
          <w:rFonts w:cs="Times New Roman"/>
          <w:szCs w:val="24"/>
        </w:rPr>
      </w:pPr>
      <w:r w:rsidRPr="003A0449">
        <w:rPr>
          <w:rFonts w:cs="Times New Roman"/>
          <w:szCs w:val="24"/>
        </w:rPr>
        <w:t>It is apparent that the appellant contended</w:t>
      </w:r>
      <w:r w:rsidR="009E2BB8" w:rsidRPr="003A0449">
        <w:rPr>
          <w:rFonts w:cs="Times New Roman"/>
          <w:szCs w:val="24"/>
        </w:rPr>
        <w:t>,</w:t>
      </w:r>
      <w:r w:rsidRPr="003A0449">
        <w:rPr>
          <w:rFonts w:cs="Times New Roman"/>
          <w:szCs w:val="24"/>
        </w:rPr>
        <w:t xml:space="preserve"> on the one hand, that the Institute was a charitable trust administered by the Minister responsible for Social Welfare for which it was entitled to deduct the donation by virtue of the provisions of s 15(2)(r)(iii</w:t>
      </w:r>
      <w:r w:rsidR="0080120E" w:rsidRPr="003A0449">
        <w:rPr>
          <w:rFonts w:cs="Times New Roman"/>
          <w:szCs w:val="24"/>
        </w:rPr>
        <w:t>) of the Act.  The respondent, o</w:t>
      </w:r>
      <w:r w:rsidRPr="003A0449">
        <w:rPr>
          <w:rFonts w:cs="Times New Roman"/>
          <w:szCs w:val="24"/>
        </w:rPr>
        <w:t>n the other hand, made the contrary contention that the Institute was neither a charitable trust nor administered by the Minister responsible for Social Welfare and was therefore precluded from deducting the donation made thereto.</w:t>
      </w:r>
    </w:p>
    <w:p w:rsidR="00971EE7" w:rsidRPr="003A0449" w:rsidRDefault="00971EE7" w:rsidP="006C11AF">
      <w:pPr>
        <w:ind w:firstLine="720"/>
        <w:contextualSpacing/>
        <w:jc w:val="both"/>
        <w:rPr>
          <w:rFonts w:cs="Times New Roman"/>
          <w:szCs w:val="24"/>
        </w:rPr>
      </w:pPr>
      <w:r w:rsidRPr="003A0449">
        <w:rPr>
          <w:rFonts w:cs="Times New Roman"/>
          <w:szCs w:val="24"/>
        </w:rPr>
        <w:lastRenderedPageBreak/>
        <w:t xml:space="preserve">As alluded to above, it is common cause that the Institute is a charitable private voluntary organization, a PVO registered in terms of s 9(5) of the PVOA.  There is no definition within the Act of the word “trust”.  </w:t>
      </w:r>
      <w:r w:rsidR="009E2BB8" w:rsidRPr="003A0449">
        <w:rPr>
          <w:rFonts w:cs="Times New Roman"/>
          <w:szCs w:val="24"/>
        </w:rPr>
        <w:t>I</w:t>
      </w:r>
      <w:r w:rsidRPr="003A0449">
        <w:rPr>
          <w:rFonts w:cs="Times New Roman"/>
          <w:szCs w:val="24"/>
        </w:rPr>
        <w:t xml:space="preserve"> must therefore look to the common law for the definition of “trust”.  In my view, the underlying concept of a trust is that while the legal dominium is vested in trustees in their capacity as such, they have no beneficial interest in the trust property but are bound to hold and apply it for the benefit of some person or persons or for the accomplishment of some specific purpose.  In other words, the characteristic of a trust is that it permits the separation of legal ownership and beneficial interest.  The trustees become the owners of the trust </w:t>
      </w:r>
      <w:r w:rsidR="00A7648E" w:rsidRPr="003A0449">
        <w:rPr>
          <w:rFonts w:cs="Times New Roman"/>
          <w:szCs w:val="24"/>
        </w:rPr>
        <w:t>property as far as third parties are concerned and the beneficiaries are ent</w:t>
      </w:r>
      <w:r w:rsidR="00DC4696" w:rsidRPr="003A0449">
        <w:rPr>
          <w:rFonts w:cs="Times New Roman"/>
          <w:szCs w:val="24"/>
        </w:rPr>
        <w:t>itled to expect that the trustee</w:t>
      </w:r>
      <w:r w:rsidR="00A7648E" w:rsidRPr="003A0449">
        <w:rPr>
          <w:rFonts w:cs="Times New Roman"/>
          <w:szCs w:val="24"/>
        </w:rPr>
        <w:t>s will manage the trust property for their benefit.  While the Act does not define the word trust it does give guidance as to what type of relationship it envisages as being subject to tax as a trust.  While the word trust is not defined in the Act, the following relevant terms are defined in the Act:</w:t>
      </w:r>
    </w:p>
    <w:p w:rsidR="00A7648E" w:rsidRPr="006C11AF" w:rsidRDefault="00A7648E" w:rsidP="00D45F3E">
      <w:pPr>
        <w:spacing w:line="240" w:lineRule="auto"/>
        <w:ind w:left="720"/>
        <w:jc w:val="both"/>
        <w:rPr>
          <w:rFonts w:cs="Times New Roman"/>
          <w:sz w:val="22"/>
        </w:rPr>
      </w:pPr>
      <w:r w:rsidRPr="003A0449">
        <w:rPr>
          <w:rFonts w:cs="Times New Roman"/>
          <w:szCs w:val="24"/>
        </w:rPr>
        <w:t>“</w:t>
      </w:r>
      <w:r w:rsidRPr="006C11AF">
        <w:rPr>
          <w:rFonts w:cs="Times New Roman"/>
          <w:sz w:val="22"/>
        </w:rPr>
        <w:t>trust instrument” means a deed, will, contract of settlement as other disposition, including a verbal declaration, by which a trust is created;</w:t>
      </w:r>
    </w:p>
    <w:p w:rsidR="00A7648E" w:rsidRPr="006C11AF" w:rsidRDefault="00A7648E" w:rsidP="00D45F3E">
      <w:pPr>
        <w:spacing w:line="240" w:lineRule="auto"/>
        <w:ind w:left="720"/>
        <w:jc w:val="both"/>
        <w:rPr>
          <w:rFonts w:cs="Times New Roman"/>
          <w:sz w:val="22"/>
        </w:rPr>
      </w:pPr>
      <w:r w:rsidRPr="006C11AF">
        <w:rPr>
          <w:rFonts w:cs="Times New Roman"/>
          <w:sz w:val="22"/>
        </w:rPr>
        <w:t>“trustee” includes –</w:t>
      </w:r>
    </w:p>
    <w:p w:rsidR="00A7648E" w:rsidRPr="006C11AF" w:rsidRDefault="00A7648E" w:rsidP="00D45F3E">
      <w:pPr>
        <w:spacing w:line="240" w:lineRule="auto"/>
        <w:ind w:left="720"/>
        <w:contextualSpacing/>
        <w:jc w:val="both"/>
        <w:rPr>
          <w:rFonts w:cs="Times New Roman"/>
          <w:sz w:val="22"/>
        </w:rPr>
      </w:pPr>
      <w:r w:rsidRPr="006C11AF">
        <w:rPr>
          <w:rFonts w:cs="Times New Roman"/>
          <w:sz w:val="22"/>
        </w:rPr>
        <w:t>(a)</w:t>
      </w:r>
      <w:r w:rsidRPr="006C11AF">
        <w:rPr>
          <w:rFonts w:cs="Times New Roman"/>
          <w:sz w:val="22"/>
        </w:rPr>
        <w:tab/>
        <w:t>the administrator or executor of a deceased estate; and</w:t>
      </w:r>
    </w:p>
    <w:p w:rsidR="00A7648E" w:rsidRPr="006C11AF" w:rsidRDefault="00A7648E" w:rsidP="00D45F3E">
      <w:pPr>
        <w:spacing w:line="240" w:lineRule="auto"/>
        <w:ind w:left="720"/>
        <w:contextualSpacing/>
        <w:jc w:val="both"/>
        <w:rPr>
          <w:rFonts w:cs="Times New Roman"/>
          <w:sz w:val="22"/>
        </w:rPr>
      </w:pPr>
      <w:r w:rsidRPr="006C11AF">
        <w:rPr>
          <w:rFonts w:cs="Times New Roman"/>
          <w:sz w:val="22"/>
        </w:rPr>
        <w:t>(b)</w:t>
      </w:r>
      <w:r w:rsidRPr="006C11AF">
        <w:rPr>
          <w:rFonts w:cs="Times New Roman"/>
          <w:sz w:val="22"/>
        </w:rPr>
        <w:tab/>
        <w:t>the trustee or assignee of an insolvent estate; and</w:t>
      </w:r>
    </w:p>
    <w:p w:rsidR="00A7648E" w:rsidRPr="006C11AF" w:rsidRDefault="00A7648E" w:rsidP="00D45F3E">
      <w:pPr>
        <w:spacing w:line="240" w:lineRule="auto"/>
        <w:ind w:left="1440" w:hanging="720"/>
        <w:contextualSpacing/>
        <w:jc w:val="both"/>
        <w:rPr>
          <w:rFonts w:cs="Times New Roman"/>
          <w:sz w:val="22"/>
        </w:rPr>
      </w:pPr>
      <w:r w:rsidRPr="006C11AF">
        <w:rPr>
          <w:rFonts w:cs="Times New Roman"/>
          <w:sz w:val="22"/>
        </w:rPr>
        <w:t>(c)</w:t>
      </w:r>
      <w:r w:rsidRPr="006C11AF">
        <w:rPr>
          <w:rFonts w:cs="Times New Roman"/>
          <w:sz w:val="22"/>
        </w:rPr>
        <w:tab/>
        <w:t xml:space="preserve">the liquidator or judicial manager of a company which is being wound up or is under judicial management, and </w:t>
      </w:r>
    </w:p>
    <w:p w:rsidR="00A7648E" w:rsidRPr="006C11AF" w:rsidRDefault="00A7648E" w:rsidP="00D45F3E">
      <w:pPr>
        <w:spacing w:line="240" w:lineRule="auto"/>
        <w:ind w:left="1440" w:hanging="720"/>
        <w:contextualSpacing/>
        <w:jc w:val="both"/>
        <w:rPr>
          <w:rFonts w:cs="Times New Roman"/>
          <w:sz w:val="22"/>
        </w:rPr>
      </w:pPr>
      <w:r w:rsidRPr="006C11AF">
        <w:rPr>
          <w:rFonts w:cs="Times New Roman"/>
          <w:sz w:val="22"/>
        </w:rPr>
        <w:t>(d)</w:t>
      </w:r>
      <w:r w:rsidRPr="006C11AF">
        <w:rPr>
          <w:rFonts w:cs="Times New Roman"/>
          <w:sz w:val="22"/>
        </w:rPr>
        <w:tab/>
        <w:t xml:space="preserve">the legal representative of any individual under a legal disability, or other person having, whether in an official or private capacity, the possession, disposal, control or management of the property of an individual under a legal disability; and </w:t>
      </w:r>
    </w:p>
    <w:p w:rsidR="00A7648E" w:rsidRPr="006C11AF" w:rsidRDefault="00A7648E" w:rsidP="00D45F3E">
      <w:pPr>
        <w:spacing w:line="240" w:lineRule="auto"/>
        <w:ind w:left="1440" w:hanging="720"/>
        <w:contextualSpacing/>
        <w:jc w:val="both"/>
        <w:rPr>
          <w:rFonts w:cs="Times New Roman"/>
          <w:sz w:val="22"/>
        </w:rPr>
      </w:pPr>
      <w:r w:rsidRPr="006C11AF">
        <w:rPr>
          <w:rFonts w:cs="Times New Roman"/>
          <w:sz w:val="22"/>
        </w:rPr>
        <w:t>(e)</w:t>
      </w:r>
      <w:r w:rsidRPr="006C11AF">
        <w:rPr>
          <w:rFonts w:cs="Times New Roman"/>
          <w:sz w:val="22"/>
        </w:rPr>
        <w:tab/>
        <w:t xml:space="preserve">the person having the administration or control of property subject to a usufruct; </w:t>
      </w:r>
      <w:r w:rsidRPr="006C11AF">
        <w:rPr>
          <w:rFonts w:cs="Times New Roman"/>
          <w:i/>
          <w:sz w:val="22"/>
        </w:rPr>
        <w:t>fideicommi</w:t>
      </w:r>
      <w:r w:rsidR="00EF0867" w:rsidRPr="006C11AF">
        <w:rPr>
          <w:rFonts w:cs="Times New Roman"/>
          <w:i/>
          <w:sz w:val="22"/>
        </w:rPr>
        <w:t>ssum</w:t>
      </w:r>
      <w:r w:rsidR="00EF0867" w:rsidRPr="006C11AF">
        <w:rPr>
          <w:rFonts w:cs="Times New Roman"/>
          <w:sz w:val="22"/>
        </w:rPr>
        <w:t xml:space="preserve"> or other limited interest; and “trust”, “property the subject of a trust” and “income the subject of a trust” shall be construed accordingly.</w:t>
      </w:r>
      <w:r w:rsidR="006C11AF" w:rsidRPr="006C11AF">
        <w:rPr>
          <w:rFonts w:cs="Times New Roman"/>
          <w:sz w:val="22"/>
        </w:rPr>
        <w:t>”</w:t>
      </w:r>
    </w:p>
    <w:p w:rsidR="006C11AF" w:rsidRPr="003A0449" w:rsidRDefault="006C11AF" w:rsidP="00D45F3E">
      <w:pPr>
        <w:spacing w:line="240" w:lineRule="auto"/>
        <w:ind w:left="1440" w:hanging="720"/>
        <w:contextualSpacing/>
        <w:jc w:val="both"/>
        <w:rPr>
          <w:rFonts w:cs="Times New Roman"/>
          <w:szCs w:val="24"/>
        </w:rPr>
      </w:pPr>
    </w:p>
    <w:p w:rsidR="00E62FE1" w:rsidRPr="003A0449" w:rsidRDefault="00EF0867" w:rsidP="006C11AF">
      <w:pPr>
        <w:ind w:firstLine="720"/>
        <w:contextualSpacing/>
        <w:jc w:val="both"/>
        <w:rPr>
          <w:rFonts w:cs="Times New Roman"/>
          <w:szCs w:val="24"/>
        </w:rPr>
      </w:pPr>
      <w:r w:rsidRPr="003A0449">
        <w:rPr>
          <w:rFonts w:cs="Times New Roman"/>
          <w:szCs w:val="24"/>
        </w:rPr>
        <w:t>From the foregoing, even a</w:t>
      </w:r>
      <w:r w:rsidR="00E62FE1" w:rsidRPr="003A0449">
        <w:rPr>
          <w:rFonts w:cs="Times New Roman"/>
          <w:szCs w:val="24"/>
        </w:rPr>
        <w:t>n</w:t>
      </w:r>
      <w:r w:rsidRPr="003A0449">
        <w:rPr>
          <w:rFonts w:cs="Times New Roman"/>
          <w:szCs w:val="24"/>
        </w:rPr>
        <w:t xml:space="preserve"> oral declaration is sufficient to create a trust instrument.  This exp</w:t>
      </w:r>
      <w:r w:rsidR="009E2BB8" w:rsidRPr="003A0449">
        <w:rPr>
          <w:rFonts w:cs="Times New Roman"/>
          <w:szCs w:val="24"/>
        </w:rPr>
        <w:t>a</w:t>
      </w:r>
      <w:r w:rsidRPr="003A0449">
        <w:rPr>
          <w:rFonts w:cs="Times New Roman"/>
          <w:szCs w:val="24"/>
        </w:rPr>
        <w:t>nsive definition of trust instrument compels the respondent to look beyond whether there was any written trust instrument and examine whether the relationship</w:t>
      </w:r>
      <w:r w:rsidR="00E62FE1" w:rsidRPr="003A0449">
        <w:rPr>
          <w:rFonts w:cs="Times New Roman"/>
          <w:szCs w:val="24"/>
        </w:rPr>
        <w:t xml:space="preserve"> between the appellant and the Institute was such that it created a trust relationship.  Further, the use of the words “includes” in the definition of “trustee” indicates an exp</w:t>
      </w:r>
      <w:r w:rsidR="009E2BB8" w:rsidRPr="003A0449">
        <w:rPr>
          <w:rFonts w:cs="Times New Roman"/>
          <w:szCs w:val="24"/>
        </w:rPr>
        <w:t>a</w:t>
      </w:r>
      <w:r w:rsidR="00E62FE1" w:rsidRPr="003A0449">
        <w:rPr>
          <w:rFonts w:cs="Times New Roman"/>
          <w:szCs w:val="24"/>
        </w:rPr>
        <w:t>nsive and non-exhaustive definition of who can be a trustee.</w:t>
      </w:r>
    </w:p>
    <w:p w:rsidR="00E62FE1" w:rsidRPr="003A0449" w:rsidRDefault="00E62FE1" w:rsidP="006C11AF">
      <w:pPr>
        <w:ind w:firstLine="720"/>
        <w:contextualSpacing/>
        <w:jc w:val="both"/>
        <w:rPr>
          <w:rFonts w:cs="Times New Roman"/>
          <w:szCs w:val="24"/>
        </w:rPr>
      </w:pPr>
      <w:r w:rsidRPr="003A0449">
        <w:rPr>
          <w:rFonts w:cs="Times New Roman"/>
          <w:szCs w:val="24"/>
        </w:rPr>
        <w:t xml:space="preserve">The word “includes” when it occurs in interpretation clauses in contradiction to the word “means” normally suggests enlargement of meaning rather than exhaustive – </w:t>
      </w:r>
      <w:r w:rsidRPr="003A0449">
        <w:rPr>
          <w:rFonts w:cs="Times New Roman"/>
          <w:i/>
          <w:szCs w:val="24"/>
        </w:rPr>
        <w:t>CIR</w:t>
      </w:r>
      <w:r w:rsidRPr="003A0449">
        <w:rPr>
          <w:rFonts w:cs="Times New Roman"/>
          <w:szCs w:val="24"/>
        </w:rPr>
        <w:t xml:space="preserve"> v </w:t>
      </w:r>
      <w:r w:rsidRPr="003A0449">
        <w:rPr>
          <w:rFonts w:cs="Times New Roman"/>
          <w:i/>
          <w:szCs w:val="24"/>
        </w:rPr>
        <w:t>De Beers Holdings (Pty) Ltd</w:t>
      </w:r>
      <w:r w:rsidRPr="003A0449">
        <w:rPr>
          <w:rFonts w:cs="Times New Roman"/>
          <w:szCs w:val="24"/>
        </w:rPr>
        <w:t xml:space="preserve"> 1984 (3) SA 286 (T); ITC 1394 (1984) 47 SATC 119 (Z) and </w:t>
      </w:r>
      <w:r w:rsidRPr="003A0449">
        <w:rPr>
          <w:rFonts w:cs="Times New Roman"/>
          <w:i/>
          <w:szCs w:val="24"/>
        </w:rPr>
        <w:t>Dilworth</w:t>
      </w:r>
      <w:r w:rsidRPr="003A0449">
        <w:rPr>
          <w:rFonts w:cs="Times New Roman"/>
          <w:szCs w:val="24"/>
        </w:rPr>
        <w:t xml:space="preserve"> v </w:t>
      </w:r>
      <w:r w:rsidRPr="003A0449">
        <w:rPr>
          <w:rFonts w:cs="Times New Roman"/>
          <w:i/>
          <w:szCs w:val="24"/>
        </w:rPr>
        <w:t>Commissioner of</w:t>
      </w:r>
      <w:r w:rsidRPr="003A0449">
        <w:rPr>
          <w:rFonts w:cs="Times New Roman"/>
          <w:szCs w:val="24"/>
        </w:rPr>
        <w:t xml:space="preserve"> </w:t>
      </w:r>
      <w:r w:rsidRPr="003A0449">
        <w:rPr>
          <w:rFonts w:cs="Times New Roman"/>
          <w:i/>
          <w:szCs w:val="24"/>
        </w:rPr>
        <w:t xml:space="preserve">Stamps </w:t>
      </w:r>
      <w:r w:rsidRPr="003A0449">
        <w:rPr>
          <w:rFonts w:cs="Times New Roman"/>
          <w:szCs w:val="24"/>
        </w:rPr>
        <w:t>[1899] AC 99.</w:t>
      </w:r>
    </w:p>
    <w:p w:rsidR="00EF0867" w:rsidRPr="003A0449" w:rsidRDefault="00E62FE1" w:rsidP="006C11AF">
      <w:pPr>
        <w:ind w:firstLine="720"/>
        <w:contextualSpacing/>
        <w:jc w:val="both"/>
        <w:rPr>
          <w:rFonts w:cs="Times New Roman"/>
          <w:szCs w:val="24"/>
        </w:rPr>
      </w:pPr>
      <w:r w:rsidRPr="003A0449">
        <w:rPr>
          <w:rFonts w:cs="Times New Roman"/>
          <w:szCs w:val="24"/>
        </w:rPr>
        <w:lastRenderedPageBreak/>
        <w:t xml:space="preserve">While the South African Income Tax Act now has a definition of “trust” the words of </w:t>
      </w:r>
      <w:r w:rsidR="00BF2FDB" w:rsidRPr="003A0449">
        <w:rPr>
          <w:rFonts w:cs="Times New Roman"/>
          <w:szCs w:val="24"/>
        </w:rPr>
        <w:t xml:space="preserve">Silke </w:t>
      </w:r>
      <w:r w:rsidR="00DC4696" w:rsidRPr="003A0449">
        <w:rPr>
          <w:rFonts w:cs="Times New Roman"/>
          <w:szCs w:val="24"/>
        </w:rPr>
        <w:t>p</w:t>
      </w:r>
      <w:r w:rsidRPr="003A0449">
        <w:rPr>
          <w:rFonts w:cs="Times New Roman"/>
          <w:szCs w:val="24"/>
        </w:rPr>
        <w:t xml:space="preserve">rior the introduction of a definition of “trust” in the latter are instructive in understanding how the respondent should have approached the issue of whether the relationship between the appellant and the respondent created a trust.  Silke notes that </w:t>
      </w:r>
      <w:r w:rsidR="00BF2FDB" w:rsidRPr="003A0449">
        <w:rPr>
          <w:rFonts w:cs="Times New Roman"/>
          <w:szCs w:val="24"/>
        </w:rPr>
        <w:t>–</w:t>
      </w:r>
      <w:r w:rsidR="00EF0867" w:rsidRPr="003A0449">
        <w:rPr>
          <w:rFonts w:cs="Times New Roman"/>
          <w:szCs w:val="24"/>
        </w:rPr>
        <w:t xml:space="preserve"> </w:t>
      </w:r>
    </w:p>
    <w:p w:rsidR="00BF2FDB" w:rsidRPr="006C11AF" w:rsidRDefault="00BF2FDB" w:rsidP="00D45F3E">
      <w:pPr>
        <w:spacing w:line="240" w:lineRule="auto"/>
        <w:ind w:left="720"/>
        <w:jc w:val="both"/>
        <w:rPr>
          <w:rFonts w:cs="Times New Roman"/>
          <w:sz w:val="22"/>
        </w:rPr>
      </w:pPr>
      <w:r w:rsidRPr="006C11AF">
        <w:rPr>
          <w:rFonts w:cs="Times New Roman"/>
          <w:sz w:val="22"/>
        </w:rPr>
        <w:t xml:space="preserve">“The wide statutory definition of “trustee” includes persons who are not trustees in the strict sense of the word, with the result that they are treated as trustees for the purpose of the Act, that is to say, as representative taxpayers – Silke on South African Income Tax Chapter 12:18 (Estates and Trusts) – AP de Kocker and Estate Kemp – </w:t>
      </w:r>
      <w:r w:rsidRPr="006C11AF">
        <w:rPr>
          <w:rFonts w:cs="Times New Roman"/>
          <w:i/>
          <w:sz w:val="22"/>
        </w:rPr>
        <w:t>supra</w:t>
      </w:r>
      <w:r w:rsidRPr="006C11AF">
        <w:rPr>
          <w:rFonts w:cs="Times New Roman"/>
          <w:sz w:val="22"/>
        </w:rPr>
        <w:t xml:space="preserve">.  If one accepts that a trust is a contractual relationship, then it follows that unless there is a specific law prohibiting a PVO from being a trust, then a PVO can be a trust.  As the Institute is neither a trust established directly by enactment, a trust registered with the High Court, </w:t>
      </w:r>
      <w:r w:rsidR="009E2BB8" w:rsidRPr="006C11AF">
        <w:rPr>
          <w:rFonts w:cs="Times New Roman"/>
          <w:sz w:val="22"/>
        </w:rPr>
        <w:t>n</w:t>
      </w:r>
      <w:r w:rsidRPr="006C11AF">
        <w:rPr>
          <w:rFonts w:cs="Times New Roman"/>
          <w:sz w:val="22"/>
        </w:rPr>
        <w:t>or an education trust approved by the Minister there is nothing in law which precludes it from being a trust. A PVO is capable of being a trust.</w:t>
      </w:r>
    </w:p>
    <w:p w:rsidR="003E52F4" w:rsidRPr="003A0449" w:rsidRDefault="00BF2FDB" w:rsidP="00D45F3E">
      <w:pPr>
        <w:spacing w:line="240" w:lineRule="auto"/>
        <w:ind w:left="1440" w:hanging="720"/>
        <w:jc w:val="both"/>
        <w:rPr>
          <w:rFonts w:cs="Times New Roman"/>
          <w:szCs w:val="24"/>
        </w:rPr>
      </w:pPr>
      <w:r w:rsidRPr="003A0449">
        <w:rPr>
          <w:rFonts w:cs="Times New Roman"/>
          <w:szCs w:val="24"/>
        </w:rPr>
        <w:t>(a)</w:t>
      </w:r>
      <w:r w:rsidRPr="003A0449">
        <w:rPr>
          <w:rFonts w:cs="Times New Roman"/>
          <w:szCs w:val="24"/>
        </w:rPr>
        <w:tab/>
      </w:r>
      <w:r w:rsidRPr="003A0449">
        <w:rPr>
          <w:rFonts w:cs="Times New Roman"/>
          <w:szCs w:val="24"/>
          <w:u w:val="single"/>
        </w:rPr>
        <w:t>Whether the relationship created between the appellant and the</w:t>
      </w:r>
      <w:r w:rsidRPr="003A0449">
        <w:rPr>
          <w:rFonts w:cs="Times New Roman"/>
          <w:szCs w:val="24"/>
        </w:rPr>
        <w:t xml:space="preserve"> </w:t>
      </w:r>
      <w:r w:rsidRPr="003A0449">
        <w:rPr>
          <w:rFonts w:cs="Times New Roman"/>
          <w:szCs w:val="24"/>
          <w:u w:val="single"/>
        </w:rPr>
        <w:t>Institute was a trust relationship</w:t>
      </w:r>
      <w:r w:rsidR="003E52F4" w:rsidRPr="003A0449">
        <w:rPr>
          <w:rFonts w:cs="Times New Roman"/>
          <w:szCs w:val="24"/>
        </w:rPr>
        <w:t xml:space="preserve"> </w:t>
      </w:r>
    </w:p>
    <w:p w:rsidR="00BF2FDB" w:rsidRPr="003A0449" w:rsidRDefault="003E52F4" w:rsidP="006C11AF">
      <w:pPr>
        <w:ind w:firstLine="720"/>
        <w:jc w:val="both"/>
        <w:rPr>
          <w:rFonts w:cs="Times New Roman"/>
          <w:szCs w:val="24"/>
        </w:rPr>
      </w:pPr>
      <w:r w:rsidRPr="003A0449">
        <w:rPr>
          <w:rFonts w:cs="Times New Roman"/>
          <w:szCs w:val="24"/>
        </w:rPr>
        <w:t>R</w:t>
      </w:r>
      <w:r w:rsidR="00BF2FDB" w:rsidRPr="003A0449">
        <w:rPr>
          <w:rFonts w:cs="Times New Roman"/>
          <w:szCs w:val="24"/>
        </w:rPr>
        <w:t xml:space="preserve">ather than apply its mind as to whether a trust relationship had been created, the respondent adopted a restrictive </w:t>
      </w:r>
      <w:r w:rsidR="00666B28" w:rsidRPr="003A0449">
        <w:rPr>
          <w:rFonts w:cs="Times New Roman"/>
          <w:szCs w:val="24"/>
        </w:rPr>
        <w:t>definition of trust.  The respondent’s main basis in disallowing the deduction claimed by the appellant is that the Institute’s constitution does not disclose that it is a trust.  As such, the respondent ultimately finds that the Institute falls outside the definition of a trust.  In oth</w:t>
      </w:r>
      <w:r w:rsidR="00436050" w:rsidRPr="003A0449">
        <w:rPr>
          <w:rFonts w:cs="Times New Roman"/>
          <w:szCs w:val="24"/>
        </w:rPr>
        <w:t>er words, the respondent opined that there was no trust instrument which evinced the existence of a trust.  Respondent opined that the Institute is not a charitable trust but a PVO undertaking charity work.  As alluded to above, there is nothing that precludes a PVO from being a trust.  The definition of trustee in the Act is couched very widely, and would include persons such as officers of the PVO.  Further, the registration certificate and the Constitution of the Instituti</w:t>
      </w:r>
      <w:r w:rsidR="009E2BB8" w:rsidRPr="003A0449">
        <w:rPr>
          <w:rFonts w:cs="Times New Roman"/>
          <w:szCs w:val="24"/>
        </w:rPr>
        <w:t>e</w:t>
      </w:r>
      <w:r w:rsidR="00436050" w:rsidRPr="003A0449">
        <w:rPr>
          <w:rFonts w:cs="Times New Roman"/>
          <w:szCs w:val="24"/>
        </w:rPr>
        <w:t xml:space="preserve"> reinforce the construction of the Institute as a trust.  The Act does not provide that all trusts must be established by way of a trust instrument.  The Act implies that there may be trusts that have been established in some way other than by a trust instrument e.g definitions of “beneficiary with a vested right” and “income the subject of a trust to which no beneficiary is entitled” in s2 of the Act.  This court is concerned with the reality of a taxpayer’</w:t>
      </w:r>
      <w:r w:rsidR="000D76C1" w:rsidRPr="003A0449">
        <w:rPr>
          <w:rFonts w:cs="Times New Roman"/>
          <w:szCs w:val="24"/>
        </w:rPr>
        <w:t xml:space="preserve">s position and not with the characterization of that position by the taxpayer or anyone else.  In other words, substance takes precedence over form.  Otherwise the entirety of the Act could be easily defeated by taxpayers simply mischaracterizing their true position.  The essence of a trust, is the separation of ownership or control from enjoyment.  A trust arises where one entrusted with control exercises it on behalf of and in the interest of another.  This is exactly what the Institute’s Constitution prescribes.  The Institute may raise funds, invest the same, </w:t>
      </w:r>
      <w:r w:rsidR="000D76C1" w:rsidRPr="003A0449">
        <w:rPr>
          <w:rFonts w:cs="Times New Roman"/>
          <w:szCs w:val="24"/>
        </w:rPr>
        <w:lastRenderedPageBreak/>
        <w:t xml:space="preserve">purchase property etc.  However, all of these powers must be exercised for the Institute’s objectives, </w:t>
      </w:r>
      <w:r w:rsidR="000D76C1" w:rsidRPr="003A0449">
        <w:rPr>
          <w:rFonts w:cs="Times New Roman"/>
          <w:i/>
          <w:szCs w:val="24"/>
        </w:rPr>
        <w:t>viz</w:t>
      </w:r>
      <w:r w:rsidR="000D76C1" w:rsidRPr="003A0449">
        <w:rPr>
          <w:rFonts w:cs="Times New Roman"/>
          <w:szCs w:val="24"/>
        </w:rPr>
        <w:t xml:space="preserve"> in the interests of beneficiary Muslim community in Harare.  It is for these reasons that I hold that the Institute was a charitable trust.  Accordingly, the appellant is entitled to benefit from the provisions of s 15(2)</w:t>
      </w:r>
      <w:r w:rsidR="009E2BB8" w:rsidRPr="003A0449">
        <w:rPr>
          <w:rFonts w:cs="Times New Roman"/>
          <w:szCs w:val="24"/>
        </w:rPr>
        <w:t xml:space="preserve"> </w:t>
      </w:r>
      <w:r w:rsidR="000D76C1" w:rsidRPr="003A0449">
        <w:rPr>
          <w:rFonts w:cs="Times New Roman"/>
          <w:szCs w:val="24"/>
        </w:rPr>
        <w:t>(r)(ii) of the Act.</w:t>
      </w:r>
    </w:p>
    <w:p w:rsidR="000D76C1" w:rsidRPr="003A0449" w:rsidRDefault="000D76C1" w:rsidP="00D45F3E">
      <w:pPr>
        <w:spacing w:line="240" w:lineRule="auto"/>
        <w:ind w:left="1440" w:hanging="720"/>
        <w:jc w:val="both"/>
        <w:rPr>
          <w:rFonts w:cs="Times New Roman"/>
          <w:b/>
          <w:szCs w:val="24"/>
        </w:rPr>
      </w:pPr>
      <w:r w:rsidRPr="003A0449">
        <w:rPr>
          <w:rFonts w:cs="Times New Roman"/>
          <w:szCs w:val="24"/>
        </w:rPr>
        <w:t>(b)</w:t>
      </w:r>
      <w:r w:rsidRPr="003A0449">
        <w:rPr>
          <w:rFonts w:cs="Times New Roman"/>
          <w:szCs w:val="24"/>
        </w:rPr>
        <w:tab/>
      </w:r>
      <w:r w:rsidRPr="003A0449">
        <w:rPr>
          <w:rFonts w:cs="Times New Roman"/>
          <w:b/>
          <w:szCs w:val="24"/>
        </w:rPr>
        <w:t>Whether the Institute is administered by the Minister responsible for Social Welfare for the purposes of s 15(2)</w:t>
      </w:r>
      <w:r w:rsidR="009E2BB8" w:rsidRPr="003A0449">
        <w:rPr>
          <w:rFonts w:cs="Times New Roman"/>
          <w:b/>
          <w:szCs w:val="24"/>
        </w:rPr>
        <w:t xml:space="preserve"> </w:t>
      </w:r>
      <w:r w:rsidRPr="003A0449">
        <w:rPr>
          <w:rFonts w:cs="Times New Roman"/>
          <w:b/>
          <w:szCs w:val="24"/>
        </w:rPr>
        <w:t>(r) of the Act:</w:t>
      </w:r>
    </w:p>
    <w:p w:rsidR="00E0110A" w:rsidRPr="003A0449" w:rsidRDefault="00E0110A" w:rsidP="006C11AF">
      <w:pPr>
        <w:ind w:firstLine="720"/>
        <w:jc w:val="both"/>
        <w:rPr>
          <w:rFonts w:cs="Times New Roman"/>
          <w:szCs w:val="24"/>
        </w:rPr>
      </w:pPr>
      <w:r w:rsidRPr="003A0449">
        <w:rPr>
          <w:rFonts w:cs="Times New Roman"/>
          <w:szCs w:val="24"/>
        </w:rPr>
        <w:t>The issue of administration by the Minister and the management by executive committee of the Institute are not in dispute.  The respondent’s contention is based on the fact that the Institute, while it is registered as PVO in terms of the PVOA, cannot give reprieve to the appellant for it to claim those donations as allowable deduction in terms of s 15(2)(r)(iii) of the Act as registration as PVO is distinct from being a charitable trust.  Put in another way, the respondent contends that the Institute does not qualify to be a charitable trust, rather, it qualifies as a PVO engaged in charity work under the PVOA which is not the issue contemplated in s 15(2)(r)(iii) of the Act .  The respondent makes a distinction in the definitions of administration and management by explaining that administration relates to the administration of the Institute as a PVO in terms of the PVOA and management relates to the mana</w:t>
      </w:r>
      <w:r w:rsidR="003E52F4" w:rsidRPr="003A0449">
        <w:rPr>
          <w:rFonts w:cs="Times New Roman"/>
          <w:szCs w:val="24"/>
        </w:rPr>
        <w:t>gement of the Institute by the e</w:t>
      </w:r>
      <w:r w:rsidRPr="003A0449">
        <w:rPr>
          <w:rFonts w:cs="Times New Roman"/>
          <w:szCs w:val="24"/>
        </w:rPr>
        <w:t xml:space="preserve">xecutive </w:t>
      </w:r>
      <w:r w:rsidR="003E52F4" w:rsidRPr="003A0449">
        <w:rPr>
          <w:rFonts w:cs="Times New Roman"/>
          <w:szCs w:val="24"/>
        </w:rPr>
        <w:t>c</w:t>
      </w:r>
      <w:r w:rsidRPr="003A0449">
        <w:rPr>
          <w:rFonts w:cs="Times New Roman"/>
          <w:szCs w:val="24"/>
        </w:rPr>
        <w:t>ommittee not the Minister as outlined in the Constitution submitted in terms of the PVOA.</w:t>
      </w:r>
      <w:r w:rsidR="001C5C42" w:rsidRPr="003A0449">
        <w:rPr>
          <w:rFonts w:cs="Times New Roman"/>
          <w:szCs w:val="24"/>
        </w:rPr>
        <w:t xml:space="preserve">  The respondent conceded in its averments, that the Minister responsible for Social Welfare administered the Institute.  It seems to me that the concession, involving as it does the interpretation of words in a statute, would constitute a question of law and not fact.  I am, therefore, not bound by such a concession.  I have to interpret the words in question.  It is clear that the facts showed that the Minister, primarily, registered the Institute of a PVO.  Although there is no evidence adduced</w:t>
      </w:r>
      <w:r w:rsidR="009E2BB8" w:rsidRPr="003A0449">
        <w:rPr>
          <w:rFonts w:cs="Times New Roman"/>
          <w:szCs w:val="24"/>
        </w:rPr>
        <w:t xml:space="preserve"> during the investigations and o</w:t>
      </w:r>
      <w:r w:rsidR="001C5C42" w:rsidRPr="003A0449">
        <w:rPr>
          <w:rFonts w:cs="Times New Roman"/>
          <w:szCs w:val="24"/>
        </w:rPr>
        <w:t xml:space="preserve">n objection and appeal that the Minister or his officials ever </w:t>
      </w:r>
      <w:r w:rsidR="00C01F6C" w:rsidRPr="003A0449">
        <w:rPr>
          <w:rFonts w:cs="Times New Roman"/>
          <w:szCs w:val="24"/>
        </w:rPr>
        <w:t>exercised the discretionary powers conferred on him by ss 20</w:t>
      </w:r>
      <w:r w:rsidR="00EB5D68" w:rsidRPr="003A0449">
        <w:rPr>
          <w:rFonts w:cs="Times New Roman"/>
          <w:szCs w:val="24"/>
        </w:rPr>
        <w:t>, 21</w:t>
      </w:r>
      <w:r w:rsidR="00C01F6C" w:rsidRPr="003A0449">
        <w:rPr>
          <w:rFonts w:cs="Times New Roman"/>
          <w:szCs w:val="24"/>
        </w:rPr>
        <w:t xml:space="preserve"> and 22 of the PVOA in regards to the inspection </w:t>
      </w:r>
      <w:r w:rsidR="00F721C4" w:rsidRPr="003A0449">
        <w:rPr>
          <w:rFonts w:cs="Times New Roman"/>
          <w:szCs w:val="24"/>
        </w:rPr>
        <w:t>and examination of the accounts of the In</w:t>
      </w:r>
      <w:r w:rsidR="003E52F4" w:rsidRPr="003A0449">
        <w:rPr>
          <w:rFonts w:cs="Times New Roman"/>
          <w:szCs w:val="24"/>
        </w:rPr>
        <w:t>stitute, the suspension of the executive c</w:t>
      </w:r>
      <w:r w:rsidR="00F721C4" w:rsidRPr="003A0449">
        <w:rPr>
          <w:rFonts w:cs="Times New Roman"/>
          <w:szCs w:val="24"/>
        </w:rPr>
        <w:t xml:space="preserve">ommittee etc, the fact remains that the Minister was clothed with these statutory powers.  The words “administered by the Minister responsible for Social Welfare” should be subjected to a literal interpretation and given effect to the ordinary and grammatical meaning as there is no absurdity, repugnance or inconsistence arising from such interpretation in </w:t>
      </w:r>
      <w:r w:rsidR="00F721C4" w:rsidRPr="003A0449">
        <w:rPr>
          <w:rFonts w:cs="Times New Roman"/>
          <w:i/>
          <w:szCs w:val="24"/>
        </w:rPr>
        <w:t>Zambezi Gas Zimbabwe (Pvt)</w:t>
      </w:r>
      <w:r w:rsidR="00F721C4" w:rsidRPr="003A0449">
        <w:rPr>
          <w:rFonts w:cs="Times New Roman"/>
          <w:szCs w:val="24"/>
        </w:rPr>
        <w:t xml:space="preserve"> </w:t>
      </w:r>
      <w:r w:rsidR="00F721C4" w:rsidRPr="003A0449">
        <w:rPr>
          <w:rFonts w:cs="Times New Roman"/>
          <w:i/>
          <w:szCs w:val="24"/>
        </w:rPr>
        <w:t>Ltd</w:t>
      </w:r>
      <w:r w:rsidR="00F721C4" w:rsidRPr="003A0449">
        <w:rPr>
          <w:rFonts w:cs="Times New Roman"/>
          <w:szCs w:val="24"/>
        </w:rPr>
        <w:t xml:space="preserve"> v </w:t>
      </w:r>
      <w:r w:rsidR="00F721C4" w:rsidRPr="003A0449">
        <w:rPr>
          <w:rFonts w:cs="Times New Roman"/>
          <w:i/>
          <w:szCs w:val="24"/>
        </w:rPr>
        <w:t>NR Barber (Pvt) Ltd</w:t>
      </w:r>
      <w:r w:rsidR="00F721C4" w:rsidRPr="003A0449">
        <w:rPr>
          <w:rFonts w:cs="Times New Roman"/>
          <w:szCs w:val="24"/>
        </w:rPr>
        <w:t xml:space="preserve"> SC 3-20 and </w:t>
      </w:r>
      <w:r w:rsidR="00F721C4" w:rsidRPr="003A0449">
        <w:rPr>
          <w:rFonts w:cs="Times New Roman"/>
          <w:i/>
          <w:szCs w:val="24"/>
        </w:rPr>
        <w:t>ZIMRA</w:t>
      </w:r>
      <w:r w:rsidR="00F721C4" w:rsidRPr="003A0449">
        <w:rPr>
          <w:rFonts w:cs="Times New Roman"/>
          <w:szCs w:val="24"/>
        </w:rPr>
        <w:t xml:space="preserve"> v </w:t>
      </w:r>
      <w:r w:rsidR="00F721C4" w:rsidRPr="003A0449">
        <w:rPr>
          <w:rFonts w:cs="Times New Roman"/>
          <w:i/>
          <w:szCs w:val="24"/>
        </w:rPr>
        <w:t>Murowa Diamonds (Pvt) Ltd</w:t>
      </w:r>
      <w:r w:rsidR="00F721C4" w:rsidRPr="003A0449">
        <w:rPr>
          <w:rFonts w:cs="Times New Roman"/>
          <w:szCs w:val="24"/>
        </w:rPr>
        <w:t xml:space="preserve"> 2009(2) ZLR 213 (S).</w:t>
      </w:r>
    </w:p>
    <w:p w:rsidR="00F721C4" w:rsidRPr="003A0449" w:rsidRDefault="00F721C4" w:rsidP="00D45F3E">
      <w:pPr>
        <w:spacing w:line="240" w:lineRule="auto"/>
        <w:ind w:firstLine="720"/>
        <w:jc w:val="both"/>
        <w:rPr>
          <w:rFonts w:cs="Times New Roman"/>
          <w:szCs w:val="24"/>
        </w:rPr>
      </w:pPr>
      <w:r w:rsidRPr="003A0449">
        <w:rPr>
          <w:rFonts w:cs="Times New Roman"/>
          <w:szCs w:val="24"/>
        </w:rPr>
        <w:lastRenderedPageBreak/>
        <w:t xml:space="preserve">I will, however, not lose sight of the fact that this is a fiscal case which has a different regime of statutory construction.  In the case of </w:t>
      </w:r>
      <w:r w:rsidRPr="003A0449">
        <w:rPr>
          <w:rFonts w:cs="Times New Roman"/>
          <w:i/>
          <w:szCs w:val="24"/>
        </w:rPr>
        <w:t xml:space="preserve">Loewenstein </w:t>
      </w:r>
      <w:r w:rsidRPr="003A0449">
        <w:rPr>
          <w:rFonts w:cs="Times New Roman"/>
          <w:szCs w:val="24"/>
        </w:rPr>
        <w:t xml:space="preserve">v </w:t>
      </w:r>
      <w:r w:rsidRPr="003A0449">
        <w:rPr>
          <w:rFonts w:cs="Times New Roman"/>
          <w:i/>
          <w:szCs w:val="24"/>
        </w:rPr>
        <w:t xml:space="preserve">COT </w:t>
      </w:r>
      <w:r w:rsidRPr="003A0449">
        <w:rPr>
          <w:rFonts w:cs="Times New Roman"/>
          <w:szCs w:val="24"/>
        </w:rPr>
        <w:t xml:space="preserve">1956 (4) SA 766 (FS) at 772 B </w:t>
      </w:r>
      <w:r w:rsidR="006C11AF" w:rsidRPr="006C11AF">
        <w:rPr>
          <w:rFonts w:cs="Times New Roman"/>
          <w:smallCaps/>
          <w:szCs w:val="24"/>
        </w:rPr>
        <w:t>murray cj</w:t>
      </w:r>
      <w:r w:rsidR="006C11AF" w:rsidRPr="003A0449">
        <w:rPr>
          <w:rFonts w:cs="Times New Roman"/>
          <w:szCs w:val="24"/>
        </w:rPr>
        <w:t xml:space="preserve"> </w:t>
      </w:r>
      <w:r w:rsidRPr="003A0449">
        <w:rPr>
          <w:rFonts w:cs="Times New Roman"/>
          <w:szCs w:val="24"/>
        </w:rPr>
        <w:t xml:space="preserve">quoted Lord Cairns in </w:t>
      </w:r>
      <w:r w:rsidRPr="003A0449">
        <w:rPr>
          <w:rFonts w:cs="Times New Roman"/>
          <w:i/>
          <w:szCs w:val="24"/>
        </w:rPr>
        <w:t xml:space="preserve">Partington </w:t>
      </w:r>
      <w:r w:rsidRPr="003A0449">
        <w:rPr>
          <w:rFonts w:cs="Times New Roman"/>
          <w:szCs w:val="24"/>
        </w:rPr>
        <w:t xml:space="preserve">v </w:t>
      </w:r>
      <w:r w:rsidRPr="003A0449">
        <w:rPr>
          <w:rFonts w:cs="Times New Roman"/>
          <w:i/>
          <w:szCs w:val="24"/>
        </w:rPr>
        <w:t>AG</w:t>
      </w:r>
      <w:r w:rsidRPr="003A0449">
        <w:rPr>
          <w:rFonts w:cs="Times New Roman"/>
          <w:szCs w:val="24"/>
        </w:rPr>
        <w:t xml:space="preserve"> 21 LT p 375 as follows:</w:t>
      </w:r>
    </w:p>
    <w:p w:rsidR="00F721C4" w:rsidRPr="006C11AF" w:rsidRDefault="00F721C4" w:rsidP="00D45F3E">
      <w:pPr>
        <w:spacing w:line="240" w:lineRule="auto"/>
        <w:ind w:left="720"/>
        <w:jc w:val="both"/>
        <w:rPr>
          <w:rFonts w:cs="Times New Roman"/>
          <w:sz w:val="22"/>
        </w:rPr>
      </w:pPr>
      <w:r w:rsidRPr="006C11AF">
        <w:rPr>
          <w:rFonts w:cs="Times New Roman"/>
          <w:sz w:val="22"/>
        </w:rPr>
        <w:t>“I am not at all sure that in a case of this kind – a fiscal case – f</w:t>
      </w:r>
      <w:r w:rsidR="009E2BB8" w:rsidRPr="006C11AF">
        <w:rPr>
          <w:rFonts w:cs="Times New Roman"/>
          <w:sz w:val="22"/>
        </w:rPr>
        <w:t>o</w:t>
      </w:r>
      <w:r w:rsidRPr="006C11AF">
        <w:rPr>
          <w:rFonts w:cs="Times New Roman"/>
          <w:sz w:val="22"/>
        </w:rPr>
        <w:t xml:space="preserve">rm is not amply sufficient, because as I understand the principle of all fiscal legislation it is this: if the person sought to be taxed comes within the letter of the law, he must be taxed, however great the hardship may appear to the </w:t>
      </w:r>
      <w:r w:rsidR="006A58F1" w:rsidRPr="006C11AF">
        <w:rPr>
          <w:rFonts w:cs="Times New Roman"/>
          <w:sz w:val="22"/>
        </w:rPr>
        <w:t>judicial mind to be.  On the other hand, if the crown, seeking to recover the tax, cannot bring the subject within the letter of the law, the subject is free however apparently within the law the case might otherwise appear to be.  In other words, if there be an equitable construction, certainly such a construction is not admissible in a taxing statute, where you can simply adhere to the words of the statutes.”</w:t>
      </w:r>
    </w:p>
    <w:p w:rsidR="006A58F1" w:rsidRPr="003A0449" w:rsidRDefault="006A58F1" w:rsidP="00D45F3E">
      <w:pPr>
        <w:spacing w:line="240" w:lineRule="auto"/>
        <w:ind w:left="720"/>
        <w:jc w:val="both"/>
        <w:rPr>
          <w:rFonts w:cs="Times New Roman"/>
          <w:szCs w:val="24"/>
        </w:rPr>
      </w:pPr>
      <w:r w:rsidRPr="003A0449">
        <w:rPr>
          <w:rFonts w:cs="Times New Roman"/>
          <w:szCs w:val="24"/>
        </w:rPr>
        <w:t xml:space="preserve">Further, in </w:t>
      </w:r>
      <w:r w:rsidRPr="003A0449">
        <w:rPr>
          <w:rFonts w:cs="Times New Roman"/>
          <w:i/>
          <w:szCs w:val="24"/>
        </w:rPr>
        <w:t>Cape Brandy Syndicate</w:t>
      </w:r>
      <w:r w:rsidRPr="003A0449">
        <w:rPr>
          <w:rFonts w:cs="Times New Roman"/>
          <w:szCs w:val="24"/>
        </w:rPr>
        <w:t xml:space="preserve"> v </w:t>
      </w:r>
      <w:r w:rsidRPr="003A0449">
        <w:rPr>
          <w:rFonts w:cs="Times New Roman"/>
          <w:i/>
          <w:szCs w:val="24"/>
        </w:rPr>
        <w:t>IRC</w:t>
      </w:r>
      <w:r w:rsidRPr="003A0449">
        <w:rPr>
          <w:rFonts w:cs="Times New Roman"/>
          <w:szCs w:val="24"/>
        </w:rPr>
        <w:t xml:space="preserve"> [1921] 1 KB 64,</w:t>
      </w:r>
      <w:r w:rsidR="0047139C" w:rsidRPr="003A0449">
        <w:rPr>
          <w:rFonts w:cs="Times New Roman"/>
          <w:szCs w:val="24"/>
        </w:rPr>
        <w:t xml:space="preserve"> </w:t>
      </w:r>
      <w:r w:rsidRPr="003A0449">
        <w:rPr>
          <w:rFonts w:cs="Times New Roman"/>
          <w:szCs w:val="24"/>
        </w:rPr>
        <w:t>the court stated:</w:t>
      </w:r>
    </w:p>
    <w:p w:rsidR="006A58F1" w:rsidRPr="006C11AF" w:rsidRDefault="006A58F1" w:rsidP="006C11AF">
      <w:pPr>
        <w:spacing w:line="240" w:lineRule="auto"/>
        <w:ind w:left="1440"/>
        <w:jc w:val="both"/>
        <w:rPr>
          <w:rFonts w:cs="Times New Roman"/>
          <w:sz w:val="22"/>
        </w:rPr>
      </w:pPr>
      <w:r w:rsidRPr="006C11AF">
        <w:rPr>
          <w:rFonts w:cs="Times New Roman"/>
          <w:sz w:val="22"/>
        </w:rPr>
        <w:t>“In a taxing case one has to look merely at what is clearly said.  There is no room for any intendments.  There is no equity about a tax.  There is no presumption as to tax.  Nothing is to be read in common nothing is to be implied.  One can only look fairly at the language used.”</w:t>
      </w:r>
    </w:p>
    <w:p w:rsidR="006A58F1" w:rsidRPr="003A0449" w:rsidRDefault="006A58F1" w:rsidP="00D45F3E">
      <w:pPr>
        <w:spacing w:line="240" w:lineRule="auto"/>
        <w:ind w:firstLine="720"/>
        <w:jc w:val="both"/>
        <w:rPr>
          <w:rFonts w:cs="Times New Roman"/>
          <w:szCs w:val="24"/>
        </w:rPr>
      </w:pPr>
      <w:r w:rsidRPr="003A0449">
        <w:rPr>
          <w:rFonts w:cs="Times New Roman"/>
          <w:szCs w:val="24"/>
        </w:rPr>
        <w:t>There is n</w:t>
      </w:r>
      <w:r w:rsidR="009E2BB8" w:rsidRPr="003A0449">
        <w:rPr>
          <w:rFonts w:cs="Times New Roman"/>
          <w:szCs w:val="24"/>
        </w:rPr>
        <w:t>o presumption as to a tax.  It wa</w:t>
      </w:r>
      <w:r w:rsidRPr="003A0449">
        <w:rPr>
          <w:rFonts w:cs="Times New Roman"/>
          <w:szCs w:val="24"/>
        </w:rPr>
        <w:t xml:space="preserve">s argued that the respondent, as an administrative authority must have a reasonable basis for any assessment it issues.  In </w:t>
      </w:r>
      <w:r w:rsidRPr="003A0449">
        <w:rPr>
          <w:rFonts w:cs="Times New Roman"/>
          <w:i/>
          <w:szCs w:val="24"/>
        </w:rPr>
        <w:t>Commissioner for South African Revenue Services</w:t>
      </w:r>
      <w:r w:rsidRPr="003A0449">
        <w:rPr>
          <w:rFonts w:cs="Times New Roman"/>
          <w:szCs w:val="24"/>
        </w:rPr>
        <w:t xml:space="preserve"> v </w:t>
      </w:r>
      <w:r w:rsidRPr="003A0449">
        <w:rPr>
          <w:rFonts w:cs="Times New Roman"/>
          <w:i/>
          <w:szCs w:val="24"/>
        </w:rPr>
        <w:t>Pretoria Ea</w:t>
      </w:r>
      <w:r w:rsidR="00333222" w:rsidRPr="003A0449">
        <w:rPr>
          <w:rFonts w:cs="Times New Roman"/>
          <w:i/>
          <w:szCs w:val="24"/>
        </w:rPr>
        <w:t>st</w:t>
      </w:r>
      <w:r w:rsidR="00333222" w:rsidRPr="003A0449">
        <w:rPr>
          <w:rFonts w:cs="Times New Roman"/>
          <w:szCs w:val="24"/>
        </w:rPr>
        <w:t xml:space="preserve"> </w:t>
      </w:r>
      <w:r w:rsidR="00333222" w:rsidRPr="003A0449">
        <w:rPr>
          <w:rFonts w:cs="Times New Roman"/>
          <w:i/>
          <w:szCs w:val="24"/>
        </w:rPr>
        <w:t>Motors (Pty) Ltd</w:t>
      </w:r>
      <w:r w:rsidR="00333222" w:rsidRPr="003A0449">
        <w:rPr>
          <w:rFonts w:cs="Times New Roman"/>
          <w:szCs w:val="24"/>
        </w:rPr>
        <w:t xml:space="preserve"> [2014] 3 All</w:t>
      </w:r>
      <w:r w:rsidR="00EB5D68">
        <w:rPr>
          <w:rFonts w:cs="Times New Roman"/>
          <w:szCs w:val="24"/>
        </w:rPr>
        <w:t xml:space="preserve"> SA 266 (SCA) at p</w:t>
      </w:r>
      <w:r w:rsidRPr="003A0449">
        <w:rPr>
          <w:rFonts w:cs="Times New Roman"/>
          <w:szCs w:val="24"/>
        </w:rPr>
        <w:t xml:space="preserve"> 272 was stated: </w:t>
      </w:r>
    </w:p>
    <w:p w:rsidR="00333222" w:rsidRPr="006C11AF" w:rsidRDefault="00333222" w:rsidP="00D45F3E">
      <w:pPr>
        <w:spacing w:line="240" w:lineRule="auto"/>
        <w:ind w:left="720"/>
        <w:jc w:val="both"/>
        <w:rPr>
          <w:rFonts w:cs="Times New Roman"/>
          <w:sz w:val="22"/>
        </w:rPr>
      </w:pPr>
      <w:r w:rsidRPr="006C11AF">
        <w:rPr>
          <w:rFonts w:cs="Times New Roman"/>
          <w:sz w:val="22"/>
        </w:rPr>
        <w:t>“The [revenue officer’s] approach was fallacious.  The raising of an additional assessment must be based on proper grounds for believing that, in the case of VAT, there has been an under declaration of supplies and hence of output tax or an unjustified deduction of input tax …  It is only in this way that [the revenue authority] can engage the taxpayer in an administratively fair manner, as it is obliged to do.  It is also the only basis upon which it can, as it must, provide grounds for raising the assessment to which the taxpayer must then respond by demonstrating that the assessment is wrong.”</w:t>
      </w:r>
    </w:p>
    <w:p w:rsidR="00333222" w:rsidRPr="003A0449" w:rsidRDefault="00333222" w:rsidP="00D45F3E">
      <w:pPr>
        <w:spacing w:line="240" w:lineRule="auto"/>
        <w:ind w:firstLine="720"/>
        <w:jc w:val="both"/>
        <w:rPr>
          <w:rFonts w:cs="Times New Roman"/>
          <w:szCs w:val="24"/>
        </w:rPr>
      </w:pPr>
      <w:r w:rsidRPr="003A0449">
        <w:rPr>
          <w:rFonts w:cs="Times New Roman"/>
          <w:szCs w:val="24"/>
        </w:rPr>
        <w:t xml:space="preserve">In other words, a strict approach is appropriate in interpretation of fiscal legislation – </w:t>
      </w:r>
      <w:r w:rsidRPr="003A0449">
        <w:rPr>
          <w:rFonts w:cs="Times New Roman"/>
          <w:i/>
          <w:szCs w:val="24"/>
        </w:rPr>
        <w:t>CVS</w:t>
      </w:r>
      <w:r w:rsidRPr="003A0449">
        <w:rPr>
          <w:rFonts w:cs="Times New Roman"/>
          <w:szCs w:val="24"/>
        </w:rPr>
        <w:t xml:space="preserve"> v </w:t>
      </w:r>
      <w:r w:rsidRPr="003A0449">
        <w:rPr>
          <w:rFonts w:cs="Times New Roman"/>
          <w:i/>
          <w:szCs w:val="24"/>
        </w:rPr>
        <w:t xml:space="preserve">COT </w:t>
      </w:r>
      <w:r w:rsidRPr="003A0449">
        <w:rPr>
          <w:rFonts w:cs="Times New Roman"/>
          <w:szCs w:val="24"/>
        </w:rPr>
        <w:t>1988 (2) ZLR 27 (HC).  A taxing statute is not to be interpreted according to “the spirit of the law”, nor words to be extended so as to operate against the subject – “</w:t>
      </w:r>
      <w:r w:rsidRPr="003A0449">
        <w:rPr>
          <w:rFonts w:cs="Times New Roman"/>
          <w:i/>
          <w:szCs w:val="24"/>
        </w:rPr>
        <w:t>Principles of Legal Interpretation</w:t>
      </w:r>
      <w:r w:rsidR="0001156A">
        <w:rPr>
          <w:rFonts w:cs="Times New Roman"/>
          <w:szCs w:val="24"/>
        </w:rPr>
        <w:t>” (1995) by EA Kellaway at p</w:t>
      </w:r>
      <w:r w:rsidRPr="003A0449">
        <w:rPr>
          <w:rFonts w:cs="Times New Roman"/>
          <w:szCs w:val="24"/>
        </w:rPr>
        <w:t xml:space="preserve"> 341.</w:t>
      </w:r>
    </w:p>
    <w:p w:rsidR="003F6259" w:rsidRPr="003A0449" w:rsidRDefault="003F6259" w:rsidP="006C11AF">
      <w:pPr>
        <w:ind w:firstLine="720"/>
        <w:contextualSpacing/>
        <w:jc w:val="both"/>
        <w:rPr>
          <w:rFonts w:cs="Times New Roman"/>
          <w:szCs w:val="24"/>
        </w:rPr>
      </w:pPr>
      <w:r w:rsidRPr="003A0449">
        <w:rPr>
          <w:rFonts w:cs="Times New Roman"/>
          <w:szCs w:val="24"/>
        </w:rPr>
        <w:t xml:space="preserve">The basic principle in tax law is that it is the duty of the taxing or revenue collecting authority to assess and collect tax according to the laws enacted by parliament and not forgo a tax which is properly chargeable and payable – </w:t>
      </w:r>
      <w:r w:rsidRPr="003A0449">
        <w:rPr>
          <w:rFonts w:cs="Times New Roman"/>
          <w:i/>
          <w:szCs w:val="24"/>
        </w:rPr>
        <w:t>Commissioner for Inland Revenue</w:t>
      </w:r>
      <w:r w:rsidRPr="003A0449">
        <w:rPr>
          <w:rFonts w:cs="Times New Roman"/>
          <w:szCs w:val="24"/>
        </w:rPr>
        <w:t xml:space="preserve"> v </w:t>
      </w:r>
      <w:r w:rsidRPr="003A0449">
        <w:rPr>
          <w:rFonts w:cs="Times New Roman"/>
          <w:i/>
          <w:szCs w:val="24"/>
        </w:rPr>
        <w:t>Simpson</w:t>
      </w:r>
      <w:r w:rsidRPr="003A0449">
        <w:rPr>
          <w:rFonts w:cs="Times New Roman"/>
          <w:szCs w:val="24"/>
        </w:rPr>
        <w:t xml:space="preserve"> 1949 (4) </w:t>
      </w:r>
      <w:r w:rsidR="009E2BB8" w:rsidRPr="003A0449">
        <w:rPr>
          <w:rFonts w:cs="Times New Roman"/>
          <w:szCs w:val="24"/>
        </w:rPr>
        <w:t>S</w:t>
      </w:r>
      <w:r w:rsidRPr="003A0449">
        <w:rPr>
          <w:rFonts w:cs="Times New Roman"/>
          <w:szCs w:val="24"/>
        </w:rPr>
        <w:t xml:space="preserve">A 678 (A) at 695 and </w:t>
      </w:r>
      <w:r w:rsidRPr="003A0449">
        <w:rPr>
          <w:rFonts w:cs="Times New Roman"/>
          <w:i/>
          <w:szCs w:val="24"/>
        </w:rPr>
        <w:t>NOC (Pvt) Ltd</w:t>
      </w:r>
      <w:r w:rsidRPr="003A0449">
        <w:rPr>
          <w:rFonts w:cs="Times New Roman"/>
          <w:szCs w:val="24"/>
        </w:rPr>
        <w:t xml:space="preserve"> v </w:t>
      </w:r>
      <w:r w:rsidRPr="003A0449">
        <w:rPr>
          <w:rFonts w:cs="Times New Roman"/>
          <w:i/>
          <w:szCs w:val="24"/>
        </w:rPr>
        <w:t xml:space="preserve">ZIMRA </w:t>
      </w:r>
      <w:r w:rsidRPr="003A0449">
        <w:rPr>
          <w:rFonts w:cs="Times New Roman"/>
          <w:szCs w:val="24"/>
        </w:rPr>
        <w:t>HH 765-19.  This approach applies in all tax cases where there is no doubt.</w:t>
      </w:r>
    </w:p>
    <w:p w:rsidR="003F6259" w:rsidRPr="003A0449" w:rsidRDefault="003F6259" w:rsidP="006C11AF">
      <w:pPr>
        <w:ind w:firstLine="720"/>
        <w:contextualSpacing/>
        <w:jc w:val="both"/>
        <w:rPr>
          <w:rFonts w:cs="Times New Roman"/>
          <w:szCs w:val="24"/>
        </w:rPr>
      </w:pPr>
      <w:r w:rsidRPr="003A0449">
        <w:rPr>
          <w:rFonts w:cs="Times New Roman"/>
          <w:szCs w:val="24"/>
        </w:rPr>
        <w:t>However, in cases where there an ambiguity in tax legislation, the ambiguous provision must be interpreted in a manner that favours the taxpayer</w:t>
      </w:r>
      <w:r w:rsidR="00C070E8" w:rsidRPr="003A0449">
        <w:rPr>
          <w:rFonts w:cs="Times New Roman"/>
          <w:szCs w:val="24"/>
        </w:rPr>
        <w:t xml:space="preserve">.  This is the </w:t>
      </w:r>
      <w:r w:rsidR="00C070E8" w:rsidRPr="003A0449">
        <w:rPr>
          <w:rFonts w:cs="Times New Roman"/>
          <w:i/>
          <w:szCs w:val="24"/>
        </w:rPr>
        <w:t>contra fiscum</w:t>
      </w:r>
      <w:r w:rsidR="00C070E8" w:rsidRPr="003A0449">
        <w:rPr>
          <w:rFonts w:cs="Times New Roman"/>
          <w:szCs w:val="24"/>
        </w:rPr>
        <w:t xml:space="preserve"> rule.  The </w:t>
      </w:r>
      <w:r w:rsidR="00C070E8" w:rsidRPr="003A0449">
        <w:rPr>
          <w:rFonts w:cs="Times New Roman"/>
          <w:szCs w:val="24"/>
        </w:rPr>
        <w:lastRenderedPageBreak/>
        <w:t xml:space="preserve">complete expression is in “in </w:t>
      </w:r>
      <w:r w:rsidR="00C070E8" w:rsidRPr="003A0449">
        <w:rPr>
          <w:rFonts w:cs="Times New Roman"/>
          <w:i/>
          <w:szCs w:val="24"/>
        </w:rPr>
        <w:t>dubio contra</w:t>
      </w:r>
      <w:r w:rsidR="00C070E8" w:rsidRPr="003A0449">
        <w:rPr>
          <w:rFonts w:cs="Times New Roman"/>
          <w:szCs w:val="24"/>
        </w:rPr>
        <w:t xml:space="preserve"> </w:t>
      </w:r>
      <w:r w:rsidR="00C070E8" w:rsidRPr="003A0449">
        <w:rPr>
          <w:rFonts w:cs="Times New Roman"/>
          <w:i/>
          <w:szCs w:val="24"/>
        </w:rPr>
        <w:t>fiscum</w:t>
      </w:r>
      <w:r w:rsidR="00C070E8" w:rsidRPr="003A0449">
        <w:rPr>
          <w:rFonts w:cs="Times New Roman"/>
          <w:szCs w:val="24"/>
        </w:rPr>
        <w:t xml:space="preserve">” – </w:t>
      </w:r>
      <w:r w:rsidR="00C070E8" w:rsidRPr="003A0449">
        <w:rPr>
          <w:rFonts w:cs="Times New Roman"/>
          <w:i/>
          <w:szCs w:val="24"/>
        </w:rPr>
        <w:t>Glen Anil Development Corporation Ltd</w:t>
      </w:r>
      <w:r w:rsidR="00C070E8" w:rsidRPr="003A0449">
        <w:rPr>
          <w:rFonts w:cs="Times New Roman"/>
          <w:szCs w:val="24"/>
        </w:rPr>
        <w:t xml:space="preserve"> v </w:t>
      </w:r>
      <w:r w:rsidR="00C070E8" w:rsidRPr="003A0449">
        <w:rPr>
          <w:rFonts w:cs="Times New Roman"/>
          <w:i/>
          <w:szCs w:val="24"/>
        </w:rPr>
        <w:t>Commissioner for Inland</w:t>
      </w:r>
      <w:r w:rsidR="00C070E8" w:rsidRPr="003A0449">
        <w:rPr>
          <w:rFonts w:cs="Times New Roman"/>
          <w:szCs w:val="24"/>
        </w:rPr>
        <w:t xml:space="preserve"> </w:t>
      </w:r>
      <w:r w:rsidR="00C070E8" w:rsidRPr="003A0449">
        <w:rPr>
          <w:rFonts w:cs="Times New Roman"/>
          <w:i/>
          <w:szCs w:val="24"/>
        </w:rPr>
        <w:t xml:space="preserve">Revenue </w:t>
      </w:r>
      <w:r w:rsidR="00C070E8" w:rsidRPr="003A0449">
        <w:rPr>
          <w:rFonts w:cs="Times New Roman"/>
          <w:szCs w:val="24"/>
        </w:rPr>
        <w:t>1975 (4) SA 715 (A).</w:t>
      </w:r>
    </w:p>
    <w:p w:rsidR="00162C15" w:rsidRPr="003A0449" w:rsidRDefault="00C070E8" w:rsidP="00E562B1">
      <w:pPr>
        <w:ind w:firstLine="720"/>
        <w:jc w:val="both"/>
        <w:rPr>
          <w:rFonts w:cs="Times New Roman"/>
          <w:szCs w:val="24"/>
        </w:rPr>
      </w:pPr>
      <w:r w:rsidRPr="003A0449">
        <w:rPr>
          <w:rFonts w:cs="Times New Roman"/>
          <w:szCs w:val="24"/>
        </w:rPr>
        <w:t xml:space="preserve">An extension to this principle is that where a provision is capable of two reasonable constructions, the court will adopt the interpretation that imposes the smaller burden on the taxpayer – </w:t>
      </w:r>
      <w:r w:rsidRPr="003A0449">
        <w:rPr>
          <w:rFonts w:cs="Times New Roman"/>
          <w:i/>
          <w:szCs w:val="24"/>
        </w:rPr>
        <w:t>Badenhorst</w:t>
      </w:r>
      <w:r w:rsidRPr="003A0449">
        <w:rPr>
          <w:rFonts w:cs="Times New Roman"/>
          <w:szCs w:val="24"/>
        </w:rPr>
        <w:t xml:space="preserve"> v </w:t>
      </w:r>
      <w:r w:rsidRPr="003A0449">
        <w:rPr>
          <w:rFonts w:cs="Times New Roman"/>
          <w:i/>
          <w:szCs w:val="24"/>
        </w:rPr>
        <w:t>CIR</w:t>
      </w:r>
      <w:r w:rsidRPr="003A0449">
        <w:rPr>
          <w:rFonts w:cs="Times New Roman"/>
          <w:szCs w:val="24"/>
        </w:rPr>
        <w:t xml:space="preserve"> 1995 (2) SA 207 (N) at p 215 and </w:t>
      </w:r>
      <w:r w:rsidRPr="003A0449">
        <w:rPr>
          <w:rFonts w:cs="Times New Roman"/>
          <w:i/>
          <w:szCs w:val="24"/>
        </w:rPr>
        <w:t>AB CC</w:t>
      </w:r>
      <w:r w:rsidRPr="003A0449">
        <w:rPr>
          <w:rFonts w:cs="Times New Roman"/>
          <w:szCs w:val="24"/>
        </w:rPr>
        <w:t xml:space="preserve"> v </w:t>
      </w:r>
      <w:r w:rsidRPr="003A0449">
        <w:rPr>
          <w:rFonts w:cs="Times New Roman"/>
          <w:i/>
          <w:szCs w:val="24"/>
        </w:rPr>
        <w:t xml:space="preserve">CSARS </w:t>
      </w:r>
      <w:r w:rsidRPr="003A0449">
        <w:rPr>
          <w:rFonts w:cs="Times New Roman"/>
          <w:szCs w:val="24"/>
        </w:rPr>
        <w:t>[</w:t>
      </w:r>
      <w:r w:rsidR="0047139C" w:rsidRPr="003A0449">
        <w:rPr>
          <w:rFonts w:cs="Times New Roman"/>
          <w:szCs w:val="24"/>
        </w:rPr>
        <w:t xml:space="preserve">2014] ZATC 4 (9 December 2014).  </w:t>
      </w:r>
      <w:r w:rsidRPr="003A0449">
        <w:rPr>
          <w:rFonts w:cs="Times New Roman"/>
          <w:szCs w:val="24"/>
        </w:rPr>
        <w:t xml:space="preserve">In this case the parties did not refer to the </w:t>
      </w:r>
      <w:r w:rsidRPr="003A0449">
        <w:rPr>
          <w:rFonts w:cs="Times New Roman"/>
          <w:i/>
          <w:szCs w:val="24"/>
        </w:rPr>
        <w:t>contra fiscum</w:t>
      </w:r>
      <w:r w:rsidRPr="003A0449">
        <w:rPr>
          <w:rFonts w:cs="Times New Roman"/>
          <w:szCs w:val="24"/>
        </w:rPr>
        <w:t xml:space="preserve"> rule directly.  However, by making reference to the strict approach in the interpretation of fiscal legislation they “invited”</w:t>
      </w:r>
      <w:r w:rsidR="00162C15" w:rsidRPr="003A0449">
        <w:rPr>
          <w:rFonts w:cs="Times New Roman"/>
          <w:szCs w:val="24"/>
        </w:rPr>
        <w:t xml:space="preserve"> the </w:t>
      </w:r>
      <w:r w:rsidR="00162C15" w:rsidRPr="003A0449">
        <w:rPr>
          <w:rFonts w:cs="Times New Roman"/>
          <w:i/>
          <w:szCs w:val="24"/>
        </w:rPr>
        <w:t>contra fiscum</w:t>
      </w:r>
      <w:r w:rsidR="00162C15" w:rsidRPr="003A0449">
        <w:rPr>
          <w:rFonts w:cs="Times New Roman"/>
          <w:szCs w:val="24"/>
        </w:rPr>
        <w:t xml:space="preserve"> rule into the equation because the latter is a relevant rule of interpretation of legislation.  From the foregoing deliberations, it is clear to me that there is an ambiguity on the interpretation of s 15(2)(r)(iii) of the Act.  This is fiscal provision.  The issue is whether the Institute is a trust as defined this provision.  Further, whether the Institute is administered by the Minister responsible for Social Welfare.  In the circumstances, the </w:t>
      </w:r>
      <w:r w:rsidR="00162C15" w:rsidRPr="003A0449">
        <w:rPr>
          <w:rFonts w:cs="Times New Roman"/>
          <w:i/>
          <w:szCs w:val="24"/>
        </w:rPr>
        <w:t>contra fiscum</w:t>
      </w:r>
      <w:r w:rsidR="00162C15" w:rsidRPr="003A0449">
        <w:rPr>
          <w:rFonts w:cs="Times New Roman"/>
          <w:szCs w:val="24"/>
        </w:rPr>
        <w:t xml:space="preserve"> rule has to be used to resolve these two issues.  The resolution favours the appellant’s case.  It is against this background that I find that:-</w:t>
      </w:r>
    </w:p>
    <w:p w:rsidR="00162C15" w:rsidRPr="003A0449" w:rsidRDefault="00162C15" w:rsidP="00E562B1">
      <w:pPr>
        <w:spacing w:line="240" w:lineRule="auto"/>
        <w:ind w:firstLine="720"/>
        <w:contextualSpacing/>
        <w:jc w:val="both"/>
        <w:rPr>
          <w:rFonts w:cs="Times New Roman"/>
          <w:szCs w:val="24"/>
        </w:rPr>
      </w:pPr>
      <w:r w:rsidRPr="003A0449">
        <w:rPr>
          <w:rFonts w:cs="Times New Roman"/>
          <w:szCs w:val="24"/>
        </w:rPr>
        <w:t>(a)</w:t>
      </w:r>
      <w:r w:rsidRPr="003A0449">
        <w:rPr>
          <w:rFonts w:cs="Times New Roman"/>
          <w:szCs w:val="24"/>
        </w:rPr>
        <w:tab/>
        <w:t>a PVO is capable of being a trust.</w:t>
      </w:r>
    </w:p>
    <w:p w:rsidR="00162C15" w:rsidRPr="003A0449" w:rsidRDefault="00162C15" w:rsidP="00E562B1">
      <w:pPr>
        <w:spacing w:line="240" w:lineRule="auto"/>
        <w:ind w:left="1440" w:hanging="720"/>
        <w:contextualSpacing/>
        <w:jc w:val="both"/>
        <w:rPr>
          <w:rFonts w:cs="Times New Roman"/>
          <w:szCs w:val="24"/>
        </w:rPr>
      </w:pPr>
      <w:r w:rsidRPr="003A0449">
        <w:rPr>
          <w:rFonts w:cs="Times New Roman"/>
          <w:szCs w:val="24"/>
        </w:rPr>
        <w:t>(b)</w:t>
      </w:r>
      <w:r w:rsidRPr="003A0449">
        <w:rPr>
          <w:rFonts w:cs="Times New Roman"/>
          <w:szCs w:val="24"/>
        </w:rPr>
        <w:tab/>
        <w:t>the relationship between the appellant and the Institute is a trust relationship, and,</w:t>
      </w:r>
    </w:p>
    <w:p w:rsidR="00162C15" w:rsidRPr="003A0449" w:rsidRDefault="00162C15" w:rsidP="00E562B1">
      <w:pPr>
        <w:spacing w:line="240" w:lineRule="auto"/>
        <w:ind w:left="1440" w:hanging="720"/>
        <w:contextualSpacing/>
        <w:jc w:val="both"/>
        <w:rPr>
          <w:rFonts w:cs="Times New Roman"/>
          <w:szCs w:val="24"/>
        </w:rPr>
      </w:pPr>
      <w:r w:rsidRPr="003A0449">
        <w:rPr>
          <w:rFonts w:cs="Times New Roman"/>
          <w:szCs w:val="24"/>
        </w:rPr>
        <w:t>(c)</w:t>
      </w:r>
      <w:r w:rsidRPr="003A0449">
        <w:rPr>
          <w:rFonts w:cs="Times New Roman"/>
          <w:szCs w:val="24"/>
        </w:rPr>
        <w:tab/>
        <w:t>the Institute is administered by the Minister responsible for Social Welfare.</w:t>
      </w:r>
    </w:p>
    <w:p w:rsidR="00C17B7E" w:rsidRPr="003A0449" w:rsidRDefault="00C17B7E" w:rsidP="00D45F3E">
      <w:pPr>
        <w:spacing w:line="240" w:lineRule="auto"/>
        <w:ind w:left="1440" w:hanging="720"/>
        <w:jc w:val="both"/>
        <w:rPr>
          <w:rFonts w:cs="Times New Roman"/>
          <w:szCs w:val="24"/>
        </w:rPr>
      </w:pPr>
    </w:p>
    <w:p w:rsidR="00162C15" w:rsidRPr="003A0449" w:rsidRDefault="00162C15" w:rsidP="00D45F3E">
      <w:pPr>
        <w:spacing w:line="240" w:lineRule="auto"/>
        <w:ind w:left="1440" w:hanging="720"/>
        <w:jc w:val="both"/>
        <w:rPr>
          <w:rFonts w:cs="Times New Roman"/>
          <w:b/>
          <w:szCs w:val="24"/>
        </w:rPr>
      </w:pPr>
      <w:r w:rsidRPr="003A0449">
        <w:rPr>
          <w:rFonts w:cs="Times New Roman"/>
          <w:b/>
          <w:szCs w:val="24"/>
        </w:rPr>
        <w:t>Disposition</w:t>
      </w:r>
    </w:p>
    <w:p w:rsidR="00556354" w:rsidRPr="003A0449" w:rsidRDefault="00556354" w:rsidP="00D45F3E">
      <w:pPr>
        <w:spacing w:line="240" w:lineRule="auto"/>
        <w:ind w:left="1440" w:hanging="720"/>
        <w:jc w:val="both"/>
        <w:rPr>
          <w:rFonts w:cs="Times New Roman"/>
          <w:szCs w:val="24"/>
        </w:rPr>
      </w:pPr>
      <w:r w:rsidRPr="003A0449">
        <w:rPr>
          <w:rFonts w:cs="Times New Roman"/>
          <w:szCs w:val="24"/>
        </w:rPr>
        <w:t>Accordingly, it is ordered:</w:t>
      </w:r>
    </w:p>
    <w:p w:rsidR="00556354" w:rsidRPr="003A0449" w:rsidRDefault="00556354" w:rsidP="00736FB5">
      <w:pPr>
        <w:ind w:left="1440" w:hanging="720"/>
        <w:contextualSpacing/>
        <w:jc w:val="both"/>
        <w:rPr>
          <w:rFonts w:cs="Times New Roman"/>
          <w:szCs w:val="24"/>
        </w:rPr>
      </w:pPr>
      <w:r w:rsidRPr="003A0449">
        <w:rPr>
          <w:rFonts w:cs="Times New Roman"/>
          <w:szCs w:val="24"/>
        </w:rPr>
        <w:t>1.</w:t>
      </w:r>
      <w:r w:rsidRPr="003A0449">
        <w:rPr>
          <w:rFonts w:cs="Times New Roman"/>
          <w:szCs w:val="24"/>
        </w:rPr>
        <w:tab/>
        <w:t>That the appeal succeeds.</w:t>
      </w:r>
    </w:p>
    <w:p w:rsidR="00556354" w:rsidRPr="003A0449" w:rsidRDefault="00556354" w:rsidP="00736FB5">
      <w:pPr>
        <w:ind w:left="1440" w:hanging="720"/>
        <w:contextualSpacing/>
        <w:jc w:val="both"/>
        <w:rPr>
          <w:rFonts w:cs="Times New Roman"/>
          <w:szCs w:val="24"/>
        </w:rPr>
      </w:pPr>
      <w:r w:rsidRPr="003A0449">
        <w:rPr>
          <w:rFonts w:cs="Times New Roman"/>
          <w:szCs w:val="24"/>
        </w:rPr>
        <w:t>2.</w:t>
      </w:r>
      <w:r w:rsidRPr="003A0449">
        <w:rPr>
          <w:rFonts w:cs="Times New Roman"/>
          <w:szCs w:val="24"/>
        </w:rPr>
        <w:tab/>
        <w:t>That the decision of the Commissioner be and is hereby set aside.</w:t>
      </w:r>
    </w:p>
    <w:p w:rsidR="00556354" w:rsidRPr="003A0449" w:rsidRDefault="00556354" w:rsidP="00736FB5">
      <w:pPr>
        <w:ind w:left="1440" w:hanging="720"/>
        <w:contextualSpacing/>
        <w:jc w:val="both"/>
        <w:rPr>
          <w:rFonts w:cs="Times New Roman"/>
          <w:szCs w:val="24"/>
        </w:rPr>
      </w:pPr>
      <w:r w:rsidRPr="003A0449">
        <w:rPr>
          <w:rFonts w:cs="Times New Roman"/>
          <w:szCs w:val="24"/>
        </w:rPr>
        <w:t>3.</w:t>
      </w:r>
      <w:r w:rsidRPr="003A0449">
        <w:rPr>
          <w:rFonts w:cs="Times New Roman"/>
          <w:szCs w:val="24"/>
        </w:rPr>
        <w:tab/>
        <w:t xml:space="preserve">That the Commissioner reduces its assessment of the appellant’s taxable income for the year 2014 by US$400 00-00 representing the deductible expense of a donation made by the appellant to a charitable </w:t>
      </w:r>
      <w:r w:rsidR="005F7B5D" w:rsidRPr="003A0449">
        <w:rPr>
          <w:rFonts w:cs="Times New Roman"/>
          <w:szCs w:val="24"/>
        </w:rPr>
        <w:t>trust pursuant to section 15(2)</w:t>
      </w:r>
      <w:r w:rsidRPr="003A0449">
        <w:rPr>
          <w:rFonts w:cs="Times New Roman"/>
          <w:szCs w:val="24"/>
        </w:rPr>
        <w:t>(r) of the Act.</w:t>
      </w:r>
    </w:p>
    <w:p w:rsidR="00556354" w:rsidRPr="003A0449" w:rsidRDefault="00556354" w:rsidP="00736FB5">
      <w:pPr>
        <w:ind w:left="1440" w:hanging="720"/>
        <w:contextualSpacing/>
        <w:jc w:val="both"/>
        <w:rPr>
          <w:rFonts w:cs="Times New Roman"/>
          <w:szCs w:val="24"/>
        </w:rPr>
      </w:pPr>
      <w:r w:rsidRPr="003A0449">
        <w:rPr>
          <w:rFonts w:cs="Times New Roman"/>
          <w:szCs w:val="24"/>
        </w:rPr>
        <w:t>4.</w:t>
      </w:r>
      <w:r w:rsidRPr="003A0449">
        <w:rPr>
          <w:rFonts w:cs="Times New Roman"/>
          <w:szCs w:val="24"/>
        </w:rPr>
        <w:tab/>
        <w:t>That the Commissioner removes the penalty imposed on the appellant relating to the objection.</w:t>
      </w:r>
    </w:p>
    <w:p w:rsidR="00556354" w:rsidRDefault="00556354" w:rsidP="00736FB5">
      <w:pPr>
        <w:ind w:left="1440" w:hanging="720"/>
        <w:contextualSpacing/>
        <w:jc w:val="both"/>
        <w:rPr>
          <w:rFonts w:cs="Times New Roman"/>
          <w:szCs w:val="24"/>
        </w:rPr>
      </w:pPr>
      <w:r w:rsidRPr="003A0449">
        <w:rPr>
          <w:rFonts w:cs="Times New Roman"/>
          <w:szCs w:val="24"/>
        </w:rPr>
        <w:t>5.</w:t>
      </w:r>
      <w:r w:rsidRPr="003A0449">
        <w:rPr>
          <w:rFonts w:cs="Times New Roman"/>
          <w:szCs w:val="24"/>
        </w:rPr>
        <w:tab/>
        <w:t>That the Commissioner authorizes a refund to the appellant for any overpayment of tax and penalties made by the appellant.</w:t>
      </w:r>
    </w:p>
    <w:p w:rsidR="00736FB5" w:rsidRDefault="00736FB5" w:rsidP="00736FB5">
      <w:pPr>
        <w:ind w:left="1440" w:hanging="720"/>
        <w:contextualSpacing/>
        <w:jc w:val="both"/>
        <w:rPr>
          <w:rFonts w:cs="Times New Roman"/>
          <w:szCs w:val="24"/>
        </w:rPr>
      </w:pPr>
    </w:p>
    <w:p w:rsidR="00736FB5" w:rsidRPr="003A0449" w:rsidRDefault="00736FB5" w:rsidP="00736FB5">
      <w:pPr>
        <w:ind w:left="1440" w:hanging="720"/>
        <w:contextualSpacing/>
        <w:jc w:val="both"/>
        <w:rPr>
          <w:rFonts w:cs="Times New Roman"/>
          <w:szCs w:val="24"/>
        </w:rPr>
      </w:pPr>
    </w:p>
    <w:p w:rsidR="00556354" w:rsidRPr="003A0449" w:rsidRDefault="00556354" w:rsidP="00736FB5">
      <w:pPr>
        <w:ind w:left="1440" w:hanging="720"/>
        <w:contextualSpacing/>
        <w:jc w:val="both"/>
        <w:rPr>
          <w:rFonts w:cs="Times New Roman"/>
          <w:szCs w:val="24"/>
        </w:rPr>
      </w:pPr>
      <w:r w:rsidRPr="003A0449">
        <w:rPr>
          <w:rFonts w:cs="Times New Roman"/>
          <w:szCs w:val="24"/>
        </w:rPr>
        <w:t>6.</w:t>
      </w:r>
      <w:r w:rsidRPr="003A0449">
        <w:rPr>
          <w:rFonts w:cs="Times New Roman"/>
          <w:szCs w:val="24"/>
        </w:rPr>
        <w:tab/>
        <w:t>Each party bears its own costs.</w:t>
      </w:r>
    </w:p>
    <w:p w:rsidR="004655A7" w:rsidRDefault="004655A7" w:rsidP="00D45F3E">
      <w:pPr>
        <w:spacing w:line="240" w:lineRule="auto"/>
        <w:jc w:val="both"/>
        <w:rPr>
          <w:rFonts w:cs="Times New Roman"/>
          <w:szCs w:val="24"/>
        </w:rPr>
      </w:pPr>
    </w:p>
    <w:p w:rsidR="002772EE" w:rsidRDefault="002772EE" w:rsidP="00D45F3E">
      <w:pPr>
        <w:spacing w:line="240" w:lineRule="auto"/>
        <w:jc w:val="both"/>
        <w:rPr>
          <w:rFonts w:cs="Times New Roman"/>
          <w:szCs w:val="24"/>
        </w:rPr>
      </w:pPr>
    </w:p>
    <w:p w:rsidR="002772EE" w:rsidRPr="003A0449" w:rsidRDefault="002772EE" w:rsidP="00D45F3E">
      <w:pPr>
        <w:spacing w:line="240" w:lineRule="auto"/>
        <w:jc w:val="both"/>
        <w:rPr>
          <w:rFonts w:cs="Times New Roman"/>
          <w:szCs w:val="24"/>
        </w:rPr>
      </w:pPr>
    </w:p>
    <w:p w:rsidR="004655A7" w:rsidRPr="003A0449" w:rsidRDefault="004655A7" w:rsidP="00D45F3E">
      <w:pPr>
        <w:pStyle w:val="NoSpacing"/>
        <w:jc w:val="both"/>
        <w:rPr>
          <w:rFonts w:cs="Times New Roman"/>
          <w:szCs w:val="24"/>
        </w:rPr>
      </w:pPr>
      <w:r w:rsidRPr="003A0449">
        <w:rPr>
          <w:rFonts w:cs="Times New Roman"/>
          <w:i/>
          <w:szCs w:val="24"/>
        </w:rPr>
        <w:t>Gill, Godlonton &amp; Gerrans,</w:t>
      </w:r>
      <w:r w:rsidRPr="003A0449">
        <w:rPr>
          <w:rFonts w:cs="Times New Roman"/>
          <w:szCs w:val="24"/>
        </w:rPr>
        <w:t xml:space="preserve"> appellant’s legal practitioners</w:t>
      </w:r>
    </w:p>
    <w:p w:rsidR="0003103C" w:rsidRPr="003A0449" w:rsidRDefault="003A6B23" w:rsidP="00E562B1">
      <w:pPr>
        <w:pStyle w:val="NoSpacing"/>
        <w:jc w:val="both"/>
        <w:rPr>
          <w:rFonts w:cs="Times New Roman"/>
          <w:szCs w:val="24"/>
        </w:rPr>
      </w:pPr>
      <w:r w:rsidRPr="003A0449">
        <w:rPr>
          <w:rFonts w:cs="Times New Roman"/>
          <w:i/>
          <w:szCs w:val="24"/>
        </w:rPr>
        <w:t>Kantor &amp; Immerman</w:t>
      </w:r>
      <w:r w:rsidRPr="003A0449">
        <w:rPr>
          <w:rFonts w:cs="Times New Roman"/>
          <w:szCs w:val="24"/>
        </w:rPr>
        <w:t xml:space="preserve">, </w:t>
      </w:r>
      <w:r w:rsidR="00E562B1">
        <w:rPr>
          <w:rFonts w:cs="Times New Roman"/>
          <w:szCs w:val="24"/>
        </w:rPr>
        <w:t>respondent’s legal practitioners</w:t>
      </w:r>
      <w:r w:rsidR="0003103C" w:rsidRPr="003A0449">
        <w:rPr>
          <w:rFonts w:cs="Times New Roman"/>
          <w:szCs w:val="24"/>
        </w:rPr>
        <w:t xml:space="preserve"> </w:t>
      </w:r>
    </w:p>
    <w:sectPr w:rsidR="0003103C" w:rsidRPr="003A044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94D" w:rsidRDefault="003C294D" w:rsidP="005C328E">
      <w:pPr>
        <w:spacing w:before="0" w:after="0" w:line="240" w:lineRule="auto"/>
      </w:pPr>
      <w:r>
        <w:separator/>
      </w:r>
    </w:p>
  </w:endnote>
  <w:endnote w:type="continuationSeparator" w:id="0">
    <w:p w:rsidR="003C294D" w:rsidRDefault="003C294D" w:rsidP="005C32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94D" w:rsidRDefault="003C294D" w:rsidP="005C328E">
      <w:pPr>
        <w:spacing w:before="0" w:after="0" w:line="240" w:lineRule="auto"/>
      </w:pPr>
      <w:r>
        <w:separator/>
      </w:r>
    </w:p>
  </w:footnote>
  <w:footnote w:type="continuationSeparator" w:id="0">
    <w:p w:rsidR="003C294D" w:rsidRDefault="003C294D" w:rsidP="005C32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019197056"/>
      <w:docPartObj>
        <w:docPartGallery w:val="Page Numbers (Top of Page)"/>
        <w:docPartUnique/>
      </w:docPartObj>
    </w:sdtPr>
    <w:sdtEndPr>
      <w:rPr>
        <w:noProof/>
      </w:rPr>
    </w:sdtEndPr>
    <w:sdtContent>
      <w:p w:rsidR="005C328E" w:rsidRPr="003A0449" w:rsidRDefault="005C328E" w:rsidP="005C328E">
        <w:pPr>
          <w:pStyle w:val="NoSpacing"/>
          <w:jc w:val="right"/>
          <w:rPr>
            <w:rFonts w:asciiTheme="minorHAnsi" w:hAnsiTheme="minorHAnsi" w:cstheme="minorHAnsi"/>
            <w:noProof/>
          </w:rPr>
        </w:pPr>
        <w:r w:rsidRPr="003A0449">
          <w:rPr>
            <w:rFonts w:asciiTheme="minorHAnsi" w:hAnsiTheme="minorHAnsi" w:cstheme="minorHAnsi"/>
          </w:rPr>
          <w:fldChar w:fldCharType="begin"/>
        </w:r>
        <w:r w:rsidRPr="003A0449">
          <w:rPr>
            <w:rFonts w:asciiTheme="minorHAnsi" w:hAnsiTheme="minorHAnsi" w:cstheme="minorHAnsi"/>
          </w:rPr>
          <w:instrText xml:space="preserve"> PAGE   \* MERGEFORMAT </w:instrText>
        </w:r>
        <w:r w:rsidRPr="003A0449">
          <w:rPr>
            <w:rFonts w:asciiTheme="minorHAnsi" w:hAnsiTheme="minorHAnsi" w:cstheme="minorHAnsi"/>
          </w:rPr>
          <w:fldChar w:fldCharType="separate"/>
        </w:r>
        <w:r w:rsidR="005D4285">
          <w:rPr>
            <w:rFonts w:asciiTheme="minorHAnsi" w:hAnsiTheme="minorHAnsi" w:cstheme="minorHAnsi"/>
            <w:noProof/>
          </w:rPr>
          <w:t>1</w:t>
        </w:r>
        <w:r w:rsidRPr="003A0449">
          <w:rPr>
            <w:rFonts w:asciiTheme="minorHAnsi" w:hAnsiTheme="minorHAnsi" w:cstheme="minorHAnsi"/>
            <w:noProof/>
          </w:rPr>
          <w:fldChar w:fldCharType="end"/>
        </w:r>
      </w:p>
      <w:p w:rsidR="005C328E" w:rsidRPr="003A0449" w:rsidRDefault="005C328E" w:rsidP="005C328E">
        <w:pPr>
          <w:pStyle w:val="NoSpacing"/>
          <w:jc w:val="right"/>
          <w:rPr>
            <w:rFonts w:asciiTheme="minorHAnsi" w:hAnsiTheme="minorHAnsi" w:cstheme="minorHAnsi"/>
            <w:noProof/>
          </w:rPr>
        </w:pPr>
        <w:r w:rsidRPr="003A0449">
          <w:rPr>
            <w:rFonts w:asciiTheme="minorHAnsi" w:hAnsiTheme="minorHAnsi" w:cstheme="minorHAnsi"/>
            <w:noProof/>
          </w:rPr>
          <w:t>HH</w:t>
        </w:r>
        <w:r w:rsidR="00DA73A0">
          <w:rPr>
            <w:rFonts w:asciiTheme="minorHAnsi" w:hAnsiTheme="minorHAnsi" w:cstheme="minorHAnsi"/>
            <w:noProof/>
          </w:rPr>
          <w:t xml:space="preserve"> 31-22</w:t>
        </w:r>
      </w:p>
      <w:p w:rsidR="005C328E" w:rsidRPr="003A0449" w:rsidRDefault="005C328E" w:rsidP="005C328E">
        <w:pPr>
          <w:pStyle w:val="NoSpacing"/>
          <w:jc w:val="right"/>
          <w:rPr>
            <w:rFonts w:asciiTheme="minorHAnsi" w:hAnsiTheme="minorHAnsi" w:cstheme="minorHAnsi"/>
            <w:noProof/>
          </w:rPr>
        </w:pPr>
        <w:r w:rsidRPr="003A0449">
          <w:rPr>
            <w:rFonts w:asciiTheme="minorHAnsi" w:hAnsiTheme="minorHAnsi" w:cstheme="minorHAnsi"/>
            <w:noProof/>
          </w:rPr>
          <w:t>ITC 01/17</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DC3"/>
    <w:multiLevelType w:val="hybridMultilevel"/>
    <w:tmpl w:val="848C88D2"/>
    <w:lvl w:ilvl="0" w:tplc="D1C6382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C17"/>
    <w:rsid w:val="0001156A"/>
    <w:rsid w:val="0003103C"/>
    <w:rsid w:val="000A63E5"/>
    <w:rsid w:val="000D76C1"/>
    <w:rsid w:val="00131DB1"/>
    <w:rsid w:val="00140EEC"/>
    <w:rsid w:val="00162C15"/>
    <w:rsid w:val="00167D02"/>
    <w:rsid w:val="001B4C93"/>
    <w:rsid w:val="001C53DE"/>
    <w:rsid w:val="001C5C42"/>
    <w:rsid w:val="001E4D89"/>
    <w:rsid w:val="00223694"/>
    <w:rsid w:val="002523A6"/>
    <w:rsid w:val="00271D53"/>
    <w:rsid w:val="002772EE"/>
    <w:rsid w:val="002A6093"/>
    <w:rsid w:val="00313DB1"/>
    <w:rsid w:val="00333222"/>
    <w:rsid w:val="00380084"/>
    <w:rsid w:val="003A0449"/>
    <w:rsid w:val="003A6B23"/>
    <w:rsid w:val="003C294D"/>
    <w:rsid w:val="003E52F4"/>
    <w:rsid w:val="003F6259"/>
    <w:rsid w:val="00436050"/>
    <w:rsid w:val="00464D46"/>
    <w:rsid w:val="004655A7"/>
    <w:rsid w:val="0047139C"/>
    <w:rsid w:val="00527E91"/>
    <w:rsid w:val="0054110E"/>
    <w:rsid w:val="00556354"/>
    <w:rsid w:val="00584F4E"/>
    <w:rsid w:val="005A3882"/>
    <w:rsid w:val="005C328E"/>
    <w:rsid w:val="005D4285"/>
    <w:rsid w:val="005F7B5D"/>
    <w:rsid w:val="00666B28"/>
    <w:rsid w:val="006A58F1"/>
    <w:rsid w:val="006B5262"/>
    <w:rsid w:val="006C11AF"/>
    <w:rsid w:val="00711460"/>
    <w:rsid w:val="00736FB5"/>
    <w:rsid w:val="00775E51"/>
    <w:rsid w:val="00784B7C"/>
    <w:rsid w:val="007945B9"/>
    <w:rsid w:val="007B7C17"/>
    <w:rsid w:val="007D64AE"/>
    <w:rsid w:val="0080120E"/>
    <w:rsid w:val="008A6659"/>
    <w:rsid w:val="008D3D1F"/>
    <w:rsid w:val="008E504E"/>
    <w:rsid w:val="008F0133"/>
    <w:rsid w:val="008F26E3"/>
    <w:rsid w:val="00925DEA"/>
    <w:rsid w:val="00971EE7"/>
    <w:rsid w:val="00990F21"/>
    <w:rsid w:val="009A497F"/>
    <w:rsid w:val="009E2BB8"/>
    <w:rsid w:val="00A7648E"/>
    <w:rsid w:val="00A94BB5"/>
    <w:rsid w:val="00AC5049"/>
    <w:rsid w:val="00B9345D"/>
    <w:rsid w:val="00BB1CDE"/>
    <w:rsid w:val="00BC5B7C"/>
    <w:rsid w:val="00BD5215"/>
    <w:rsid w:val="00BF2FDB"/>
    <w:rsid w:val="00C01F6C"/>
    <w:rsid w:val="00C070E8"/>
    <w:rsid w:val="00C17B7E"/>
    <w:rsid w:val="00C254FF"/>
    <w:rsid w:val="00C55BBC"/>
    <w:rsid w:val="00CB40E5"/>
    <w:rsid w:val="00D00405"/>
    <w:rsid w:val="00D017BB"/>
    <w:rsid w:val="00D15CDB"/>
    <w:rsid w:val="00D429F7"/>
    <w:rsid w:val="00D45F3E"/>
    <w:rsid w:val="00DA73A0"/>
    <w:rsid w:val="00DC4696"/>
    <w:rsid w:val="00E0110A"/>
    <w:rsid w:val="00E562B1"/>
    <w:rsid w:val="00E62FE1"/>
    <w:rsid w:val="00E74BD5"/>
    <w:rsid w:val="00EB4F72"/>
    <w:rsid w:val="00EB5D68"/>
    <w:rsid w:val="00EF0867"/>
    <w:rsid w:val="00F06ED5"/>
    <w:rsid w:val="00F31077"/>
    <w:rsid w:val="00F42A34"/>
    <w:rsid w:val="00F42D01"/>
    <w:rsid w:val="00F54E2E"/>
    <w:rsid w:val="00F721C4"/>
    <w:rsid w:val="00FA10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7687B-4714-45AA-94DF-F733CDD0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C17"/>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C17"/>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313DB1"/>
    <w:pPr>
      <w:ind w:left="720"/>
      <w:contextualSpacing/>
    </w:pPr>
  </w:style>
  <w:style w:type="paragraph" w:styleId="Header">
    <w:name w:val="header"/>
    <w:basedOn w:val="Normal"/>
    <w:link w:val="HeaderChar"/>
    <w:uiPriority w:val="99"/>
    <w:unhideWhenUsed/>
    <w:rsid w:val="005C328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C328E"/>
    <w:rPr>
      <w:rFonts w:ascii="Times New Roman" w:hAnsi="Times New Roman"/>
      <w:sz w:val="24"/>
      <w:lang w:val="en-US"/>
    </w:rPr>
  </w:style>
  <w:style w:type="paragraph" w:styleId="Footer">
    <w:name w:val="footer"/>
    <w:basedOn w:val="Normal"/>
    <w:link w:val="FooterChar"/>
    <w:uiPriority w:val="99"/>
    <w:unhideWhenUsed/>
    <w:rsid w:val="005C328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C328E"/>
    <w:rPr>
      <w:rFonts w:ascii="Times New Roman" w:hAnsi="Times New Roman"/>
      <w:sz w:val="24"/>
      <w:lang w:val="en-US"/>
    </w:rPr>
  </w:style>
  <w:style w:type="paragraph" w:styleId="BalloonText">
    <w:name w:val="Balloon Text"/>
    <w:basedOn w:val="Normal"/>
    <w:link w:val="BalloonTextChar"/>
    <w:uiPriority w:val="99"/>
    <w:semiHidden/>
    <w:unhideWhenUsed/>
    <w:rsid w:val="00DA73A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3A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2022-01-18T06:29:00Z</cp:lastPrinted>
  <dcterms:created xsi:type="dcterms:W3CDTF">2022-01-21T08:28:00Z</dcterms:created>
  <dcterms:modified xsi:type="dcterms:W3CDTF">2022-01-21T08:28:00Z</dcterms:modified>
</cp:coreProperties>
</file>