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5F" w:rsidRPr="00A81EDB" w:rsidRDefault="00066DEB" w:rsidP="00A81EDB">
      <w:pPr>
        <w:spacing w:after="0" w:line="240" w:lineRule="auto"/>
        <w:rPr>
          <w:rFonts w:ascii="Times New Roman" w:hAnsi="Times New Roman" w:cs="Times New Roman"/>
          <w:sz w:val="24"/>
          <w:szCs w:val="24"/>
        </w:rPr>
      </w:pPr>
      <w:r w:rsidRPr="00A81EDB">
        <w:rPr>
          <w:rFonts w:ascii="Times New Roman" w:hAnsi="Times New Roman" w:cs="Times New Roman"/>
          <w:sz w:val="24"/>
          <w:szCs w:val="24"/>
        </w:rPr>
        <w:t>LYNETTE MUCHANETA SHUMBA</w:t>
      </w:r>
    </w:p>
    <w:p w:rsidR="00DB11FF" w:rsidRPr="00A81EDB" w:rsidRDefault="00066DEB" w:rsidP="00A81ED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A81EDB">
        <w:rPr>
          <w:rFonts w:ascii="Times New Roman" w:hAnsi="Times New Roman" w:cs="Times New Roman"/>
          <w:sz w:val="24"/>
          <w:szCs w:val="24"/>
        </w:rPr>
        <w:t>ersus</w:t>
      </w:r>
    </w:p>
    <w:p w:rsidR="00DB11FF" w:rsidRPr="00A81EDB" w:rsidRDefault="00066DEB" w:rsidP="00A81EDB">
      <w:pPr>
        <w:spacing w:after="0" w:line="240" w:lineRule="auto"/>
        <w:rPr>
          <w:rFonts w:ascii="Times New Roman" w:hAnsi="Times New Roman" w:cs="Times New Roman"/>
          <w:sz w:val="24"/>
          <w:szCs w:val="24"/>
        </w:rPr>
      </w:pPr>
      <w:r w:rsidRPr="00A81EDB">
        <w:rPr>
          <w:rFonts w:ascii="Times New Roman" w:hAnsi="Times New Roman" w:cs="Times New Roman"/>
          <w:sz w:val="24"/>
          <w:szCs w:val="24"/>
        </w:rPr>
        <w:t>THE TRUSTEES OF THE GEOFFREY JEKYLL TRUST</w:t>
      </w:r>
    </w:p>
    <w:p w:rsidR="00DB11FF" w:rsidRPr="00A81EDB" w:rsidRDefault="00066DEB" w:rsidP="00A81ED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A81EDB">
        <w:rPr>
          <w:rFonts w:ascii="Times New Roman" w:hAnsi="Times New Roman" w:cs="Times New Roman"/>
          <w:sz w:val="24"/>
          <w:szCs w:val="24"/>
        </w:rPr>
        <w:t xml:space="preserve">nd </w:t>
      </w:r>
    </w:p>
    <w:p w:rsidR="00DB11FF" w:rsidRPr="00A81EDB" w:rsidRDefault="00066DEB" w:rsidP="00A81EDB">
      <w:pPr>
        <w:spacing w:after="0" w:line="240" w:lineRule="auto"/>
        <w:rPr>
          <w:rFonts w:ascii="Times New Roman" w:hAnsi="Times New Roman" w:cs="Times New Roman"/>
          <w:sz w:val="24"/>
          <w:szCs w:val="24"/>
        </w:rPr>
      </w:pPr>
      <w:r w:rsidRPr="00A81EDB">
        <w:rPr>
          <w:rFonts w:ascii="Times New Roman" w:hAnsi="Times New Roman" w:cs="Times New Roman"/>
          <w:sz w:val="24"/>
          <w:szCs w:val="24"/>
        </w:rPr>
        <w:t>THE SHERIFF OF THE HIGH COURT OF ZIMBABWE</w:t>
      </w:r>
    </w:p>
    <w:p w:rsidR="00DB11FF" w:rsidRPr="00A81EDB" w:rsidRDefault="00066DEB" w:rsidP="00A81ED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A81EDB">
        <w:rPr>
          <w:rFonts w:ascii="Times New Roman" w:hAnsi="Times New Roman" w:cs="Times New Roman"/>
          <w:sz w:val="24"/>
          <w:szCs w:val="24"/>
        </w:rPr>
        <w:t xml:space="preserve">nd </w:t>
      </w:r>
    </w:p>
    <w:p w:rsidR="00DB11FF" w:rsidRPr="00A81EDB" w:rsidRDefault="00066DEB" w:rsidP="00A81EDB">
      <w:pPr>
        <w:spacing w:after="0" w:line="240" w:lineRule="auto"/>
        <w:jc w:val="both"/>
        <w:rPr>
          <w:rFonts w:ascii="Times New Roman" w:hAnsi="Times New Roman" w:cs="Times New Roman"/>
          <w:sz w:val="24"/>
          <w:szCs w:val="24"/>
        </w:rPr>
      </w:pPr>
      <w:r w:rsidRPr="00A81EDB">
        <w:rPr>
          <w:rFonts w:ascii="Times New Roman" w:hAnsi="Times New Roman" w:cs="Times New Roman"/>
          <w:sz w:val="24"/>
          <w:szCs w:val="24"/>
        </w:rPr>
        <w:t>THE REGISTRAR OF T</w:t>
      </w:r>
      <w:bookmarkStart w:id="0" w:name="_GoBack"/>
      <w:bookmarkEnd w:id="0"/>
      <w:r w:rsidRPr="00A81EDB">
        <w:rPr>
          <w:rFonts w:ascii="Times New Roman" w:hAnsi="Times New Roman" w:cs="Times New Roman"/>
          <w:sz w:val="24"/>
          <w:szCs w:val="24"/>
        </w:rPr>
        <w:t>HE HIGH COURT</w:t>
      </w:r>
    </w:p>
    <w:p w:rsidR="00DB11FF" w:rsidRDefault="00DB11FF" w:rsidP="00A81EDB">
      <w:pPr>
        <w:spacing w:after="0" w:line="240" w:lineRule="auto"/>
        <w:jc w:val="both"/>
        <w:rPr>
          <w:rFonts w:ascii="Times New Roman" w:hAnsi="Times New Roman" w:cs="Times New Roman"/>
          <w:sz w:val="24"/>
          <w:szCs w:val="24"/>
        </w:rPr>
      </w:pPr>
    </w:p>
    <w:p w:rsidR="00A81EDB" w:rsidRDefault="00A81EDB" w:rsidP="00A81EDB">
      <w:pPr>
        <w:spacing w:after="0" w:line="240" w:lineRule="auto"/>
        <w:jc w:val="both"/>
        <w:rPr>
          <w:rFonts w:ascii="Times New Roman" w:hAnsi="Times New Roman" w:cs="Times New Roman"/>
          <w:sz w:val="24"/>
          <w:szCs w:val="24"/>
        </w:rPr>
      </w:pPr>
    </w:p>
    <w:p w:rsidR="00A81EDB" w:rsidRDefault="00A81EDB" w:rsidP="00A81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81EDB" w:rsidRDefault="00A81EDB" w:rsidP="00A81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A81EDB" w:rsidRDefault="00A81EDB" w:rsidP="00A81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D1E9D">
        <w:rPr>
          <w:rFonts w:ascii="Times New Roman" w:hAnsi="Times New Roman" w:cs="Times New Roman"/>
          <w:sz w:val="24"/>
          <w:szCs w:val="24"/>
        </w:rPr>
        <w:t xml:space="preserve">23 June </w:t>
      </w:r>
      <w:r>
        <w:rPr>
          <w:rFonts w:ascii="Times New Roman" w:hAnsi="Times New Roman" w:cs="Times New Roman"/>
          <w:sz w:val="24"/>
          <w:szCs w:val="24"/>
        </w:rPr>
        <w:t xml:space="preserve">&amp; </w:t>
      </w:r>
      <w:r w:rsidR="002D1E9D">
        <w:rPr>
          <w:rFonts w:ascii="Times New Roman" w:hAnsi="Times New Roman" w:cs="Times New Roman"/>
          <w:sz w:val="24"/>
          <w:szCs w:val="24"/>
        </w:rPr>
        <w:t>30 July 2021</w:t>
      </w:r>
    </w:p>
    <w:p w:rsidR="00A81EDB" w:rsidRDefault="00A81EDB" w:rsidP="00A81EDB">
      <w:pPr>
        <w:spacing w:after="0" w:line="240" w:lineRule="auto"/>
        <w:jc w:val="both"/>
        <w:rPr>
          <w:rFonts w:ascii="Times New Roman" w:hAnsi="Times New Roman" w:cs="Times New Roman"/>
          <w:sz w:val="24"/>
          <w:szCs w:val="24"/>
        </w:rPr>
      </w:pPr>
    </w:p>
    <w:p w:rsidR="00552213" w:rsidRPr="00A81EDB" w:rsidRDefault="00552213" w:rsidP="00A81EDB">
      <w:pPr>
        <w:spacing w:after="0" w:line="240" w:lineRule="auto"/>
        <w:jc w:val="both"/>
        <w:rPr>
          <w:rFonts w:ascii="Times New Roman" w:hAnsi="Times New Roman" w:cs="Times New Roman"/>
          <w:sz w:val="24"/>
          <w:szCs w:val="24"/>
        </w:rPr>
      </w:pPr>
    </w:p>
    <w:p w:rsidR="00DB11FF" w:rsidRPr="00552213" w:rsidRDefault="00DB11FF" w:rsidP="00A81EDB">
      <w:pPr>
        <w:spacing w:after="0" w:line="240" w:lineRule="auto"/>
        <w:jc w:val="both"/>
        <w:rPr>
          <w:rFonts w:ascii="Times New Roman" w:hAnsi="Times New Roman" w:cs="Times New Roman"/>
          <w:b/>
          <w:sz w:val="24"/>
          <w:szCs w:val="24"/>
        </w:rPr>
      </w:pPr>
      <w:r w:rsidRPr="00552213">
        <w:rPr>
          <w:rFonts w:ascii="Times New Roman" w:hAnsi="Times New Roman" w:cs="Times New Roman"/>
          <w:b/>
          <w:sz w:val="24"/>
          <w:szCs w:val="24"/>
        </w:rPr>
        <w:t>Opposed Court Application</w:t>
      </w:r>
    </w:p>
    <w:p w:rsidR="00A81EDB" w:rsidRDefault="00A81EDB" w:rsidP="00A81EDB">
      <w:pPr>
        <w:spacing w:after="0" w:line="240" w:lineRule="auto"/>
        <w:jc w:val="both"/>
        <w:rPr>
          <w:rFonts w:ascii="Times New Roman" w:hAnsi="Times New Roman" w:cs="Times New Roman"/>
          <w:sz w:val="24"/>
          <w:szCs w:val="24"/>
        </w:rPr>
      </w:pPr>
    </w:p>
    <w:p w:rsidR="00552213" w:rsidRPr="002D1E9D" w:rsidRDefault="00552213" w:rsidP="00A81EDB">
      <w:pPr>
        <w:spacing w:after="0" w:line="240" w:lineRule="auto"/>
        <w:jc w:val="both"/>
        <w:rPr>
          <w:rFonts w:ascii="Times New Roman" w:hAnsi="Times New Roman" w:cs="Times New Roman"/>
          <w:sz w:val="24"/>
          <w:szCs w:val="24"/>
        </w:rPr>
      </w:pPr>
    </w:p>
    <w:p w:rsidR="00DB11FF" w:rsidRPr="00A81EDB" w:rsidRDefault="00DB11FF" w:rsidP="00A81EDB">
      <w:pPr>
        <w:spacing w:after="0" w:line="240" w:lineRule="auto"/>
        <w:jc w:val="both"/>
        <w:rPr>
          <w:rFonts w:ascii="Times New Roman" w:hAnsi="Times New Roman" w:cs="Times New Roman"/>
          <w:sz w:val="24"/>
          <w:szCs w:val="24"/>
        </w:rPr>
      </w:pPr>
      <w:r w:rsidRPr="00A81EDB">
        <w:rPr>
          <w:rFonts w:ascii="Times New Roman" w:hAnsi="Times New Roman" w:cs="Times New Roman"/>
          <w:i/>
          <w:sz w:val="24"/>
          <w:szCs w:val="24"/>
        </w:rPr>
        <w:t>N Mugiya</w:t>
      </w:r>
      <w:r w:rsidRPr="00A81EDB">
        <w:rPr>
          <w:rFonts w:ascii="Times New Roman" w:hAnsi="Times New Roman" w:cs="Times New Roman"/>
          <w:sz w:val="24"/>
          <w:szCs w:val="24"/>
        </w:rPr>
        <w:t xml:space="preserve"> for the applicant</w:t>
      </w:r>
    </w:p>
    <w:p w:rsidR="00DB11FF" w:rsidRPr="00A81EDB" w:rsidRDefault="00DB11FF" w:rsidP="00A81EDB">
      <w:pPr>
        <w:spacing w:after="0" w:line="240" w:lineRule="auto"/>
        <w:jc w:val="both"/>
        <w:rPr>
          <w:rFonts w:ascii="Times New Roman" w:hAnsi="Times New Roman" w:cs="Times New Roman"/>
          <w:sz w:val="24"/>
          <w:szCs w:val="24"/>
        </w:rPr>
      </w:pPr>
      <w:r w:rsidRPr="00A81EDB">
        <w:rPr>
          <w:rFonts w:ascii="Times New Roman" w:hAnsi="Times New Roman" w:cs="Times New Roman"/>
          <w:i/>
          <w:sz w:val="24"/>
          <w:szCs w:val="24"/>
        </w:rPr>
        <w:t>K Ncube</w:t>
      </w:r>
      <w:r w:rsidRPr="00A81EDB">
        <w:rPr>
          <w:rFonts w:ascii="Times New Roman" w:hAnsi="Times New Roman" w:cs="Times New Roman"/>
          <w:sz w:val="24"/>
          <w:szCs w:val="24"/>
        </w:rPr>
        <w:t xml:space="preserve"> for the 1</w:t>
      </w:r>
      <w:r w:rsidRPr="00A81EDB">
        <w:rPr>
          <w:rFonts w:ascii="Times New Roman" w:hAnsi="Times New Roman" w:cs="Times New Roman"/>
          <w:sz w:val="24"/>
          <w:szCs w:val="24"/>
          <w:vertAlign w:val="superscript"/>
        </w:rPr>
        <w:t>st</w:t>
      </w:r>
      <w:r w:rsidRPr="00A81EDB">
        <w:rPr>
          <w:rFonts w:ascii="Times New Roman" w:hAnsi="Times New Roman" w:cs="Times New Roman"/>
          <w:sz w:val="24"/>
          <w:szCs w:val="24"/>
        </w:rPr>
        <w:t xml:space="preserve"> respondent</w:t>
      </w:r>
    </w:p>
    <w:p w:rsidR="00DB11FF" w:rsidRDefault="00DB11FF" w:rsidP="00A81EDB">
      <w:pPr>
        <w:spacing w:after="0" w:line="240" w:lineRule="auto"/>
        <w:jc w:val="both"/>
        <w:rPr>
          <w:rFonts w:ascii="Times New Roman" w:hAnsi="Times New Roman" w:cs="Times New Roman"/>
          <w:sz w:val="24"/>
          <w:szCs w:val="24"/>
        </w:rPr>
      </w:pPr>
      <w:r w:rsidRPr="00A81EDB">
        <w:rPr>
          <w:rFonts w:ascii="Times New Roman" w:hAnsi="Times New Roman" w:cs="Times New Roman"/>
          <w:sz w:val="24"/>
          <w:szCs w:val="24"/>
        </w:rPr>
        <w:t>No appearance for the 2</w:t>
      </w:r>
      <w:r w:rsidRPr="00A81EDB">
        <w:rPr>
          <w:rFonts w:ascii="Times New Roman" w:hAnsi="Times New Roman" w:cs="Times New Roman"/>
          <w:sz w:val="24"/>
          <w:szCs w:val="24"/>
          <w:vertAlign w:val="superscript"/>
        </w:rPr>
        <w:t>nd</w:t>
      </w:r>
      <w:r w:rsidRPr="00A81EDB">
        <w:rPr>
          <w:rFonts w:ascii="Times New Roman" w:hAnsi="Times New Roman" w:cs="Times New Roman"/>
          <w:sz w:val="24"/>
          <w:szCs w:val="24"/>
        </w:rPr>
        <w:t xml:space="preserve"> and 3</w:t>
      </w:r>
      <w:r w:rsidRPr="00A81EDB">
        <w:rPr>
          <w:rFonts w:ascii="Times New Roman" w:hAnsi="Times New Roman" w:cs="Times New Roman"/>
          <w:sz w:val="24"/>
          <w:szCs w:val="24"/>
          <w:vertAlign w:val="superscript"/>
        </w:rPr>
        <w:t>rd</w:t>
      </w:r>
      <w:r w:rsidRPr="00A81EDB">
        <w:rPr>
          <w:rFonts w:ascii="Times New Roman" w:hAnsi="Times New Roman" w:cs="Times New Roman"/>
          <w:sz w:val="24"/>
          <w:szCs w:val="24"/>
        </w:rPr>
        <w:t xml:space="preserve"> respondents</w:t>
      </w:r>
    </w:p>
    <w:p w:rsidR="00A81EDB" w:rsidRPr="00A81EDB" w:rsidRDefault="00A81EDB" w:rsidP="00A81EDB">
      <w:pPr>
        <w:spacing w:after="0" w:line="240" w:lineRule="auto"/>
        <w:jc w:val="both"/>
        <w:rPr>
          <w:rFonts w:ascii="Times New Roman" w:hAnsi="Times New Roman" w:cs="Times New Roman"/>
          <w:sz w:val="24"/>
          <w:szCs w:val="24"/>
        </w:rPr>
      </w:pPr>
    </w:p>
    <w:p w:rsidR="00DB11FF" w:rsidRPr="00A81EDB" w:rsidRDefault="00DB11FF" w:rsidP="00A81EDB">
      <w:pPr>
        <w:spacing w:after="0" w:line="240" w:lineRule="auto"/>
        <w:jc w:val="both"/>
        <w:rPr>
          <w:rFonts w:ascii="Times New Roman" w:hAnsi="Times New Roman" w:cs="Times New Roman"/>
          <w:sz w:val="24"/>
          <w:szCs w:val="24"/>
        </w:rPr>
      </w:pPr>
    </w:p>
    <w:p w:rsidR="00DB11FF" w:rsidRPr="008F65DC" w:rsidRDefault="008F65DC" w:rsidP="00A81EDB">
      <w:pPr>
        <w:spacing w:after="0" w:line="360" w:lineRule="auto"/>
        <w:ind w:firstLine="720"/>
        <w:jc w:val="both"/>
        <w:rPr>
          <w:rFonts w:ascii="Times New Roman" w:hAnsi="Times New Roman" w:cs="Times New Roman"/>
          <w:sz w:val="24"/>
          <w:szCs w:val="24"/>
        </w:rPr>
      </w:pPr>
      <w:r w:rsidRPr="00A81EDB">
        <w:rPr>
          <w:rFonts w:ascii="Times New Roman" w:hAnsi="Times New Roman" w:cs="Times New Roman"/>
          <w:sz w:val="24"/>
          <w:szCs w:val="24"/>
        </w:rPr>
        <w:t xml:space="preserve">MUZOFA </w:t>
      </w:r>
      <w:r w:rsidR="00C85315" w:rsidRPr="00A81EDB">
        <w:rPr>
          <w:rFonts w:ascii="Times New Roman" w:hAnsi="Times New Roman" w:cs="Times New Roman"/>
          <w:sz w:val="24"/>
          <w:szCs w:val="24"/>
        </w:rPr>
        <w:t>J:</w:t>
      </w:r>
      <w:r w:rsidRPr="00A81EDB">
        <w:rPr>
          <w:rFonts w:ascii="Times New Roman" w:hAnsi="Times New Roman" w:cs="Times New Roman"/>
          <w:sz w:val="24"/>
          <w:szCs w:val="24"/>
        </w:rPr>
        <w:t xml:space="preserve"> </w:t>
      </w:r>
      <w:r w:rsidR="00DB11FF" w:rsidRPr="00A81EDB">
        <w:rPr>
          <w:rFonts w:ascii="Times New Roman" w:hAnsi="Times New Roman" w:cs="Times New Roman"/>
          <w:sz w:val="24"/>
          <w:szCs w:val="24"/>
        </w:rPr>
        <w:t xml:space="preserve">In June </w:t>
      </w:r>
      <w:r w:rsidR="00C85315" w:rsidRPr="00A81EDB">
        <w:rPr>
          <w:rFonts w:ascii="Times New Roman" w:hAnsi="Times New Roman" w:cs="Times New Roman"/>
          <w:sz w:val="24"/>
          <w:szCs w:val="24"/>
        </w:rPr>
        <w:t>2020 judgement</w:t>
      </w:r>
      <w:r w:rsidR="00A84A7B" w:rsidRPr="00A81EDB">
        <w:rPr>
          <w:rFonts w:ascii="Times New Roman" w:hAnsi="Times New Roman" w:cs="Times New Roman"/>
          <w:sz w:val="24"/>
          <w:szCs w:val="24"/>
        </w:rPr>
        <w:t xml:space="preserve"> was entered in favour of </w:t>
      </w:r>
      <w:r w:rsidR="00A81EDB">
        <w:rPr>
          <w:rFonts w:ascii="Times New Roman" w:hAnsi="Times New Roman" w:cs="Times New Roman"/>
          <w:sz w:val="24"/>
          <w:szCs w:val="24"/>
        </w:rPr>
        <w:t xml:space="preserve">the </w:t>
      </w:r>
      <w:r w:rsidR="002D1E9D">
        <w:rPr>
          <w:rFonts w:ascii="Times New Roman" w:hAnsi="Times New Roman" w:cs="Times New Roman"/>
          <w:sz w:val="24"/>
          <w:szCs w:val="24"/>
        </w:rPr>
        <w:t>1</w:t>
      </w:r>
      <w:r w:rsidR="002D1E9D" w:rsidRPr="00A81EDB">
        <w:rPr>
          <w:rFonts w:ascii="Times New Roman" w:hAnsi="Times New Roman" w:cs="Times New Roman"/>
          <w:sz w:val="24"/>
          <w:szCs w:val="24"/>
          <w:vertAlign w:val="superscript"/>
        </w:rPr>
        <w:t>st</w:t>
      </w:r>
      <w:r w:rsidR="002D1E9D">
        <w:rPr>
          <w:rFonts w:ascii="Times New Roman" w:hAnsi="Times New Roman" w:cs="Times New Roman"/>
          <w:sz w:val="24"/>
          <w:szCs w:val="24"/>
        </w:rPr>
        <w:t xml:space="preserve"> respondent in the sum of </w:t>
      </w:r>
      <w:r w:rsidR="00CD1CEA" w:rsidRPr="00A81EDB">
        <w:rPr>
          <w:rFonts w:ascii="Times New Roman" w:hAnsi="Times New Roman" w:cs="Times New Roman"/>
          <w:sz w:val="24"/>
          <w:szCs w:val="24"/>
        </w:rPr>
        <w:t>US $ 70 000 and 134 977.92 pounds under c</w:t>
      </w:r>
      <w:r w:rsidR="0039654C" w:rsidRPr="00A81EDB">
        <w:rPr>
          <w:rFonts w:ascii="Times New Roman" w:hAnsi="Times New Roman" w:cs="Times New Roman"/>
          <w:sz w:val="24"/>
          <w:szCs w:val="24"/>
        </w:rPr>
        <w:t>ase number</w:t>
      </w:r>
      <w:r w:rsidR="00C85315" w:rsidRPr="00A81EDB">
        <w:rPr>
          <w:rFonts w:ascii="Times New Roman" w:hAnsi="Times New Roman" w:cs="Times New Roman"/>
          <w:sz w:val="24"/>
          <w:szCs w:val="24"/>
        </w:rPr>
        <w:t xml:space="preserve"> HC</w:t>
      </w:r>
      <w:r w:rsidR="0039654C" w:rsidRPr="00A81EDB">
        <w:rPr>
          <w:rFonts w:ascii="Times New Roman" w:hAnsi="Times New Roman" w:cs="Times New Roman"/>
          <w:sz w:val="24"/>
          <w:szCs w:val="24"/>
        </w:rPr>
        <w:t xml:space="preserve"> 8500/19</w:t>
      </w:r>
      <w:r w:rsidR="00C85315" w:rsidRPr="00A81EDB">
        <w:rPr>
          <w:rFonts w:ascii="Times New Roman" w:hAnsi="Times New Roman" w:cs="Times New Roman"/>
          <w:sz w:val="24"/>
          <w:szCs w:val="24"/>
        </w:rPr>
        <w:t xml:space="preserve"> (h</w:t>
      </w:r>
      <w:r w:rsidR="00C85315">
        <w:rPr>
          <w:rFonts w:ascii="Times New Roman" w:hAnsi="Times New Roman" w:cs="Times New Roman"/>
          <w:sz w:val="24"/>
          <w:szCs w:val="24"/>
        </w:rPr>
        <w:t>ereinafter referred to as the court order)</w:t>
      </w:r>
      <w:r w:rsidR="0039654C" w:rsidRPr="008F65DC">
        <w:rPr>
          <w:rFonts w:ascii="Times New Roman" w:hAnsi="Times New Roman" w:cs="Times New Roman"/>
          <w:sz w:val="24"/>
          <w:szCs w:val="24"/>
        </w:rPr>
        <w:t>. The applicant has not appealed the decision.</w:t>
      </w:r>
      <w:r w:rsidR="00C85315">
        <w:rPr>
          <w:rFonts w:ascii="Times New Roman" w:hAnsi="Times New Roman" w:cs="Times New Roman"/>
          <w:sz w:val="24"/>
          <w:szCs w:val="24"/>
        </w:rPr>
        <w:t xml:space="preserve"> When the amounts were not paid</w:t>
      </w:r>
      <w:r w:rsidR="002D1E9D">
        <w:rPr>
          <w:rFonts w:ascii="Times New Roman" w:hAnsi="Times New Roman" w:cs="Times New Roman"/>
          <w:sz w:val="24"/>
          <w:szCs w:val="24"/>
        </w:rPr>
        <w:t xml:space="preserve"> and the 1</w:t>
      </w:r>
      <w:r w:rsidR="002D1E9D" w:rsidRPr="002D1E9D">
        <w:rPr>
          <w:rFonts w:ascii="Times New Roman" w:hAnsi="Times New Roman" w:cs="Times New Roman"/>
          <w:sz w:val="24"/>
          <w:szCs w:val="24"/>
          <w:vertAlign w:val="superscript"/>
        </w:rPr>
        <w:t>st</w:t>
      </w:r>
      <w:r w:rsidR="002D1E9D">
        <w:rPr>
          <w:rFonts w:ascii="Times New Roman" w:hAnsi="Times New Roman" w:cs="Times New Roman"/>
          <w:sz w:val="24"/>
          <w:szCs w:val="24"/>
        </w:rPr>
        <w:t xml:space="preserve"> respondent desired to have the debt satisfied it sued</w:t>
      </w:r>
      <w:r w:rsidR="00C85315">
        <w:rPr>
          <w:rFonts w:ascii="Times New Roman" w:hAnsi="Times New Roman" w:cs="Times New Roman"/>
          <w:sz w:val="24"/>
          <w:szCs w:val="24"/>
        </w:rPr>
        <w:t xml:space="preserve"> out a w</w:t>
      </w:r>
      <w:r w:rsidR="0039654C" w:rsidRPr="008F65DC">
        <w:rPr>
          <w:rFonts w:ascii="Times New Roman" w:hAnsi="Times New Roman" w:cs="Times New Roman"/>
          <w:sz w:val="24"/>
          <w:szCs w:val="24"/>
        </w:rPr>
        <w:t>rit of execution</w:t>
      </w:r>
      <w:r w:rsidR="00C85315">
        <w:rPr>
          <w:rFonts w:ascii="Times New Roman" w:hAnsi="Times New Roman" w:cs="Times New Roman"/>
          <w:sz w:val="24"/>
          <w:szCs w:val="24"/>
        </w:rPr>
        <w:t>.</w:t>
      </w:r>
      <w:r w:rsidR="0039654C" w:rsidRPr="008F65DC">
        <w:rPr>
          <w:rFonts w:ascii="Times New Roman" w:hAnsi="Times New Roman" w:cs="Times New Roman"/>
          <w:sz w:val="24"/>
          <w:szCs w:val="24"/>
        </w:rPr>
        <w:t xml:space="preserve"> The 2</w:t>
      </w:r>
      <w:r w:rsidR="0039654C" w:rsidRPr="008F65DC">
        <w:rPr>
          <w:rFonts w:ascii="Times New Roman" w:hAnsi="Times New Roman" w:cs="Times New Roman"/>
          <w:sz w:val="24"/>
          <w:szCs w:val="24"/>
          <w:vertAlign w:val="superscript"/>
        </w:rPr>
        <w:t>nd</w:t>
      </w:r>
      <w:r w:rsidR="0039654C" w:rsidRPr="008F65DC">
        <w:rPr>
          <w:rFonts w:ascii="Times New Roman" w:hAnsi="Times New Roman" w:cs="Times New Roman"/>
          <w:sz w:val="24"/>
          <w:szCs w:val="24"/>
        </w:rPr>
        <w:t xml:space="preserve"> respondent attached and sold the applicant’s property to </w:t>
      </w:r>
      <w:r w:rsidR="00C85315">
        <w:rPr>
          <w:rFonts w:ascii="Times New Roman" w:hAnsi="Times New Roman" w:cs="Times New Roman"/>
          <w:sz w:val="24"/>
          <w:szCs w:val="24"/>
        </w:rPr>
        <w:t>give effect to the writ</w:t>
      </w:r>
      <w:r w:rsidR="00CD1CEA">
        <w:rPr>
          <w:rFonts w:ascii="Times New Roman" w:hAnsi="Times New Roman" w:cs="Times New Roman"/>
          <w:sz w:val="24"/>
          <w:szCs w:val="24"/>
        </w:rPr>
        <w:t xml:space="preserve"> in foreign currency</w:t>
      </w:r>
      <w:r w:rsidR="00C85315">
        <w:rPr>
          <w:rFonts w:ascii="Times New Roman" w:hAnsi="Times New Roman" w:cs="Times New Roman"/>
          <w:sz w:val="24"/>
          <w:szCs w:val="24"/>
        </w:rPr>
        <w:t xml:space="preserve">. </w:t>
      </w:r>
      <w:r w:rsidR="0039654C" w:rsidRPr="008F65DC">
        <w:rPr>
          <w:rFonts w:ascii="Times New Roman" w:hAnsi="Times New Roman" w:cs="Times New Roman"/>
          <w:sz w:val="24"/>
          <w:szCs w:val="24"/>
        </w:rPr>
        <w:t xml:space="preserve">The applicant objected to </w:t>
      </w:r>
      <w:r w:rsidR="00C85315">
        <w:rPr>
          <w:rFonts w:ascii="Times New Roman" w:hAnsi="Times New Roman" w:cs="Times New Roman"/>
          <w:sz w:val="24"/>
          <w:szCs w:val="24"/>
        </w:rPr>
        <w:t>the execution to recover the foreign currency equivalent to the 2</w:t>
      </w:r>
      <w:r w:rsidR="00C85315">
        <w:rPr>
          <w:rFonts w:ascii="Times New Roman" w:hAnsi="Times New Roman" w:cs="Times New Roman"/>
          <w:sz w:val="24"/>
          <w:szCs w:val="24"/>
          <w:vertAlign w:val="superscript"/>
        </w:rPr>
        <w:t xml:space="preserve">nd </w:t>
      </w:r>
      <w:r w:rsidR="00C85315">
        <w:rPr>
          <w:rFonts w:ascii="Times New Roman" w:hAnsi="Times New Roman" w:cs="Times New Roman"/>
          <w:sz w:val="24"/>
          <w:szCs w:val="24"/>
        </w:rPr>
        <w:t xml:space="preserve">respondent to no </w:t>
      </w:r>
      <w:r w:rsidR="00CD1CEA">
        <w:rPr>
          <w:rFonts w:ascii="Times New Roman" w:hAnsi="Times New Roman" w:cs="Times New Roman"/>
          <w:sz w:val="24"/>
          <w:szCs w:val="24"/>
        </w:rPr>
        <w:t>avail. The applicant’s interpretation was that the amounts must be recovered on a 1:1 rate.</w:t>
      </w:r>
      <w:r w:rsidR="00C85315">
        <w:rPr>
          <w:rFonts w:ascii="Times New Roman" w:hAnsi="Times New Roman" w:cs="Times New Roman"/>
          <w:sz w:val="24"/>
          <w:szCs w:val="24"/>
        </w:rPr>
        <w:t xml:space="preserve"> When parties could not agree,</w:t>
      </w:r>
      <w:r w:rsidR="0039654C" w:rsidRPr="008F65DC">
        <w:rPr>
          <w:rFonts w:ascii="Times New Roman" w:hAnsi="Times New Roman" w:cs="Times New Roman"/>
          <w:sz w:val="24"/>
          <w:szCs w:val="24"/>
        </w:rPr>
        <w:t xml:space="preserve"> the applicant </w:t>
      </w:r>
      <w:r w:rsidR="00C85315">
        <w:rPr>
          <w:rFonts w:ascii="Times New Roman" w:hAnsi="Times New Roman" w:cs="Times New Roman"/>
          <w:sz w:val="24"/>
          <w:szCs w:val="24"/>
        </w:rPr>
        <w:t xml:space="preserve">filed this application for a </w:t>
      </w:r>
      <w:r w:rsidR="00C85315" w:rsidRPr="008F65DC">
        <w:rPr>
          <w:rFonts w:ascii="Times New Roman" w:hAnsi="Times New Roman" w:cs="Times New Roman"/>
          <w:sz w:val="24"/>
          <w:szCs w:val="24"/>
        </w:rPr>
        <w:t>declaratory</w:t>
      </w:r>
      <w:r w:rsidR="002D1E9D">
        <w:rPr>
          <w:rFonts w:ascii="Times New Roman" w:hAnsi="Times New Roman" w:cs="Times New Roman"/>
          <w:sz w:val="24"/>
          <w:szCs w:val="24"/>
        </w:rPr>
        <w:t xml:space="preserve"> order</w:t>
      </w:r>
      <w:r w:rsidR="00C85315">
        <w:rPr>
          <w:rFonts w:ascii="Times New Roman" w:hAnsi="Times New Roman" w:cs="Times New Roman"/>
          <w:sz w:val="24"/>
          <w:szCs w:val="24"/>
        </w:rPr>
        <w:t xml:space="preserve"> in the following terms:-</w:t>
      </w:r>
    </w:p>
    <w:p w:rsidR="0039654C" w:rsidRPr="00552213" w:rsidRDefault="00733D5D" w:rsidP="00552213">
      <w:pPr>
        <w:pStyle w:val="ListParagraph"/>
        <w:numPr>
          <w:ilvl w:val="0"/>
          <w:numId w:val="1"/>
        </w:numPr>
        <w:spacing w:line="240" w:lineRule="auto"/>
        <w:jc w:val="both"/>
        <w:rPr>
          <w:rFonts w:ascii="Times New Roman" w:hAnsi="Times New Roman" w:cs="Times New Roman"/>
        </w:rPr>
      </w:pPr>
      <w:r w:rsidRPr="00552213">
        <w:rPr>
          <w:rFonts w:ascii="Times New Roman" w:hAnsi="Times New Roman" w:cs="Times New Roman"/>
        </w:rPr>
        <w:t>“</w:t>
      </w:r>
      <w:r w:rsidR="003D1423" w:rsidRPr="00552213">
        <w:rPr>
          <w:rFonts w:ascii="Times New Roman" w:hAnsi="Times New Roman" w:cs="Times New Roman"/>
        </w:rPr>
        <w:t xml:space="preserve">The writ issued </w:t>
      </w:r>
      <w:r w:rsidR="0039654C" w:rsidRPr="00552213">
        <w:rPr>
          <w:rFonts w:ascii="Times New Roman" w:hAnsi="Times New Roman" w:cs="Times New Roman"/>
        </w:rPr>
        <w:t>by the 3</w:t>
      </w:r>
      <w:r w:rsidR="0039654C" w:rsidRPr="00552213">
        <w:rPr>
          <w:rFonts w:ascii="Times New Roman" w:hAnsi="Times New Roman" w:cs="Times New Roman"/>
          <w:vertAlign w:val="superscript"/>
        </w:rPr>
        <w:t>rd</w:t>
      </w:r>
      <w:r w:rsidR="0039654C" w:rsidRPr="00552213">
        <w:rPr>
          <w:rFonts w:ascii="Times New Roman" w:hAnsi="Times New Roman" w:cs="Times New Roman"/>
        </w:rPr>
        <w:t xml:space="preserve"> respondent on the 8</w:t>
      </w:r>
      <w:r w:rsidR="0039654C" w:rsidRPr="00552213">
        <w:rPr>
          <w:rFonts w:ascii="Times New Roman" w:hAnsi="Times New Roman" w:cs="Times New Roman"/>
          <w:vertAlign w:val="superscript"/>
        </w:rPr>
        <w:t>th</w:t>
      </w:r>
      <w:r w:rsidR="00C85315" w:rsidRPr="00552213">
        <w:rPr>
          <w:rFonts w:ascii="Times New Roman" w:hAnsi="Times New Roman" w:cs="Times New Roman"/>
        </w:rPr>
        <w:t xml:space="preserve"> of July 2020 under HC</w:t>
      </w:r>
      <w:r w:rsidR="0039654C" w:rsidRPr="00552213">
        <w:rPr>
          <w:rFonts w:ascii="Times New Roman" w:hAnsi="Times New Roman" w:cs="Times New Roman"/>
        </w:rPr>
        <w:t>8500/19 be and is hereby held to be unlawful and wrongful and accordingly set aside.</w:t>
      </w:r>
    </w:p>
    <w:p w:rsidR="0039654C" w:rsidRPr="00552213" w:rsidRDefault="0039654C" w:rsidP="00552213">
      <w:pPr>
        <w:pStyle w:val="ListParagraph"/>
        <w:numPr>
          <w:ilvl w:val="0"/>
          <w:numId w:val="1"/>
        </w:numPr>
        <w:spacing w:line="240" w:lineRule="auto"/>
        <w:jc w:val="both"/>
        <w:rPr>
          <w:rFonts w:ascii="Times New Roman" w:hAnsi="Times New Roman" w:cs="Times New Roman"/>
        </w:rPr>
      </w:pPr>
      <w:r w:rsidRPr="00552213">
        <w:rPr>
          <w:rFonts w:ascii="Times New Roman" w:hAnsi="Times New Roman" w:cs="Times New Roman"/>
        </w:rPr>
        <w:t>The payment of the amounts stated in the order</w:t>
      </w:r>
      <w:r w:rsidR="00C85315" w:rsidRPr="00552213">
        <w:rPr>
          <w:rFonts w:ascii="Times New Roman" w:hAnsi="Times New Roman" w:cs="Times New Roman"/>
        </w:rPr>
        <w:t xml:space="preserve"> HC</w:t>
      </w:r>
      <w:r w:rsidRPr="00552213">
        <w:rPr>
          <w:rFonts w:ascii="Times New Roman" w:hAnsi="Times New Roman" w:cs="Times New Roman"/>
        </w:rPr>
        <w:t xml:space="preserve"> 8500/19 be held to be subject to the rate of 1:1 with the Zimbabwean dollar.</w:t>
      </w:r>
    </w:p>
    <w:p w:rsidR="0039654C" w:rsidRPr="008F65DC" w:rsidRDefault="0039654C" w:rsidP="00552213">
      <w:pPr>
        <w:pStyle w:val="ListParagraph"/>
        <w:numPr>
          <w:ilvl w:val="0"/>
          <w:numId w:val="1"/>
        </w:numPr>
        <w:spacing w:line="240" w:lineRule="auto"/>
        <w:jc w:val="both"/>
        <w:rPr>
          <w:rFonts w:ascii="Times New Roman" w:hAnsi="Times New Roman" w:cs="Times New Roman"/>
          <w:sz w:val="24"/>
          <w:szCs w:val="24"/>
        </w:rPr>
      </w:pPr>
      <w:r w:rsidRPr="00552213">
        <w:rPr>
          <w:rFonts w:ascii="Times New Roman" w:hAnsi="Times New Roman" w:cs="Times New Roman"/>
        </w:rPr>
        <w:t>The respondents are to pay costs of suit on a client-attorney scale</w:t>
      </w:r>
      <w:r w:rsidR="00733D5D" w:rsidRPr="008F65DC">
        <w:rPr>
          <w:rFonts w:ascii="Times New Roman" w:hAnsi="Times New Roman" w:cs="Times New Roman"/>
          <w:sz w:val="24"/>
          <w:szCs w:val="24"/>
        </w:rPr>
        <w:t>”</w:t>
      </w:r>
    </w:p>
    <w:p w:rsidR="00733D5D" w:rsidRDefault="00733D5D" w:rsidP="00552213">
      <w:pPr>
        <w:spacing w:after="0" w:line="360" w:lineRule="auto"/>
        <w:ind w:firstLine="360"/>
        <w:jc w:val="both"/>
        <w:rPr>
          <w:rFonts w:ascii="Times New Roman" w:hAnsi="Times New Roman" w:cs="Times New Roman"/>
          <w:sz w:val="24"/>
          <w:szCs w:val="24"/>
        </w:rPr>
      </w:pPr>
      <w:r w:rsidRPr="008F65DC">
        <w:rPr>
          <w:rFonts w:ascii="Times New Roman" w:hAnsi="Times New Roman" w:cs="Times New Roman"/>
          <w:sz w:val="24"/>
          <w:szCs w:val="24"/>
        </w:rPr>
        <w:t>The applicant submitted that</w:t>
      </w:r>
      <w:r w:rsidR="00C85315">
        <w:rPr>
          <w:rFonts w:ascii="Times New Roman" w:hAnsi="Times New Roman" w:cs="Times New Roman"/>
          <w:sz w:val="24"/>
          <w:szCs w:val="24"/>
        </w:rPr>
        <w:t xml:space="preserve"> in granting </w:t>
      </w:r>
      <w:r w:rsidR="00C85315" w:rsidRPr="008F65DC">
        <w:rPr>
          <w:rFonts w:ascii="Times New Roman" w:hAnsi="Times New Roman" w:cs="Times New Roman"/>
          <w:sz w:val="24"/>
          <w:szCs w:val="24"/>
        </w:rPr>
        <w:t xml:space="preserve">the </w:t>
      </w:r>
      <w:r w:rsidR="002D1E9D">
        <w:rPr>
          <w:rFonts w:ascii="Times New Roman" w:hAnsi="Times New Roman" w:cs="Times New Roman"/>
          <w:sz w:val="24"/>
          <w:szCs w:val="24"/>
        </w:rPr>
        <w:t xml:space="preserve">court order </w:t>
      </w:r>
      <w:r w:rsidR="00C85315">
        <w:rPr>
          <w:rFonts w:ascii="Times New Roman" w:hAnsi="Times New Roman" w:cs="Times New Roman"/>
          <w:sz w:val="24"/>
          <w:szCs w:val="24"/>
        </w:rPr>
        <w:t xml:space="preserve">the Court did not deal with the currency issue. The court can therefore give effect to its order by guiding the </w:t>
      </w:r>
      <w:r w:rsidR="002D1E9D">
        <w:rPr>
          <w:rFonts w:ascii="Times New Roman" w:hAnsi="Times New Roman" w:cs="Times New Roman"/>
          <w:sz w:val="24"/>
          <w:szCs w:val="24"/>
        </w:rPr>
        <w:t>2</w:t>
      </w:r>
      <w:r w:rsidR="002D1E9D" w:rsidRPr="002D1E9D">
        <w:rPr>
          <w:rFonts w:ascii="Times New Roman" w:hAnsi="Times New Roman" w:cs="Times New Roman"/>
          <w:sz w:val="24"/>
          <w:szCs w:val="24"/>
          <w:vertAlign w:val="superscript"/>
        </w:rPr>
        <w:t>nd</w:t>
      </w:r>
      <w:r w:rsidR="002D1E9D">
        <w:rPr>
          <w:rFonts w:ascii="Times New Roman" w:hAnsi="Times New Roman" w:cs="Times New Roman"/>
          <w:sz w:val="24"/>
          <w:szCs w:val="24"/>
        </w:rPr>
        <w:t xml:space="preserve"> </w:t>
      </w:r>
      <w:r w:rsidR="000C5753">
        <w:rPr>
          <w:rFonts w:ascii="Times New Roman" w:hAnsi="Times New Roman" w:cs="Times New Roman"/>
          <w:sz w:val="24"/>
          <w:szCs w:val="24"/>
        </w:rPr>
        <w:t>respondent in the execution of the writ in this case. The judgment debt must be executed on a 1:1 basis.</w:t>
      </w:r>
      <w:r w:rsidRPr="008F65DC">
        <w:rPr>
          <w:rFonts w:ascii="Times New Roman" w:hAnsi="Times New Roman" w:cs="Times New Roman"/>
          <w:sz w:val="24"/>
          <w:szCs w:val="24"/>
        </w:rPr>
        <w:t xml:space="preserve"> </w:t>
      </w:r>
      <w:r w:rsidR="000C5753">
        <w:rPr>
          <w:rFonts w:ascii="Times New Roman" w:hAnsi="Times New Roman" w:cs="Times New Roman"/>
          <w:sz w:val="24"/>
          <w:szCs w:val="24"/>
        </w:rPr>
        <w:t>In terms of section</w:t>
      </w:r>
      <w:r w:rsidRPr="008F65DC">
        <w:rPr>
          <w:rFonts w:ascii="Times New Roman" w:hAnsi="Times New Roman" w:cs="Times New Roman"/>
          <w:sz w:val="24"/>
          <w:szCs w:val="24"/>
        </w:rPr>
        <w:t xml:space="preserve"> 4</w:t>
      </w:r>
      <w:r w:rsidR="00552213">
        <w:rPr>
          <w:rFonts w:ascii="Times New Roman" w:hAnsi="Times New Roman" w:cs="Times New Roman"/>
          <w:sz w:val="24"/>
          <w:szCs w:val="24"/>
        </w:rPr>
        <w:t>(1)</w:t>
      </w:r>
      <w:r w:rsidRPr="008F65DC">
        <w:rPr>
          <w:rFonts w:ascii="Times New Roman" w:hAnsi="Times New Roman" w:cs="Times New Roman"/>
          <w:sz w:val="24"/>
          <w:szCs w:val="24"/>
        </w:rPr>
        <w:t xml:space="preserve">(d) of Statutory instrument 33 of 2019 as interpreted in </w:t>
      </w:r>
      <w:r w:rsidRPr="000C5753">
        <w:rPr>
          <w:rFonts w:ascii="Times New Roman" w:hAnsi="Times New Roman" w:cs="Times New Roman"/>
          <w:i/>
          <w:sz w:val="24"/>
          <w:szCs w:val="24"/>
        </w:rPr>
        <w:t>Zambezi G</w:t>
      </w:r>
      <w:r w:rsidR="008F65DC" w:rsidRPr="000C5753">
        <w:rPr>
          <w:rFonts w:ascii="Times New Roman" w:hAnsi="Times New Roman" w:cs="Times New Roman"/>
          <w:i/>
          <w:sz w:val="24"/>
          <w:szCs w:val="24"/>
        </w:rPr>
        <w:t xml:space="preserve">as </w:t>
      </w:r>
      <w:r w:rsidR="008F65DC" w:rsidRPr="000C5753">
        <w:rPr>
          <w:rFonts w:ascii="Times New Roman" w:hAnsi="Times New Roman" w:cs="Times New Roman"/>
          <w:i/>
          <w:sz w:val="24"/>
          <w:szCs w:val="24"/>
        </w:rPr>
        <w:lastRenderedPageBreak/>
        <w:t>Zimbabwe (Pvt) L</w:t>
      </w:r>
      <w:r w:rsidRPr="000C5753">
        <w:rPr>
          <w:rFonts w:ascii="Times New Roman" w:hAnsi="Times New Roman" w:cs="Times New Roman"/>
          <w:i/>
          <w:sz w:val="24"/>
          <w:szCs w:val="24"/>
        </w:rPr>
        <w:t xml:space="preserve">td </w:t>
      </w:r>
      <w:r w:rsidRPr="00552213">
        <w:rPr>
          <w:rFonts w:ascii="Times New Roman" w:hAnsi="Times New Roman" w:cs="Times New Roman"/>
          <w:sz w:val="24"/>
          <w:szCs w:val="24"/>
        </w:rPr>
        <w:t>v</w:t>
      </w:r>
      <w:r w:rsidRPr="000C5753">
        <w:rPr>
          <w:rFonts w:ascii="Times New Roman" w:hAnsi="Times New Roman" w:cs="Times New Roman"/>
          <w:i/>
          <w:sz w:val="24"/>
          <w:szCs w:val="24"/>
        </w:rPr>
        <w:t xml:space="preserve"> N R Barber (Pv</w:t>
      </w:r>
      <w:r w:rsidR="008F65DC" w:rsidRPr="000C5753">
        <w:rPr>
          <w:rFonts w:ascii="Times New Roman" w:hAnsi="Times New Roman" w:cs="Times New Roman"/>
          <w:i/>
          <w:sz w:val="24"/>
          <w:szCs w:val="24"/>
        </w:rPr>
        <w:t>t Ltd</w:t>
      </w:r>
      <w:r w:rsidR="00552213">
        <w:rPr>
          <w:rFonts w:ascii="Times New Roman" w:hAnsi="Times New Roman" w:cs="Times New Roman"/>
          <w:i/>
          <w:sz w:val="24"/>
          <w:szCs w:val="24"/>
        </w:rPr>
        <w:t xml:space="preserve"> &amp;</w:t>
      </w:r>
      <w:r w:rsidR="008F65DC" w:rsidRPr="000C5753">
        <w:rPr>
          <w:rFonts w:ascii="Times New Roman" w:hAnsi="Times New Roman" w:cs="Times New Roman"/>
          <w:i/>
          <w:sz w:val="24"/>
          <w:szCs w:val="24"/>
        </w:rPr>
        <w:t xml:space="preserve"> Anor</w:t>
      </w:r>
      <w:r w:rsidR="008218C0">
        <w:rPr>
          <w:rStyle w:val="FootnoteReference"/>
          <w:rFonts w:ascii="Times New Roman" w:hAnsi="Times New Roman" w:cs="Times New Roman"/>
          <w:i/>
          <w:sz w:val="24"/>
          <w:szCs w:val="24"/>
        </w:rPr>
        <w:footnoteReference w:id="1"/>
      </w:r>
      <w:r w:rsidR="008F65DC" w:rsidRPr="000C5753">
        <w:rPr>
          <w:rFonts w:ascii="Times New Roman" w:hAnsi="Times New Roman" w:cs="Times New Roman"/>
          <w:i/>
          <w:sz w:val="24"/>
          <w:szCs w:val="24"/>
        </w:rPr>
        <w:t xml:space="preserve"> </w:t>
      </w:r>
      <w:r w:rsidR="003D1423">
        <w:rPr>
          <w:rFonts w:ascii="Times New Roman" w:hAnsi="Times New Roman" w:cs="Times New Roman"/>
          <w:sz w:val="24"/>
          <w:szCs w:val="24"/>
        </w:rPr>
        <w:t xml:space="preserve">all debts incurred before 19 February </w:t>
      </w:r>
      <w:r w:rsidR="000C5753">
        <w:rPr>
          <w:rFonts w:ascii="Times New Roman" w:hAnsi="Times New Roman" w:cs="Times New Roman"/>
          <w:sz w:val="24"/>
          <w:szCs w:val="24"/>
        </w:rPr>
        <w:t>2019 are</w:t>
      </w:r>
      <w:r w:rsidR="003D1423">
        <w:rPr>
          <w:rFonts w:ascii="Times New Roman" w:hAnsi="Times New Roman" w:cs="Times New Roman"/>
          <w:sz w:val="24"/>
          <w:szCs w:val="24"/>
        </w:rPr>
        <w:t xml:space="preserve"> payable in local currency at the rate of 1:1.</w:t>
      </w:r>
      <w:r w:rsidR="000C5753" w:rsidRPr="000C5753">
        <w:rPr>
          <w:rFonts w:ascii="Times New Roman" w:hAnsi="Times New Roman" w:cs="Times New Roman"/>
          <w:sz w:val="24"/>
          <w:szCs w:val="24"/>
        </w:rPr>
        <w:t xml:space="preserve"> </w:t>
      </w:r>
      <w:r w:rsidR="000C5753">
        <w:rPr>
          <w:rFonts w:ascii="Times New Roman" w:hAnsi="Times New Roman" w:cs="Times New Roman"/>
          <w:sz w:val="24"/>
          <w:szCs w:val="24"/>
        </w:rPr>
        <w:t>In this case t</w:t>
      </w:r>
      <w:r w:rsidR="000C5753" w:rsidRPr="008F65DC">
        <w:rPr>
          <w:rFonts w:ascii="Times New Roman" w:hAnsi="Times New Roman" w:cs="Times New Roman"/>
          <w:sz w:val="24"/>
          <w:szCs w:val="24"/>
        </w:rPr>
        <w:t>he debt was incurred before February 2019</w:t>
      </w:r>
      <w:r w:rsidR="000C5753">
        <w:rPr>
          <w:rFonts w:ascii="Times New Roman" w:hAnsi="Times New Roman" w:cs="Times New Roman"/>
          <w:sz w:val="24"/>
          <w:szCs w:val="24"/>
        </w:rPr>
        <w:t>.</w:t>
      </w:r>
      <w:r w:rsidR="003D1423">
        <w:rPr>
          <w:rFonts w:ascii="Times New Roman" w:hAnsi="Times New Roman" w:cs="Times New Roman"/>
          <w:sz w:val="24"/>
          <w:szCs w:val="24"/>
        </w:rPr>
        <w:t xml:space="preserve"> Accordingly</w:t>
      </w:r>
      <w:r w:rsidR="000C5753">
        <w:rPr>
          <w:rFonts w:ascii="Times New Roman" w:hAnsi="Times New Roman" w:cs="Times New Roman"/>
          <w:sz w:val="24"/>
          <w:szCs w:val="24"/>
        </w:rPr>
        <w:t xml:space="preserve"> </w:t>
      </w:r>
      <w:r w:rsidR="003D1423">
        <w:rPr>
          <w:rFonts w:ascii="Times New Roman" w:hAnsi="Times New Roman" w:cs="Times New Roman"/>
          <w:sz w:val="24"/>
          <w:szCs w:val="24"/>
        </w:rPr>
        <w:t xml:space="preserve">the </w:t>
      </w:r>
      <w:r w:rsidR="000C5753">
        <w:rPr>
          <w:rFonts w:ascii="Times New Roman" w:hAnsi="Times New Roman" w:cs="Times New Roman"/>
          <w:sz w:val="24"/>
          <w:szCs w:val="24"/>
        </w:rPr>
        <w:t xml:space="preserve">writ of execution </w:t>
      </w:r>
      <w:r w:rsidR="003D1423">
        <w:rPr>
          <w:rFonts w:ascii="Times New Roman" w:hAnsi="Times New Roman" w:cs="Times New Roman"/>
          <w:sz w:val="24"/>
          <w:szCs w:val="24"/>
        </w:rPr>
        <w:t xml:space="preserve">cannot collect more than the money expressed. </w:t>
      </w:r>
    </w:p>
    <w:p w:rsidR="003D1423" w:rsidRDefault="003D1423" w:rsidP="0055221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When I queried the wisdom in seeking a variation</w:t>
      </w:r>
      <w:r w:rsidR="000C5753">
        <w:rPr>
          <w:rFonts w:ascii="Times New Roman" w:hAnsi="Times New Roman" w:cs="Times New Roman"/>
          <w:sz w:val="24"/>
          <w:szCs w:val="24"/>
        </w:rPr>
        <w:t xml:space="preserve"> of the writ were the c</w:t>
      </w:r>
      <w:r>
        <w:rPr>
          <w:rFonts w:ascii="Times New Roman" w:hAnsi="Times New Roman" w:cs="Times New Roman"/>
          <w:sz w:val="24"/>
          <w:szCs w:val="24"/>
        </w:rPr>
        <w:t>ourt order</w:t>
      </w:r>
      <w:r w:rsidR="00D4475F">
        <w:rPr>
          <w:rFonts w:ascii="Times New Roman" w:hAnsi="Times New Roman" w:cs="Times New Roman"/>
          <w:sz w:val="24"/>
          <w:szCs w:val="24"/>
        </w:rPr>
        <w:t xml:space="preserve"> is not challenged. </w:t>
      </w:r>
      <w:r w:rsidR="00D4475F" w:rsidRPr="000C5753">
        <w:rPr>
          <w:rFonts w:ascii="Times New Roman" w:hAnsi="Times New Roman" w:cs="Times New Roman"/>
          <w:i/>
          <w:sz w:val="24"/>
          <w:szCs w:val="24"/>
        </w:rPr>
        <w:t>Mr Mugiya</w:t>
      </w:r>
      <w:r w:rsidR="00D4475F">
        <w:rPr>
          <w:rFonts w:ascii="Times New Roman" w:hAnsi="Times New Roman" w:cs="Times New Roman"/>
          <w:sz w:val="24"/>
          <w:szCs w:val="24"/>
        </w:rPr>
        <w:t xml:space="preserve"> insisted that the court order has no issues. The issue is the execution to guide the 2</w:t>
      </w:r>
      <w:r w:rsidR="00D4475F" w:rsidRPr="00D4475F">
        <w:rPr>
          <w:rFonts w:ascii="Times New Roman" w:hAnsi="Times New Roman" w:cs="Times New Roman"/>
          <w:sz w:val="24"/>
          <w:szCs w:val="24"/>
          <w:vertAlign w:val="superscript"/>
        </w:rPr>
        <w:t>nd</w:t>
      </w:r>
      <w:r w:rsidR="00D4475F">
        <w:rPr>
          <w:rFonts w:ascii="Times New Roman" w:hAnsi="Times New Roman" w:cs="Times New Roman"/>
          <w:sz w:val="24"/>
          <w:szCs w:val="24"/>
        </w:rPr>
        <w:t xml:space="preserve"> respondent in executing court judgements expressed in </w:t>
      </w:r>
      <w:r w:rsidR="000C5753">
        <w:rPr>
          <w:rFonts w:ascii="Times New Roman" w:hAnsi="Times New Roman" w:cs="Times New Roman"/>
          <w:sz w:val="24"/>
          <w:szCs w:val="24"/>
        </w:rPr>
        <w:t>United States</w:t>
      </w:r>
      <w:r w:rsidR="00D4475F">
        <w:rPr>
          <w:rFonts w:ascii="Times New Roman" w:hAnsi="Times New Roman" w:cs="Times New Roman"/>
          <w:sz w:val="24"/>
          <w:szCs w:val="24"/>
        </w:rPr>
        <w:t xml:space="preserve"> dollars. The Court is being asked to give effect to its order</w:t>
      </w:r>
      <w:r w:rsidR="000C5753">
        <w:rPr>
          <w:rFonts w:ascii="Times New Roman" w:hAnsi="Times New Roman" w:cs="Times New Roman"/>
          <w:sz w:val="24"/>
          <w:szCs w:val="24"/>
        </w:rPr>
        <w:t xml:space="preserve"> and not to revisit its order</w:t>
      </w:r>
      <w:r w:rsidR="00D4475F">
        <w:rPr>
          <w:rFonts w:ascii="Times New Roman" w:hAnsi="Times New Roman" w:cs="Times New Roman"/>
          <w:sz w:val="24"/>
          <w:szCs w:val="24"/>
        </w:rPr>
        <w:t>.</w:t>
      </w:r>
    </w:p>
    <w:p w:rsidR="00FE1ABB" w:rsidRDefault="000C5753" w:rsidP="0055221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application was opposed. It was submitted that the</w:t>
      </w:r>
      <w:r w:rsidR="00FE1ABB">
        <w:rPr>
          <w:rFonts w:ascii="Times New Roman" w:hAnsi="Times New Roman" w:cs="Times New Roman"/>
          <w:sz w:val="24"/>
          <w:szCs w:val="24"/>
        </w:rPr>
        <w:t xml:space="preserve"> applicant’s reliance on section 14 of the High Court Act is misplaced. The applicant has no existing, future, contingent right or obligation to relate to since there is an extant order against her. The applicant has not appealed against the court order. The writ of execution is valid to the extent that it de</w:t>
      </w:r>
      <w:r w:rsidR="002D1E9D">
        <w:rPr>
          <w:rFonts w:ascii="Times New Roman" w:hAnsi="Times New Roman" w:cs="Times New Roman"/>
          <w:sz w:val="24"/>
          <w:szCs w:val="24"/>
        </w:rPr>
        <w:t>rives its mandate from a valid court</w:t>
      </w:r>
      <w:r w:rsidR="00FE1ABB">
        <w:rPr>
          <w:rFonts w:ascii="Times New Roman" w:hAnsi="Times New Roman" w:cs="Times New Roman"/>
          <w:sz w:val="24"/>
          <w:szCs w:val="24"/>
        </w:rPr>
        <w:t xml:space="preserve"> order. In addition, it was averred that the court is</w:t>
      </w:r>
      <w:r>
        <w:rPr>
          <w:rFonts w:ascii="Times New Roman" w:hAnsi="Times New Roman" w:cs="Times New Roman"/>
          <w:sz w:val="24"/>
          <w:szCs w:val="24"/>
        </w:rPr>
        <w:t xml:space="preserve"> </w:t>
      </w:r>
      <w:r w:rsidR="00D4475F" w:rsidRPr="000C5753">
        <w:rPr>
          <w:rFonts w:ascii="Times New Roman" w:hAnsi="Times New Roman" w:cs="Times New Roman"/>
          <w:i/>
          <w:sz w:val="24"/>
          <w:szCs w:val="24"/>
        </w:rPr>
        <w:t>functus officio</w:t>
      </w:r>
      <w:r>
        <w:rPr>
          <w:rFonts w:ascii="Times New Roman" w:hAnsi="Times New Roman" w:cs="Times New Roman"/>
          <w:sz w:val="24"/>
          <w:szCs w:val="24"/>
        </w:rPr>
        <w:t>. The c</w:t>
      </w:r>
      <w:r w:rsidR="00D4475F">
        <w:rPr>
          <w:rFonts w:ascii="Times New Roman" w:hAnsi="Times New Roman" w:cs="Times New Roman"/>
          <w:sz w:val="24"/>
          <w:szCs w:val="24"/>
        </w:rPr>
        <w:t xml:space="preserve">ourt has granted the order, this is a disguised appeal against the order. The writ was issued pursuant to a </w:t>
      </w:r>
      <w:r>
        <w:rPr>
          <w:rFonts w:ascii="Times New Roman" w:hAnsi="Times New Roman" w:cs="Times New Roman"/>
          <w:sz w:val="24"/>
          <w:szCs w:val="24"/>
        </w:rPr>
        <w:t>c</w:t>
      </w:r>
      <w:r w:rsidR="00D4475F">
        <w:rPr>
          <w:rFonts w:ascii="Times New Roman" w:hAnsi="Times New Roman" w:cs="Times New Roman"/>
          <w:sz w:val="24"/>
          <w:szCs w:val="24"/>
        </w:rPr>
        <w:t xml:space="preserve">ourt order which remains extant, it has not been </w:t>
      </w:r>
      <w:r>
        <w:rPr>
          <w:rFonts w:ascii="Times New Roman" w:hAnsi="Times New Roman" w:cs="Times New Roman"/>
          <w:sz w:val="24"/>
          <w:szCs w:val="24"/>
        </w:rPr>
        <w:t>challenged. Further to that it was submitted</w:t>
      </w:r>
      <w:r w:rsidR="00FE1ABB">
        <w:rPr>
          <w:rFonts w:ascii="Times New Roman" w:hAnsi="Times New Roman" w:cs="Times New Roman"/>
          <w:sz w:val="24"/>
          <w:szCs w:val="24"/>
        </w:rPr>
        <w:t xml:space="preserve"> that</w:t>
      </w:r>
      <w:r w:rsidR="00D4475F">
        <w:rPr>
          <w:rFonts w:ascii="Times New Roman" w:hAnsi="Times New Roman" w:cs="Times New Roman"/>
          <w:sz w:val="24"/>
          <w:szCs w:val="24"/>
        </w:rPr>
        <w:t xml:space="preserve"> the claim </w:t>
      </w:r>
      <w:r>
        <w:rPr>
          <w:rFonts w:ascii="Times New Roman" w:hAnsi="Times New Roman" w:cs="Times New Roman"/>
          <w:sz w:val="24"/>
          <w:szCs w:val="24"/>
        </w:rPr>
        <w:t xml:space="preserve">was for the payment of United States Dollars </w:t>
      </w:r>
      <w:r w:rsidR="007C222E">
        <w:rPr>
          <w:rFonts w:ascii="Times New Roman" w:hAnsi="Times New Roman" w:cs="Times New Roman"/>
          <w:sz w:val="24"/>
          <w:szCs w:val="24"/>
        </w:rPr>
        <w:t>and pound</w:t>
      </w:r>
      <w:r w:rsidR="00D4475F">
        <w:rPr>
          <w:rFonts w:ascii="Times New Roman" w:hAnsi="Times New Roman" w:cs="Times New Roman"/>
          <w:sz w:val="24"/>
          <w:szCs w:val="24"/>
        </w:rPr>
        <w:t xml:space="preserve"> ster</w:t>
      </w:r>
      <w:r>
        <w:rPr>
          <w:rFonts w:ascii="Times New Roman" w:hAnsi="Times New Roman" w:cs="Times New Roman"/>
          <w:sz w:val="24"/>
          <w:szCs w:val="24"/>
        </w:rPr>
        <w:t>ling</w:t>
      </w:r>
      <w:r w:rsidRPr="000C5753">
        <w:rPr>
          <w:rFonts w:ascii="Times New Roman" w:hAnsi="Times New Roman" w:cs="Times New Roman"/>
          <w:sz w:val="24"/>
          <w:szCs w:val="24"/>
        </w:rPr>
        <w:t xml:space="preserve"> </w:t>
      </w:r>
      <w:r>
        <w:rPr>
          <w:rFonts w:ascii="Times New Roman" w:hAnsi="Times New Roman" w:cs="Times New Roman"/>
          <w:sz w:val="24"/>
          <w:szCs w:val="24"/>
        </w:rPr>
        <w:t>the applicant did not raise the currency issue during the proceedings.</w:t>
      </w:r>
      <w:r w:rsidR="00D4475F">
        <w:rPr>
          <w:rFonts w:ascii="Times New Roman" w:hAnsi="Times New Roman" w:cs="Times New Roman"/>
          <w:sz w:val="24"/>
          <w:szCs w:val="24"/>
        </w:rPr>
        <w:t xml:space="preserve"> The parties understood that the money stolen was in foreign currency</w:t>
      </w:r>
      <w:r w:rsidR="00024F60">
        <w:rPr>
          <w:rFonts w:ascii="Times New Roman" w:hAnsi="Times New Roman" w:cs="Times New Roman"/>
          <w:sz w:val="24"/>
          <w:szCs w:val="24"/>
        </w:rPr>
        <w:t xml:space="preserve"> and must be paid as </w:t>
      </w:r>
      <w:r w:rsidR="007C222E">
        <w:rPr>
          <w:rFonts w:ascii="Times New Roman" w:hAnsi="Times New Roman" w:cs="Times New Roman"/>
          <w:sz w:val="24"/>
          <w:szCs w:val="24"/>
        </w:rPr>
        <w:t xml:space="preserve">such. The applicant’s obligation arose from a foreign debt as contemplated in section 44 of the Finance </w:t>
      </w:r>
      <w:r w:rsidR="00FE1ABB">
        <w:rPr>
          <w:rFonts w:ascii="Times New Roman" w:hAnsi="Times New Roman" w:cs="Times New Roman"/>
          <w:sz w:val="24"/>
          <w:szCs w:val="24"/>
        </w:rPr>
        <w:t xml:space="preserve">Act. In any </w:t>
      </w:r>
      <w:r w:rsidR="00CD1CEA">
        <w:rPr>
          <w:rFonts w:ascii="Times New Roman" w:hAnsi="Times New Roman" w:cs="Times New Roman"/>
          <w:sz w:val="24"/>
          <w:szCs w:val="24"/>
        </w:rPr>
        <w:t>event both Statutory</w:t>
      </w:r>
      <w:r w:rsidR="00FE1ABB">
        <w:rPr>
          <w:rFonts w:ascii="Times New Roman" w:hAnsi="Times New Roman" w:cs="Times New Roman"/>
          <w:sz w:val="24"/>
          <w:szCs w:val="24"/>
        </w:rPr>
        <w:t xml:space="preserve"> Instrument 33 of 2019 and The Finance Act deals with United States Dollars and not any other currency. The applicant’s obligation in this case is also in pounds sterling. It should therefore be paid in that currency. </w:t>
      </w:r>
    </w:p>
    <w:p w:rsidR="00F27930" w:rsidRDefault="00CA1DD1" w:rsidP="0055221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Before addressing the issues placed before me. </w:t>
      </w:r>
      <w:r w:rsidR="000C3FB2">
        <w:rPr>
          <w:rFonts w:ascii="Times New Roman" w:hAnsi="Times New Roman" w:cs="Times New Roman"/>
          <w:sz w:val="24"/>
          <w:szCs w:val="24"/>
        </w:rPr>
        <w:t>I must</w:t>
      </w:r>
      <w:r>
        <w:rPr>
          <w:rFonts w:ascii="Times New Roman" w:hAnsi="Times New Roman" w:cs="Times New Roman"/>
          <w:sz w:val="24"/>
          <w:szCs w:val="24"/>
        </w:rPr>
        <w:t xml:space="preserve"> consider whether the</w:t>
      </w:r>
      <w:r w:rsidR="00CD1CEA">
        <w:rPr>
          <w:rFonts w:ascii="Times New Roman" w:hAnsi="Times New Roman" w:cs="Times New Roman"/>
          <w:sz w:val="24"/>
          <w:szCs w:val="24"/>
        </w:rPr>
        <w:t xml:space="preserve"> court is</w:t>
      </w:r>
      <w:r>
        <w:rPr>
          <w:rFonts w:ascii="Times New Roman" w:hAnsi="Times New Roman" w:cs="Times New Roman"/>
          <w:sz w:val="24"/>
          <w:szCs w:val="24"/>
        </w:rPr>
        <w:t xml:space="preserve"> </w:t>
      </w:r>
      <w:r w:rsidRPr="00CD1CEA">
        <w:rPr>
          <w:rFonts w:ascii="Times New Roman" w:hAnsi="Times New Roman" w:cs="Times New Roman"/>
          <w:i/>
          <w:sz w:val="24"/>
          <w:szCs w:val="24"/>
        </w:rPr>
        <w:t>fu</w:t>
      </w:r>
      <w:r w:rsidR="00F633CB" w:rsidRPr="00CD1CEA">
        <w:rPr>
          <w:rFonts w:ascii="Times New Roman" w:hAnsi="Times New Roman" w:cs="Times New Roman"/>
          <w:i/>
          <w:sz w:val="24"/>
          <w:szCs w:val="24"/>
        </w:rPr>
        <w:t>nctus officio</w:t>
      </w:r>
      <w:r w:rsidR="00CD1CEA">
        <w:rPr>
          <w:rFonts w:ascii="Times New Roman" w:hAnsi="Times New Roman" w:cs="Times New Roman"/>
          <w:sz w:val="24"/>
          <w:szCs w:val="24"/>
        </w:rPr>
        <w:t>.</w:t>
      </w:r>
      <w:r w:rsidR="008218C0">
        <w:rPr>
          <w:rFonts w:ascii="Times New Roman" w:hAnsi="Times New Roman" w:cs="Times New Roman"/>
          <w:sz w:val="24"/>
          <w:szCs w:val="24"/>
        </w:rPr>
        <w:t xml:space="preserve"> </w:t>
      </w:r>
      <w:r w:rsidR="00F633CB">
        <w:rPr>
          <w:rFonts w:ascii="Times New Roman" w:hAnsi="Times New Roman" w:cs="Times New Roman"/>
          <w:sz w:val="24"/>
          <w:szCs w:val="24"/>
        </w:rPr>
        <w:t xml:space="preserve">The law that underlies the principle was summarised in </w:t>
      </w:r>
      <w:r w:rsidR="00F633CB" w:rsidRPr="008218C0">
        <w:rPr>
          <w:rFonts w:ascii="Times New Roman" w:hAnsi="Times New Roman" w:cs="Times New Roman"/>
          <w:i/>
          <w:sz w:val="24"/>
          <w:szCs w:val="24"/>
        </w:rPr>
        <w:t>Firestone South Africa (Pty) Ltd v Genticuro</w:t>
      </w:r>
      <w:r w:rsidR="008218C0">
        <w:rPr>
          <w:rStyle w:val="FootnoteReference"/>
          <w:rFonts w:ascii="Times New Roman" w:hAnsi="Times New Roman" w:cs="Times New Roman"/>
          <w:i/>
          <w:sz w:val="24"/>
          <w:szCs w:val="24"/>
        </w:rPr>
        <w:footnoteReference w:id="2"/>
      </w:r>
      <w:r w:rsidR="00F633CB" w:rsidRPr="008218C0">
        <w:rPr>
          <w:rFonts w:ascii="Times New Roman" w:hAnsi="Times New Roman" w:cs="Times New Roman"/>
          <w:i/>
          <w:sz w:val="24"/>
          <w:szCs w:val="24"/>
        </w:rPr>
        <w:t xml:space="preserve"> </w:t>
      </w:r>
      <w:r w:rsidR="00F27930">
        <w:rPr>
          <w:rFonts w:ascii="Times New Roman" w:hAnsi="Times New Roman" w:cs="Times New Roman"/>
          <w:sz w:val="24"/>
          <w:szCs w:val="24"/>
        </w:rPr>
        <w:t>as follows</w:t>
      </w:r>
      <w:r w:rsidR="008218C0">
        <w:rPr>
          <w:rFonts w:ascii="Times New Roman" w:hAnsi="Times New Roman" w:cs="Times New Roman"/>
          <w:sz w:val="24"/>
          <w:szCs w:val="24"/>
        </w:rPr>
        <w:t>,</w:t>
      </w:r>
    </w:p>
    <w:p w:rsidR="00F27930" w:rsidRDefault="00F27930" w:rsidP="008218C0">
      <w:pPr>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8218C0">
        <w:rPr>
          <w:rFonts w:ascii="Times New Roman" w:hAnsi="Times New Roman" w:cs="Times New Roman"/>
        </w:rPr>
        <w:t xml:space="preserve">The general principle , now well established in our law is that, once a court has duly pronounced a final judgment or </w:t>
      </w:r>
      <w:r w:rsidR="008218C0" w:rsidRPr="008218C0">
        <w:rPr>
          <w:rFonts w:ascii="Times New Roman" w:hAnsi="Times New Roman" w:cs="Times New Roman"/>
        </w:rPr>
        <w:t>order, it</w:t>
      </w:r>
      <w:r w:rsidRPr="008218C0">
        <w:rPr>
          <w:rFonts w:ascii="Times New Roman" w:hAnsi="Times New Roman" w:cs="Times New Roman"/>
        </w:rPr>
        <w:t xml:space="preserve"> has itself no authority to </w:t>
      </w:r>
      <w:r w:rsidR="008218C0" w:rsidRPr="008218C0">
        <w:rPr>
          <w:rFonts w:ascii="Times New Roman" w:hAnsi="Times New Roman" w:cs="Times New Roman"/>
        </w:rPr>
        <w:t>correct, alter</w:t>
      </w:r>
      <w:r w:rsidRPr="008218C0">
        <w:rPr>
          <w:rFonts w:ascii="Times New Roman" w:hAnsi="Times New Roman" w:cs="Times New Roman"/>
        </w:rPr>
        <w:t xml:space="preserve"> or supplement </w:t>
      </w:r>
      <w:r w:rsidR="008218C0">
        <w:rPr>
          <w:rFonts w:ascii="Times New Roman" w:hAnsi="Times New Roman" w:cs="Times New Roman"/>
        </w:rPr>
        <w:t xml:space="preserve">it </w:t>
      </w:r>
      <w:r w:rsidR="008218C0" w:rsidRPr="008218C0">
        <w:rPr>
          <w:rFonts w:ascii="Times New Roman" w:hAnsi="Times New Roman" w:cs="Times New Roman"/>
        </w:rPr>
        <w:t>the</w:t>
      </w:r>
      <w:r w:rsidRPr="008218C0">
        <w:rPr>
          <w:rFonts w:ascii="Times New Roman" w:hAnsi="Times New Roman" w:cs="Times New Roman"/>
        </w:rPr>
        <w:t xml:space="preserve"> reason is that it thereupon becomes </w:t>
      </w:r>
      <w:r w:rsidRPr="008218C0">
        <w:rPr>
          <w:rFonts w:ascii="Times New Roman" w:hAnsi="Times New Roman" w:cs="Times New Roman"/>
          <w:i/>
        </w:rPr>
        <w:t>functus officio</w:t>
      </w:r>
      <w:r w:rsidRPr="008218C0">
        <w:rPr>
          <w:rFonts w:ascii="Times New Roman" w:hAnsi="Times New Roman" w:cs="Times New Roman"/>
        </w:rPr>
        <w:t xml:space="preserve">, its </w:t>
      </w:r>
      <w:r w:rsidR="008218C0" w:rsidRPr="008218C0">
        <w:rPr>
          <w:rFonts w:ascii="Times New Roman" w:hAnsi="Times New Roman" w:cs="Times New Roman"/>
        </w:rPr>
        <w:t>jurisdiction</w:t>
      </w:r>
      <w:r w:rsidRPr="008218C0">
        <w:rPr>
          <w:rFonts w:ascii="Times New Roman" w:hAnsi="Times New Roman" w:cs="Times New Roman"/>
        </w:rPr>
        <w:t xml:space="preserve"> in the case having been fully and finally exercised,</w:t>
      </w:r>
      <w:r w:rsidR="008218C0">
        <w:rPr>
          <w:rFonts w:ascii="Times New Roman" w:hAnsi="Times New Roman" w:cs="Times New Roman"/>
        </w:rPr>
        <w:t xml:space="preserve"> </w:t>
      </w:r>
      <w:r w:rsidRPr="008218C0">
        <w:rPr>
          <w:rFonts w:ascii="Times New Roman" w:hAnsi="Times New Roman" w:cs="Times New Roman"/>
        </w:rPr>
        <w:t>its authority over the subject matter has ceased….There are however a few exceptions to the rule which are mentioned in the old authorities and have been</w:t>
      </w:r>
      <w:r>
        <w:rPr>
          <w:rFonts w:ascii="Times New Roman" w:hAnsi="Times New Roman" w:cs="Times New Roman"/>
          <w:sz w:val="24"/>
          <w:szCs w:val="24"/>
        </w:rPr>
        <w:t xml:space="preserve"> authoritatively accepted by this court …it may correct, alter or supplement it in one or more of the following cases:</w:t>
      </w:r>
    </w:p>
    <w:p w:rsidR="001A5EA1" w:rsidRPr="008218C0" w:rsidRDefault="008218C0" w:rsidP="008218C0">
      <w:pPr>
        <w:spacing w:after="0" w:line="276" w:lineRule="auto"/>
        <w:ind w:left="1440"/>
        <w:jc w:val="both"/>
        <w:rPr>
          <w:rFonts w:ascii="Times New Roman" w:eastAsia="Calibri" w:hAnsi="Times New Roman" w:cs="Times New Roman"/>
          <w:lang w:val="en-US"/>
        </w:rPr>
      </w:pPr>
      <w:r>
        <w:rPr>
          <w:rFonts w:ascii="Times New Roman" w:hAnsi="Times New Roman" w:cs="Times New Roman"/>
          <w:sz w:val="24"/>
          <w:szCs w:val="24"/>
        </w:rPr>
        <w:lastRenderedPageBreak/>
        <w:t>(i)</w:t>
      </w:r>
      <w:r w:rsidR="00F27930" w:rsidRPr="008218C0">
        <w:rPr>
          <w:rFonts w:ascii="Times New Roman" w:hAnsi="Times New Roman" w:cs="Times New Roman"/>
          <w:sz w:val="24"/>
          <w:szCs w:val="24"/>
        </w:rPr>
        <w:t xml:space="preserve"> </w:t>
      </w:r>
      <w:r w:rsidR="001A5EA1" w:rsidRPr="008218C0">
        <w:rPr>
          <w:rFonts w:ascii="Times New Roman" w:eastAsia="Calibri" w:hAnsi="Times New Roman" w:cs="Times New Roman"/>
          <w:lang w:val="en-US"/>
        </w:rPr>
        <w:t>The principal judgment or order may be supplemented in respect of accessory or consequential     matters for example costs or interest on the judgment debt, which the court overlooked or inadvertently omitted to grant…</w:t>
      </w:r>
    </w:p>
    <w:p w:rsidR="001A5EA1" w:rsidRPr="001A5EA1" w:rsidRDefault="008218C0" w:rsidP="008218C0">
      <w:pPr>
        <w:spacing w:after="0" w:line="276" w:lineRule="auto"/>
        <w:ind w:left="1440"/>
        <w:jc w:val="both"/>
        <w:rPr>
          <w:rFonts w:ascii="Times New Roman" w:eastAsia="Calibri" w:hAnsi="Times New Roman" w:cs="Times New Roman"/>
          <w:lang w:val="en-US"/>
        </w:rPr>
      </w:pPr>
      <w:r>
        <w:rPr>
          <w:rFonts w:ascii="Times New Roman" w:eastAsia="Calibri" w:hAnsi="Times New Roman" w:cs="Times New Roman"/>
          <w:lang w:val="en-US"/>
        </w:rPr>
        <w:t>(ii)</w:t>
      </w:r>
      <w:r w:rsidR="001A5EA1" w:rsidRPr="001A5EA1">
        <w:rPr>
          <w:rFonts w:ascii="Times New Roman" w:eastAsia="Calibri" w:hAnsi="Times New Roman" w:cs="Times New Roman"/>
          <w:lang w:val="en-US"/>
        </w:rPr>
        <w:t xml:space="preserve"> The court may clarify its judgment or order if on a proper inter</w:t>
      </w:r>
      <w:r>
        <w:rPr>
          <w:rFonts w:ascii="Times New Roman" w:eastAsia="Calibri" w:hAnsi="Times New Roman" w:cs="Times New Roman"/>
          <w:lang w:val="en-US"/>
        </w:rPr>
        <w:t xml:space="preserve">pretation, the meaning thereof </w:t>
      </w:r>
      <w:r w:rsidR="001A5EA1" w:rsidRPr="001A5EA1">
        <w:rPr>
          <w:rFonts w:ascii="Times New Roman" w:eastAsia="Calibri" w:hAnsi="Times New Roman" w:cs="Times New Roman"/>
          <w:lang w:val="en-US"/>
        </w:rPr>
        <w:t xml:space="preserve">remains obscure, ambiguous or otherwise uncertain, so as to give effect to its true intention, </w:t>
      </w:r>
      <w:r>
        <w:rPr>
          <w:rFonts w:ascii="Times New Roman" w:eastAsia="Calibri" w:hAnsi="Times New Roman" w:cs="Times New Roman"/>
          <w:lang w:val="en-US"/>
        </w:rPr>
        <w:t>p</w:t>
      </w:r>
      <w:r w:rsidR="001A5EA1" w:rsidRPr="001A5EA1">
        <w:rPr>
          <w:rFonts w:ascii="Times New Roman" w:eastAsia="Calibri" w:hAnsi="Times New Roman" w:cs="Times New Roman"/>
          <w:lang w:val="en-US"/>
        </w:rPr>
        <w:t>rovided it does not thereby alter “the sense and substance” of the judgment or order…</w:t>
      </w:r>
    </w:p>
    <w:p w:rsidR="001A5EA1" w:rsidRPr="001A5EA1" w:rsidRDefault="001A5EA1" w:rsidP="008218C0">
      <w:pPr>
        <w:spacing w:after="0" w:line="276" w:lineRule="auto"/>
        <w:ind w:left="1440"/>
        <w:jc w:val="both"/>
        <w:rPr>
          <w:rFonts w:ascii="Times New Roman" w:eastAsia="Calibri" w:hAnsi="Times New Roman" w:cs="Times New Roman"/>
          <w:lang w:val="en-US"/>
        </w:rPr>
      </w:pPr>
      <w:r w:rsidRPr="001A5EA1">
        <w:rPr>
          <w:rFonts w:ascii="Times New Roman" w:eastAsia="Calibri" w:hAnsi="Times New Roman" w:cs="Times New Roman"/>
          <w:lang w:val="en-US"/>
        </w:rPr>
        <w:t xml:space="preserve">(iii)  The court may correct a clerical, arithmetical or other error in its judgment in order to </w:t>
      </w:r>
      <w:r w:rsidR="008218C0" w:rsidRPr="001A5EA1">
        <w:rPr>
          <w:rFonts w:ascii="Times New Roman" w:eastAsia="Calibri" w:hAnsi="Times New Roman" w:cs="Times New Roman"/>
          <w:lang w:val="en-US"/>
        </w:rPr>
        <w:t>give</w:t>
      </w:r>
      <w:r w:rsidR="008218C0">
        <w:rPr>
          <w:rFonts w:ascii="Times New Roman" w:eastAsia="Calibri" w:hAnsi="Times New Roman" w:cs="Times New Roman"/>
          <w:lang w:val="en-US"/>
        </w:rPr>
        <w:t xml:space="preserve"> </w:t>
      </w:r>
      <w:r w:rsidR="008218C0" w:rsidRPr="001A5EA1">
        <w:rPr>
          <w:rFonts w:ascii="Times New Roman" w:eastAsia="Calibri" w:hAnsi="Times New Roman" w:cs="Times New Roman"/>
          <w:lang w:val="en-US"/>
        </w:rPr>
        <w:t>effect</w:t>
      </w:r>
      <w:r w:rsidRPr="001A5EA1">
        <w:rPr>
          <w:rFonts w:ascii="Times New Roman" w:eastAsia="Calibri" w:hAnsi="Times New Roman" w:cs="Times New Roman"/>
          <w:lang w:val="en-US"/>
        </w:rPr>
        <w:t xml:space="preserve"> to its true intention…</w:t>
      </w:r>
    </w:p>
    <w:p w:rsidR="001A5EA1" w:rsidRDefault="001A5EA1" w:rsidP="008218C0">
      <w:pPr>
        <w:spacing w:after="0" w:line="276" w:lineRule="auto"/>
        <w:ind w:left="1440" w:firstLine="60"/>
        <w:jc w:val="both"/>
        <w:rPr>
          <w:rFonts w:ascii="Times New Roman" w:eastAsia="Calibri" w:hAnsi="Times New Roman" w:cs="Times New Roman"/>
          <w:lang w:val="en-US"/>
        </w:rPr>
      </w:pPr>
      <w:r w:rsidRPr="001A5EA1">
        <w:rPr>
          <w:rFonts w:ascii="Times New Roman" w:eastAsia="Calibri" w:hAnsi="Times New Roman" w:cs="Times New Roman"/>
          <w:lang w:val="en-US"/>
        </w:rPr>
        <w:t>(iv)   Where counsel has argued the merits and not the costs of a ca</w:t>
      </w:r>
      <w:r w:rsidR="008218C0">
        <w:rPr>
          <w:rFonts w:ascii="Times New Roman" w:eastAsia="Calibri" w:hAnsi="Times New Roman" w:cs="Times New Roman"/>
          <w:lang w:val="en-US"/>
        </w:rPr>
        <w:t xml:space="preserve">se…but the court makes an order </w:t>
      </w:r>
      <w:r w:rsidRPr="001A5EA1">
        <w:rPr>
          <w:rFonts w:ascii="Times New Roman" w:eastAsia="Calibri" w:hAnsi="Times New Roman" w:cs="Times New Roman"/>
          <w:lang w:val="en-US"/>
        </w:rPr>
        <w:t>granting costs…it may thereafter correct, supplement or alter the order…”</w:t>
      </w:r>
    </w:p>
    <w:p w:rsidR="00A269A6" w:rsidRDefault="00A269A6" w:rsidP="001A5EA1">
      <w:pPr>
        <w:spacing w:after="0" w:line="240" w:lineRule="auto"/>
        <w:jc w:val="both"/>
        <w:rPr>
          <w:rFonts w:ascii="Times New Roman" w:eastAsia="Calibri" w:hAnsi="Times New Roman" w:cs="Times New Roman"/>
          <w:lang w:val="en-US"/>
        </w:rPr>
      </w:pPr>
    </w:p>
    <w:p w:rsidR="00272F32" w:rsidRDefault="008218C0" w:rsidP="00272F32">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en-ZW"/>
        </w:rPr>
      </w:pPr>
      <w:r w:rsidRPr="00272F32">
        <w:rPr>
          <w:rFonts w:ascii="Times New Roman" w:eastAsia="Calibri" w:hAnsi="Times New Roman" w:cs="Times New Roman"/>
          <w:sz w:val="24"/>
          <w:szCs w:val="24"/>
          <w:lang w:val="en-US"/>
        </w:rPr>
        <w:t xml:space="preserve">In </w:t>
      </w:r>
      <w:r w:rsidRPr="00272F32">
        <w:rPr>
          <w:rFonts w:ascii="Times New Roman" w:eastAsia="Calibri" w:hAnsi="Times New Roman" w:cs="Times New Roman"/>
          <w:i/>
          <w:sz w:val="24"/>
          <w:szCs w:val="24"/>
          <w:lang w:val="en-US"/>
        </w:rPr>
        <w:t>Makoni</w:t>
      </w:r>
      <w:r w:rsidR="00A269A6" w:rsidRPr="00272F32">
        <w:rPr>
          <w:rFonts w:ascii="Times New Roman" w:eastAsia="Calibri" w:hAnsi="Times New Roman" w:cs="Times New Roman"/>
          <w:i/>
          <w:sz w:val="24"/>
          <w:szCs w:val="24"/>
          <w:lang w:val="en-US"/>
        </w:rPr>
        <w:t xml:space="preserve"> </w:t>
      </w:r>
      <w:r w:rsidR="00A269A6" w:rsidRPr="00552213">
        <w:rPr>
          <w:rFonts w:ascii="Times New Roman" w:eastAsia="Calibri" w:hAnsi="Times New Roman" w:cs="Times New Roman"/>
          <w:sz w:val="24"/>
          <w:szCs w:val="24"/>
          <w:lang w:val="en-US"/>
        </w:rPr>
        <w:t>v</w:t>
      </w:r>
      <w:r w:rsidR="00A269A6" w:rsidRPr="00272F32">
        <w:rPr>
          <w:rFonts w:ascii="Times New Roman" w:eastAsia="Calibri" w:hAnsi="Times New Roman" w:cs="Times New Roman"/>
          <w:i/>
          <w:sz w:val="24"/>
          <w:szCs w:val="24"/>
          <w:lang w:val="en-US"/>
        </w:rPr>
        <w:t xml:space="preserve"> The Cold </w:t>
      </w:r>
      <w:r w:rsidRPr="00272F32">
        <w:rPr>
          <w:rFonts w:ascii="Times New Roman" w:eastAsia="Calibri" w:hAnsi="Times New Roman" w:cs="Times New Roman"/>
          <w:i/>
          <w:sz w:val="24"/>
          <w:szCs w:val="24"/>
          <w:lang w:val="en-US"/>
        </w:rPr>
        <w:t xml:space="preserve">Chain </w:t>
      </w:r>
      <w:r w:rsidR="00272F32" w:rsidRPr="00272F32">
        <w:rPr>
          <w:rFonts w:ascii="Times New Roman" w:eastAsia="Calibri" w:hAnsi="Times New Roman" w:cs="Times New Roman"/>
          <w:i/>
          <w:sz w:val="24"/>
          <w:szCs w:val="24"/>
          <w:lang w:val="en-US"/>
        </w:rPr>
        <w:t>Limited</w:t>
      </w:r>
      <w:r w:rsidR="00272F32" w:rsidRPr="00272F32">
        <w:rPr>
          <w:rStyle w:val="FootnoteReference"/>
          <w:rFonts w:ascii="Times New Roman" w:eastAsia="Calibri" w:hAnsi="Times New Roman" w:cs="Times New Roman"/>
          <w:i/>
          <w:sz w:val="24"/>
          <w:szCs w:val="24"/>
          <w:lang w:val="en-US"/>
        </w:rPr>
        <w:footnoteReference w:id="3"/>
      </w:r>
      <w:r w:rsidR="00272F32" w:rsidRPr="00272F32">
        <w:rPr>
          <w:rFonts w:ascii="Times New Roman" w:eastAsia="Calibri" w:hAnsi="Times New Roman" w:cs="Times New Roman"/>
          <w:sz w:val="24"/>
          <w:szCs w:val="24"/>
          <w:lang w:val="en-US"/>
        </w:rPr>
        <w:t xml:space="preserve"> </w:t>
      </w:r>
      <w:r w:rsidR="00A269A6" w:rsidRPr="00272F32">
        <w:rPr>
          <w:rFonts w:ascii="Times New Roman" w:eastAsia="Calibri" w:hAnsi="Times New Roman" w:cs="Times New Roman"/>
          <w:sz w:val="24"/>
          <w:szCs w:val="24"/>
          <w:lang w:val="en-US"/>
        </w:rPr>
        <w:t xml:space="preserve">the appeal court considered the applicability of the common law principle of </w:t>
      </w:r>
      <w:r w:rsidR="00A269A6" w:rsidRPr="00272F32">
        <w:rPr>
          <w:rFonts w:ascii="Times New Roman" w:eastAsia="Calibri" w:hAnsi="Times New Roman" w:cs="Times New Roman"/>
          <w:i/>
          <w:sz w:val="24"/>
          <w:szCs w:val="24"/>
          <w:lang w:val="en-US"/>
        </w:rPr>
        <w:t xml:space="preserve">functus </w:t>
      </w:r>
      <w:r w:rsidR="00272F32" w:rsidRPr="00272F32">
        <w:rPr>
          <w:rFonts w:ascii="Times New Roman" w:eastAsia="Calibri" w:hAnsi="Times New Roman" w:cs="Times New Roman"/>
          <w:i/>
          <w:sz w:val="24"/>
          <w:szCs w:val="24"/>
          <w:lang w:val="en-US"/>
        </w:rPr>
        <w:t>officio</w:t>
      </w:r>
      <w:r w:rsidR="00272F32" w:rsidRPr="00272F32">
        <w:rPr>
          <w:rFonts w:ascii="Times New Roman" w:eastAsia="Calibri" w:hAnsi="Times New Roman" w:cs="Times New Roman"/>
          <w:sz w:val="24"/>
          <w:szCs w:val="24"/>
          <w:lang w:val="en-US"/>
        </w:rPr>
        <w:t xml:space="preserve"> .</w:t>
      </w:r>
      <w:r w:rsidR="00A269A6" w:rsidRPr="00272F32">
        <w:rPr>
          <w:rFonts w:ascii="Times New Roman" w:eastAsia="Calibri" w:hAnsi="Times New Roman" w:cs="Times New Roman"/>
          <w:sz w:val="24"/>
          <w:szCs w:val="24"/>
          <w:lang w:val="en-US"/>
        </w:rPr>
        <w:t xml:space="preserve">In that case the court </w:t>
      </w:r>
      <w:r w:rsidR="00A269A6" w:rsidRPr="00272F32">
        <w:rPr>
          <w:rFonts w:ascii="Times New Roman" w:eastAsia="Calibri" w:hAnsi="Times New Roman" w:cs="Times New Roman"/>
          <w:i/>
          <w:sz w:val="24"/>
          <w:szCs w:val="24"/>
          <w:lang w:val="en-US"/>
        </w:rPr>
        <w:t>a quo</w:t>
      </w:r>
      <w:r w:rsidR="00A269A6" w:rsidRPr="00272F32">
        <w:rPr>
          <w:rFonts w:ascii="Times New Roman" w:eastAsia="Calibri" w:hAnsi="Times New Roman" w:cs="Times New Roman"/>
          <w:sz w:val="24"/>
          <w:szCs w:val="24"/>
          <w:lang w:val="en-US"/>
        </w:rPr>
        <w:t xml:space="preserve"> had declined jurisdiction on the basis of it being </w:t>
      </w:r>
      <w:r w:rsidR="00A269A6" w:rsidRPr="00763862">
        <w:rPr>
          <w:rFonts w:ascii="Times New Roman" w:eastAsia="Calibri" w:hAnsi="Times New Roman" w:cs="Times New Roman"/>
          <w:i/>
          <w:sz w:val="24"/>
          <w:szCs w:val="24"/>
          <w:lang w:val="en-US"/>
        </w:rPr>
        <w:t>functus officio</w:t>
      </w:r>
      <w:r w:rsidR="00A269A6" w:rsidRPr="00272F32">
        <w:rPr>
          <w:rFonts w:ascii="Times New Roman" w:eastAsia="Calibri" w:hAnsi="Times New Roman" w:cs="Times New Roman"/>
          <w:sz w:val="24"/>
          <w:szCs w:val="24"/>
          <w:lang w:val="en-US"/>
        </w:rPr>
        <w:t xml:space="preserve"> in a matter where the applicant applied for his Zimbabwean dollar awards to be converted to United States Dollars, because the Zimbabwean dollar had become moribund.</w:t>
      </w:r>
      <w:r w:rsidR="00A269A6" w:rsidRPr="00272F32">
        <w:rPr>
          <w:rFonts w:ascii="Times New Roman" w:eastAsia="Times New Roman" w:hAnsi="Times New Roman" w:cs="Times New Roman"/>
          <w:color w:val="000000"/>
          <w:sz w:val="24"/>
          <w:szCs w:val="24"/>
          <w:lang w:eastAsia="en-ZW"/>
        </w:rPr>
        <w:t xml:space="preserve"> </w:t>
      </w:r>
      <w:r w:rsidR="00272F32">
        <w:rPr>
          <w:rFonts w:ascii="Times New Roman" w:eastAsia="Times New Roman" w:hAnsi="Times New Roman" w:cs="Times New Roman"/>
          <w:color w:val="000000"/>
          <w:sz w:val="24"/>
          <w:szCs w:val="24"/>
          <w:lang w:eastAsia="en-ZW"/>
        </w:rPr>
        <w:t>The court had this to say,</w:t>
      </w:r>
    </w:p>
    <w:p w:rsidR="00552213" w:rsidRDefault="00F926CB" w:rsidP="00552213">
      <w:pPr>
        <w:autoSpaceDE w:val="0"/>
        <w:autoSpaceDN w:val="0"/>
        <w:adjustRightInd w:val="0"/>
        <w:spacing w:after="0" w:line="276" w:lineRule="auto"/>
        <w:ind w:left="720"/>
        <w:jc w:val="both"/>
        <w:rPr>
          <w:rFonts w:ascii="Times New Roman" w:eastAsia="Times New Roman" w:hAnsi="Times New Roman" w:cs="Times New Roman"/>
          <w:color w:val="000000"/>
          <w:lang w:eastAsia="en-ZW"/>
        </w:rPr>
      </w:pPr>
      <w:r w:rsidRPr="00272F32">
        <w:rPr>
          <w:rFonts w:ascii="Times New Roman" w:eastAsia="Times New Roman" w:hAnsi="Times New Roman" w:cs="Times New Roman"/>
          <w:color w:val="000000"/>
          <w:lang w:eastAsia="en-ZW"/>
        </w:rPr>
        <w:t>‘</w:t>
      </w:r>
      <w:r w:rsidR="00A269A6" w:rsidRPr="00272F32">
        <w:rPr>
          <w:rFonts w:ascii="Times New Roman" w:eastAsia="Times New Roman" w:hAnsi="Times New Roman" w:cs="Times New Roman"/>
          <w:color w:val="000000"/>
          <w:lang w:eastAsia="en-ZW"/>
        </w:rPr>
        <w:t xml:space="preserve">The </w:t>
      </w:r>
      <w:r w:rsidR="00A269A6" w:rsidRPr="00272F32">
        <w:rPr>
          <w:rFonts w:ascii="Times New Roman" w:eastAsia="Times New Roman" w:hAnsi="Times New Roman" w:cs="Times New Roman"/>
          <w:i/>
          <w:color w:val="000000"/>
          <w:lang w:eastAsia="en-ZW"/>
        </w:rPr>
        <w:t xml:space="preserve">functus officio </w:t>
      </w:r>
      <w:r w:rsidR="00A269A6" w:rsidRPr="00272F32">
        <w:rPr>
          <w:rFonts w:ascii="Times New Roman" w:eastAsia="Times New Roman" w:hAnsi="Times New Roman" w:cs="Times New Roman"/>
          <w:color w:val="000000"/>
          <w:lang w:eastAsia="en-ZW"/>
        </w:rPr>
        <w:t xml:space="preserve">rule does not apply when a litigant applies for the clarification </w:t>
      </w:r>
      <w:r w:rsidR="00272F32" w:rsidRPr="00272F32">
        <w:rPr>
          <w:rFonts w:ascii="Times New Roman" w:eastAsia="Times New Roman" w:hAnsi="Times New Roman" w:cs="Times New Roman"/>
          <w:color w:val="000000"/>
          <w:lang w:eastAsia="en-ZW"/>
        </w:rPr>
        <w:t>or of</w:t>
      </w:r>
      <w:r w:rsidR="00A269A6" w:rsidRPr="00272F32">
        <w:rPr>
          <w:rFonts w:ascii="Times New Roman" w:eastAsia="Times New Roman" w:hAnsi="Times New Roman" w:cs="Times New Roman"/>
          <w:color w:val="000000"/>
          <w:lang w:eastAsia="en-ZW"/>
        </w:rPr>
        <w:t xml:space="preserve"> a court order because of a subsequent dispute which arises over the clarity or interpretation of the court’s award. The new dispute which has never been before the courts and could not have been reasonably expected to arise, cannot, in my view be determined in relation to the general </w:t>
      </w:r>
      <w:r w:rsidR="00A269A6" w:rsidRPr="00272F32">
        <w:rPr>
          <w:rFonts w:ascii="Times New Roman" w:eastAsia="Times New Roman" w:hAnsi="Times New Roman" w:cs="Times New Roman"/>
          <w:i/>
          <w:color w:val="000000"/>
          <w:lang w:eastAsia="en-ZW"/>
        </w:rPr>
        <w:t xml:space="preserve">functus officio </w:t>
      </w:r>
      <w:r w:rsidR="00A269A6" w:rsidRPr="00272F32">
        <w:rPr>
          <w:rFonts w:ascii="Times New Roman" w:eastAsia="Times New Roman" w:hAnsi="Times New Roman" w:cs="Times New Roman"/>
          <w:color w:val="000000"/>
          <w:lang w:eastAsia="en-ZW"/>
        </w:rPr>
        <w:t>rule which can be departed from when it is in the interest of justice to do so</w:t>
      </w:r>
      <w:r w:rsidR="00272F32" w:rsidRPr="00272F32">
        <w:rPr>
          <w:rFonts w:ascii="Times New Roman" w:eastAsia="Times New Roman" w:hAnsi="Times New Roman" w:cs="Times New Roman"/>
          <w:color w:val="000000"/>
          <w:lang w:eastAsia="en-ZW"/>
        </w:rPr>
        <w:t>’</w:t>
      </w:r>
      <w:r w:rsidR="00A269A6" w:rsidRPr="00272F32">
        <w:rPr>
          <w:rFonts w:ascii="Times New Roman" w:eastAsia="Times New Roman" w:hAnsi="Times New Roman" w:cs="Times New Roman"/>
          <w:color w:val="000000"/>
          <w:lang w:eastAsia="en-ZW"/>
        </w:rPr>
        <w:t xml:space="preserve">. </w:t>
      </w:r>
    </w:p>
    <w:p w:rsidR="00A269A6" w:rsidRPr="00552213" w:rsidRDefault="00A269A6" w:rsidP="00552213">
      <w:pPr>
        <w:autoSpaceDE w:val="0"/>
        <w:autoSpaceDN w:val="0"/>
        <w:adjustRightInd w:val="0"/>
        <w:spacing w:after="0" w:line="276" w:lineRule="auto"/>
        <w:ind w:left="720"/>
        <w:jc w:val="both"/>
        <w:rPr>
          <w:rFonts w:ascii="Times New Roman" w:eastAsia="Times New Roman" w:hAnsi="Times New Roman" w:cs="Times New Roman"/>
          <w:color w:val="000000"/>
          <w:lang w:eastAsia="en-ZW"/>
        </w:rPr>
      </w:pPr>
      <w:r w:rsidRPr="00272F32">
        <w:rPr>
          <w:rFonts w:ascii="Times New Roman" w:eastAsia="Times New Roman" w:hAnsi="Times New Roman" w:cs="Times New Roman"/>
          <w:lang w:eastAsia="en-ZW"/>
        </w:rPr>
        <w:t xml:space="preserve">  </w:t>
      </w:r>
    </w:p>
    <w:p w:rsidR="00A269A6" w:rsidRPr="00272F32" w:rsidRDefault="00552213" w:rsidP="00272F32">
      <w:pPr>
        <w:autoSpaceDE w:val="0"/>
        <w:autoSpaceDN w:val="0"/>
        <w:adjustRightInd w:val="0"/>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ab/>
      </w:r>
      <w:r w:rsidR="00272F32">
        <w:rPr>
          <w:rFonts w:ascii="Times New Roman" w:eastAsia="Times New Roman" w:hAnsi="Times New Roman" w:cs="Times New Roman"/>
          <w:color w:val="000000"/>
          <w:sz w:val="24"/>
          <w:szCs w:val="24"/>
          <w:lang w:eastAsia="en-ZW"/>
        </w:rPr>
        <w:t xml:space="preserve">The learned authors </w:t>
      </w:r>
      <w:r w:rsidR="00A269A6" w:rsidRPr="00552213">
        <w:rPr>
          <w:rFonts w:ascii="Times New Roman" w:eastAsia="Times New Roman" w:hAnsi="Times New Roman" w:cs="Times New Roman"/>
          <w:i/>
          <w:color w:val="000000"/>
          <w:sz w:val="24"/>
          <w:szCs w:val="24"/>
          <w:lang w:eastAsia="en-ZW"/>
        </w:rPr>
        <w:t>Herbstei</w:t>
      </w:r>
      <w:r w:rsidR="00272F32" w:rsidRPr="00552213">
        <w:rPr>
          <w:rFonts w:ascii="Times New Roman" w:eastAsia="Times New Roman" w:hAnsi="Times New Roman" w:cs="Times New Roman"/>
          <w:i/>
          <w:color w:val="000000"/>
          <w:sz w:val="24"/>
          <w:szCs w:val="24"/>
          <w:lang w:eastAsia="en-ZW"/>
        </w:rPr>
        <w:t xml:space="preserve">n </w:t>
      </w:r>
      <w:r>
        <w:rPr>
          <w:rFonts w:ascii="Times New Roman" w:eastAsia="Times New Roman" w:hAnsi="Times New Roman" w:cs="Times New Roman"/>
          <w:i/>
          <w:color w:val="000000"/>
          <w:sz w:val="24"/>
          <w:szCs w:val="24"/>
          <w:lang w:eastAsia="en-ZW"/>
        </w:rPr>
        <w:t xml:space="preserve">&amp; </w:t>
      </w:r>
      <w:r w:rsidR="00272F32" w:rsidRPr="00552213">
        <w:rPr>
          <w:rFonts w:ascii="Times New Roman" w:eastAsia="Times New Roman" w:hAnsi="Times New Roman" w:cs="Times New Roman"/>
          <w:i/>
          <w:color w:val="000000"/>
          <w:sz w:val="24"/>
          <w:szCs w:val="24"/>
          <w:lang w:eastAsia="en-ZW"/>
        </w:rPr>
        <w:t>Van Winsen</w:t>
      </w:r>
      <w:r w:rsidR="00272F32">
        <w:rPr>
          <w:rStyle w:val="FootnoteReference"/>
          <w:rFonts w:ascii="Times New Roman" w:eastAsia="Times New Roman" w:hAnsi="Times New Roman" w:cs="Times New Roman"/>
          <w:color w:val="000000"/>
          <w:sz w:val="24"/>
          <w:szCs w:val="24"/>
          <w:lang w:eastAsia="en-ZW"/>
        </w:rPr>
        <w:footnoteReference w:id="4"/>
      </w:r>
      <w:r w:rsidR="00272F32">
        <w:rPr>
          <w:rFonts w:ascii="Times New Roman" w:eastAsia="Times New Roman" w:hAnsi="Times New Roman" w:cs="Times New Roman"/>
          <w:color w:val="000000"/>
          <w:sz w:val="24"/>
          <w:szCs w:val="24"/>
          <w:lang w:eastAsia="en-ZW"/>
        </w:rPr>
        <w:t xml:space="preserve"> </w:t>
      </w:r>
      <w:r w:rsidR="00A269A6" w:rsidRPr="00272F32">
        <w:rPr>
          <w:rFonts w:ascii="Times New Roman" w:eastAsia="Times New Roman" w:hAnsi="Times New Roman" w:cs="Times New Roman"/>
          <w:color w:val="000000"/>
          <w:sz w:val="24"/>
          <w:szCs w:val="24"/>
          <w:lang w:eastAsia="en-ZW"/>
        </w:rPr>
        <w:t xml:space="preserve"> discuss</w:t>
      </w:r>
      <w:r w:rsidR="002D1E9D">
        <w:rPr>
          <w:rFonts w:ascii="Times New Roman" w:eastAsia="Times New Roman" w:hAnsi="Times New Roman" w:cs="Times New Roman"/>
          <w:color w:val="000000"/>
          <w:sz w:val="24"/>
          <w:szCs w:val="24"/>
          <w:lang w:eastAsia="en-ZW"/>
        </w:rPr>
        <w:t>ed the</w:t>
      </w:r>
      <w:r w:rsidR="00A269A6" w:rsidRPr="00272F32">
        <w:rPr>
          <w:rFonts w:ascii="Times New Roman" w:eastAsia="Times New Roman" w:hAnsi="Times New Roman" w:cs="Times New Roman"/>
          <w:color w:val="000000"/>
          <w:sz w:val="24"/>
          <w:szCs w:val="24"/>
          <w:lang w:eastAsia="en-ZW"/>
        </w:rPr>
        <w:t xml:space="preserve"> departure from the </w:t>
      </w:r>
      <w:r w:rsidR="00A269A6" w:rsidRPr="00272F32">
        <w:rPr>
          <w:rFonts w:ascii="Times New Roman" w:eastAsia="Times New Roman" w:hAnsi="Times New Roman" w:cs="Times New Roman"/>
          <w:i/>
          <w:color w:val="000000"/>
          <w:sz w:val="24"/>
          <w:szCs w:val="24"/>
          <w:lang w:eastAsia="en-ZW"/>
        </w:rPr>
        <w:t>functus officio</w:t>
      </w:r>
      <w:r w:rsidR="00A269A6" w:rsidRPr="00272F32">
        <w:rPr>
          <w:rFonts w:ascii="Times New Roman" w:eastAsia="Times New Roman" w:hAnsi="Times New Roman" w:cs="Times New Roman"/>
          <w:color w:val="000000"/>
          <w:sz w:val="24"/>
          <w:szCs w:val="24"/>
          <w:lang w:eastAsia="en-ZW"/>
        </w:rPr>
        <w:t xml:space="preserve"> rule </w:t>
      </w:r>
      <w:r w:rsidR="00272F32">
        <w:rPr>
          <w:rFonts w:ascii="Times New Roman" w:eastAsia="Times New Roman" w:hAnsi="Times New Roman" w:cs="Times New Roman"/>
          <w:color w:val="000000"/>
          <w:sz w:val="24"/>
          <w:szCs w:val="24"/>
          <w:lang w:eastAsia="en-ZW"/>
        </w:rPr>
        <w:t>and opine</w:t>
      </w:r>
      <w:r w:rsidR="002D1E9D">
        <w:rPr>
          <w:rFonts w:ascii="Times New Roman" w:eastAsia="Times New Roman" w:hAnsi="Times New Roman" w:cs="Times New Roman"/>
          <w:color w:val="000000"/>
          <w:sz w:val="24"/>
          <w:szCs w:val="24"/>
          <w:lang w:eastAsia="en-ZW"/>
        </w:rPr>
        <w:t>d</w:t>
      </w:r>
      <w:r w:rsidR="00272F32">
        <w:rPr>
          <w:rFonts w:ascii="Times New Roman" w:eastAsia="Times New Roman" w:hAnsi="Times New Roman" w:cs="Times New Roman"/>
          <w:color w:val="000000"/>
          <w:sz w:val="24"/>
          <w:szCs w:val="24"/>
          <w:lang w:eastAsia="en-ZW"/>
        </w:rPr>
        <w:t xml:space="preserve"> that,</w:t>
      </w:r>
    </w:p>
    <w:p w:rsidR="00A269A6" w:rsidRDefault="00A269A6" w:rsidP="00552213">
      <w:pPr>
        <w:autoSpaceDE w:val="0"/>
        <w:autoSpaceDN w:val="0"/>
        <w:adjustRightInd w:val="0"/>
        <w:spacing w:after="0" w:line="276" w:lineRule="auto"/>
        <w:ind w:left="720"/>
        <w:jc w:val="both"/>
        <w:rPr>
          <w:rFonts w:ascii="Times New Roman" w:eastAsia="Times New Roman" w:hAnsi="Times New Roman" w:cs="Times New Roman"/>
          <w:color w:val="000000"/>
          <w:sz w:val="24"/>
          <w:szCs w:val="24"/>
          <w:lang w:eastAsia="en-ZW"/>
        </w:rPr>
      </w:pPr>
      <w:r w:rsidRPr="00272F32">
        <w:rPr>
          <w:rFonts w:ascii="Times New Roman" w:eastAsia="Times New Roman" w:hAnsi="Times New Roman" w:cs="Times New Roman"/>
          <w:color w:val="000000"/>
          <w:lang w:eastAsia="en-ZW"/>
        </w:rPr>
        <w:t xml:space="preserve">“This list of exceptions is not considered to be exhaustive. </w:t>
      </w:r>
      <w:r w:rsidRPr="00272F32">
        <w:rPr>
          <w:rFonts w:ascii="Times New Roman" w:eastAsia="Times New Roman" w:hAnsi="Times New Roman" w:cs="Times New Roman"/>
          <w:b/>
          <w:color w:val="000000"/>
          <w:lang w:eastAsia="en-ZW"/>
        </w:rPr>
        <w:t>The general rule is departed from when it is in the interests of justice to do so and where there is a need to adapt the common law to changing circumstances to meet modern exigencies.</w:t>
      </w:r>
      <w:r w:rsidRPr="00272F32">
        <w:rPr>
          <w:rFonts w:ascii="Times New Roman" w:eastAsia="Times New Roman" w:hAnsi="Times New Roman" w:cs="Times New Roman"/>
          <w:color w:val="000000"/>
          <w:lang w:eastAsia="en-ZW"/>
        </w:rPr>
        <w:t xml:space="preserve"> What is just and equitable will ordinarily be in the interests of justice. In departing fro</w:t>
      </w:r>
      <w:r w:rsidR="00272F32" w:rsidRPr="00272F32">
        <w:rPr>
          <w:rFonts w:ascii="Times New Roman" w:eastAsia="Times New Roman" w:hAnsi="Times New Roman" w:cs="Times New Roman"/>
          <w:color w:val="000000"/>
          <w:lang w:eastAsia="en-ZW"/>
        </w:rPr>
        <w:t>m the general rule, the courts</w:t>
      </w:r>
      <w:r w:rsidRPr="00272F32">
        <w:rPr>
          <w:rFonts w:ascii="Times New Roman" w:eastAsia="Times New Roman" w:hAnsi="Times New Roman" w:cs="Times New Roman"/>
          <w:color w:val="000000"/>
          <w:lang w:eastAsia="en-ZW"/>
        </w:rPr>
        <w:t xml:space="preserve"> invoked their inherent powers to regulate their own processes”.</w:t>
      </w:r>
      <w:r w:rsidRPr="00272F32">
        <w:rPr>
          <w:rFonts w:ascii="Times New Roman" w:eastAsia="Times New Roman" w:hAnsi="Times New Roman" w:cs="Times New Roman"/>
          <w:color w:val="000000"/>
          <w:sz w:val="24"/>
          <w:szCs w:val="24"/>
          <w:lang w:eastAsia="en-ZW"/>
        </w:rPr>
        <w:t xml:space="preserve"> (emphasis added)</w:t>
      </w:r>
      <w:r w:rsidR="00272F32">
        <w:rPr>
          <w:rFonts w:ascii="Times New Roman" w:eastAsia="Times New Roman" w:hAnsi="Times New Roman" w:cs="Times New Roman"/>
          <w:color w:val="000000"/>
          <w:sz w:val="24"/>
          <w:szCs w:val="24"/>
          <w:lang w:eastAsia="en-ZW"/>
        </w:rPr>
        <w:t>.</w:t>
      </w:r>
    </w:p>
    <w:p w:rsidR="00552213" w:rsidRPr="00A269A6" w:rsidRDefault="00552213" w:rsidP="00552213">
      <w:pPr>
        <w:autoSpaceDE w:val="0"/>
        <w:autoSpaceDN w:val="0"/>
        <w:adjustRightInd w:val="0"/>
        <w:spacing w:after="0" w:line="276" w:lineRule="auto"/>
        <w:ind w:left="720"/>
        <w:jc w:val="both"/>
        <w:rPr>
          <w:rFonts w:ascii="Times New Roman" w:eastAsia="Times New Roman" w:hAnsi="Times New Roman" w:cs="Times New Roman"/>
          <w:color w:val="000000"/>
          <w:sz w:val="24"/>
          <w:szCs w:val="24"/>
          <w:lang w:eastAsia="en-ZW"/>
        </w:rPr>
      </w:pPr>
    </w:p>
    <w:p w:rsidR="001738F8" w:rsidRDefault="00F926CB" w:rsidP="00081696">
      <w:pPr>
        <w:autoSpaceDE w:val="0"/>
        <w:autoSpaceDN w:val="0"/>
        <w:adjustRightInd w:val="0"/>
        <w:spacing w:after="0" w:line="276" w:lineRule="auto"/>
        <w:ind w:firstLine="1440"/>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The above is authority that </w:t>
      </w:r>
      <w:r w:rsidR="00802E7D">
        <w:rPr>
          <w:rFonts w:ascii="Times New Roman" w:eastAsia="Times New Roman" w:hAnsi="Times New Roman" w:cs="Times New Roman"/>
          <w:color w:val="000000"/>
          <w:sz w:val="24"/>
          <w:szCs w:val="24"/>
          <w:lang w:eastAsia="en-ZW"/>
        </w:rPr>
        <w:t>the general rule</w:t>
      </w:r>
      <w:r w:rsidR="007D03F0">
        <w:rPr>
          <w:rFonts w:ascii="Times New Roman" w:eastAsia="Times New Roman" w:hAnsi="Times New Roman" w:cs="Times New Roman"/>
          <w:color w:val="000000"/>
          <w:sz w:val="24"/>
          <w:szCs w:val="24"/>
          <w:lang w:eastAsia="en-ZW"/>
        </w:rPr>
        <w:t xml:space="preserve"> is not cast in stone. It</w:t>
      </w:r>
      <w:r w:rsidR="00802E7D">
        <w:rPr>
          <w:rFonts w:ascii="Times New Roman" w:eastAsia="Times New Roman" w:hAnsi="Times New Roman" w:cs="Times New Roman"/>
          <w:color w:val="000000"/>
          <w:sz w:val="24"/>
          <w:szCs w:val="24"/>
          <w:lang w:eastAsia="en-ZW"/>
        </w:rPr>
        <w:t xml:space="preserve"> can be relaxed in the interest of </w:t>
      </w:r>
      <w:r w:rsidR="007D03F0">
        <w:rPr>
          <w:rFonts w:ascii="Times New Roman" w:eastAsia="Times New Roman" w:hAnsi="Times New Roman" w:cs="Times New Roman"/>
          <w:color w:val="000000"/>
          <w:sz w:val="24"/>
          <w:szCs w:val="24"/>
          <w:lang w:eastAsia="en-ZW"/>
        </w:rPr>
        <w:t>justice. In this case the court is being asked to give effect to its order in light of the established position of the law.</w:t>
      </w:r>
      <w:r w:rsidR="003057AB" w:rsidRPr="003057AB">
        <w:rPr>
          <w:rFonts w:ascii="Times New Roman" w:eastAsia="Times New Roman" w:hAnsi="Times New Roman" w:cs="Times New Roman"/>
          <w:color w:val="000000"/>
          <w:sz w:val="24"/>
          <w:szCs w:val="24"/>
          <w:lang w:eastAsia="en-ZW"/>
        </w:rPr>
        <w:t xml:space="preserve"> </w:t>
      </w:r>
      <w:r w:rsidR="003057AB">
        <w:rPr>
          <w:rFonts w:ascii="Times New Roman" w:eastAsia="Times New Roman" w:hAnsi="Times New Roman" w:cs="Times New Roman"/>
          <w:color w:val="000000"/>
          <w:sz w:val="24"/>
          <w:szCs w:val="24"/>
          <w:lang w:eastAsia="en-ZW"/>
        </w:rPr>
        <w:t>A litigant can approach the court where there is a dispute in the interpretation of a court order. The court has inherent jurisdiction to regulate its process. It can therefore interpret and give effect to its order</w:t>
      </w:r>
      <w:r w:rsidR="002D1E9D">
        <w:rPr>
          <w:rFonts w:ascii="Times New Roman" w:eastAsia="Times New Roman" w:hAnsi="Times New Roman" w:cs="Times New Roman"/>
          <w:color w:val="000000"/>
          <w:sz w:val="24"/>
          <w:szCs w:val="24"/>
          <w:lang w:eastAsia="en-ZW"/>
        </w:rPr>
        <w:t xml:space="preserve"> in appropriate cases</w:t>
      </w:r>
      <w:r w:rsidR="003057AB">
        <w:rPr>
          <w:rFonts w:ascii="Times New Roman" w:eastAsia="Times New Roman" w:hAnsi="Times New Roman" w:cs="Times New Roman"/>
          <w:color w:val="000000"/>
          <w:sz w:val="24"/>
          <w:szCs w:val="24"/>
          <w:lang w:eastAsia="en-ZW"/>
        </w:rPr>
        <w:t>.</w:t>
      </w:r>
    </w:p>
    <w:p w:rsidR="00F53D41" w:rsidRPr="00552213" w:rsidRDefault="001738F8" w:rsidP="00A81EDB">
      <w:pPr>
        <w:spacing w:after="0" w:line="360" w:lineRule="auto"/>
        <w:ind w:firstLine="720"/>
        <w:jc w:val="both"/>
        <w:rPr>
          <w:rFonts w:ascii="Times New Roman" w:eastAsia="Calibri" w:hAnsi="Times New Roman" w:cs="Times New Roman"/>
          <w:sz w:val="24"/>
          <w:szCs w:val="24"/>
          <w:lang w:val="en-US"/>
        </w:rPr>
      </w:pPr>
      <w:r>
        <w:rPr>
          <w:rFonts w:ascii="Times New Roman" w:eastAsia="Times New Roman" w:hAnsi="Times New Roman" w:cs="Times New Roman"/>
          <w:color w:val="000000"/>
          <w:sz w:val="24"/>
          <w:szCs w:val="24"/>
          <w:lang w:eastAsia="en-ZW"/>
        </w:rPr>
        <w:t xml:space="preserve">In my view the circumstances of this case do not </w:t>
      </w:r>
      <w:r w:rsidR="00DA5BA3">
        <w:rPr>
          <w:rFonts w:ascii="Times New Roman" w:eastAsia="Times New Roman" w:hAnsi="Times New Roman" w:cs="Times New Roman"/>
          <w:color w:val="000000"/>
          <w:sz w:val="24"/>
          <w:szCs w:val="24"/>
          <w:lang w:eastAsia="en-ZW"/>
        </w:rPr>
        <w:t>require relaxation of the rule. I</w:t>
      </w:r>
      <w:r>
        <w:rPr>
          <w:rFonts w:ascii="Times New Roman" w:eastAsia="Times New Roman" w:hAnsi="Times New Roman" w:cs="Times New Roman"/>
          <w:color w:val="000000"/>
          <w:sz w:val="24"/>
          <w:szCs w:val="24"/>
          <w:lang w:eastAsia="en-ZW"/>
        </w:rPr>
        <w:t xml:space="preserve"> say this for the following reasons. The application does not fall within any of the exceptions set out </w:t>
      </w:r>
      <w:r w:rsidRPr="00552213">
        <w:rPr>
          <w:rFonts w:ascii="Times New Roman" w:eastAsia="Times New Roman" w:hAnsi="Times New Roman" w:cs="Times New Roman"/>
          <w:color w:val="000000"/>
          <w:sz w:val="24"/>
          <w:szCs w:val="24"/>
          <w:lang w:eastAsia="en-ZW"/>
        </w:rPr>
        <w:lastRenderedPageBreak/>
        <w:t xml:space="preserve">in the </w:t>
      </w:r>
      <w:r w:rsidRPr="00552213">
        <w:rPr>
          <w:rFonts w:ascii="Times New Roman" w:eastAsia="Times New Roman" w:hAnsi="Times New Roman" w:cs="Times New Roman"/>
          <w:i/>
          <w:color w:val="000000"/>
          <w:sz w:val="24"/>
          <w:szCs w:val="24"/>
          <w:lang w:eastAsia="en-ZW"/>
        </w:rPr>
        <w:t>Firestone</w:t>
      </w:r>
      <w:r w:rsidR="00DA5BA3" w:rsidRPr="00552213">
        <w:rPr>
          <w:rFonts w:ascii="Times New Roman" w:eastAsia="Times New Roman" w:hAnsi="Times New Roman" w:cs="Times New Roman"/>
          <w:i/>
          <w:color w:val="000000"/>
          <w:sz w:val="24"/>
          <w:szCs w:val="24"/>
          <w:lang w:eastAsia="en-ZW"/>
        </w:rPr>
        <w:t xml:space="preserve"> South Africa Pty</w:t>
      </w:r>
      <w:r w:rsidRPr="00552213">
        <w:rPr>
          <w:rFonts w:ascii="Times New Roman" w:eastAsia="Times New Roman" w:hAnsi="Times New Roman" w:cs="Times New Roman"/>
          <w:color w:val="000000"/>
          <w:sz w:val="24"/>
          <w:szCs w:val="24"/>
          <w:lang w:eastAsia="en-ZW"/>
        </w:rPr>
        <w:t xml:space="preserve"> case (supra)</w:t>
      </w:r>
      <w:r w:rsidR="003057AB" w:rsidRPr="00552213">
        <w:rPr>
          <w:rFonts w:ascii="Times New Roman" w:eastAsia="Times New Roman" w:hAnsi="Times New Roman" w:cs="Times New Roman"/>
          <w:color w:val="000000"/>
          <w:sz w:val="24"/>
          <w:szCs w:val="24"/>
          <w:lang w:eastAsia="en-ZW"/>
        </w:rPr>
        <w:t xml:space="preserve"> </w:t>
      </w:r>
      <w:r w:rsidR="00DA5BA3" w:rsidRPr="00552213">
        <w:rPr>
          <w:rFonts w:ascii="Times New Roman" w:eastAsia="Times New Roman" w:hAnsi="Times New Roman" w:cs="Times New Roman"/>
          <w:color w:val="000000"/>
          <w:sz w:val="24"/>
          <w:szCs w:val="24"/>
          <w:lang w:eastAsia="en-ZW"/>
        </w:rPr>
        <w:t>.The second exception allows a court to clarify</w:t>
      </w:r>
      <w:r w:rsidR="00DA5BA3" w:rsidRPr="00552213">
        <w:rPr>
          <w:rFonts w:ascii="Times New Roman" w:eastAsia="Calibri" w:hAnsi="Times New Roman" w:cs="Times New Roman"/>
          <w:sz w:val="24"/>
          <w:szCs w:val="24"/>
          <w:lang w:val="en-US"/>
        </w:rPr>
        <w:t xml:space="preserve"> its judgment or order if on a proper interpretation, the meaning thereof remains obscure, ambiguous or otherwise uncertain, provided the substance of the order is not altered. The applicant has not alleged any obscurity, ambiguousness or uncertainty in the court order. </w:t>
      </w:r>
    </w:p>
    <w:p w:rsidR="00F53D41" w:rsidRPr="00552213" w:rsidRDefault="00DA5BA3" w:rsidP="00A81EDB">
      <w:pPr>
        <w:spacing w:after="0" w:line="360" w:lineRule="auto"/>
        <w:ind w:firstLine="720"/>
        <w:jc w:val="both"/>
        <w:rPr>
          <w:rFonts w:ascii="Times New Roman" w:eastAsia="Times New Roman" w:hAnsi="Times New Roman" w:cs="Times New Roman"/>
          <w:color w:val="000000"/>
          <w:sz w:val="24"/>
          <w:szCs w:val="24"/>
          <w:lang w:eastAsia="en-ZW"/>
        </w:rPr>
      </w:pPr>
      <w:r w:rsidRPr="00552213">
        <w:rPr>
          <w:rFonts w:ascii="Times New Roman" w:eastAsia="Calibri" w:hAnsi="Times New Roman" w:cs="Times New Roman"/>
          <w:sz w:val="24"/>
          <w:szCs w:val="24"/>
          <w:lang w:val="en-US"/>
        </w:rPr>
        <w:t>The applicant has alleged that</w:t>
      </w:r>
      <w:r w:rsidR="00F53D41" w:rsidRPr="00552213">
        <w:rPr>
          <w:rFonts w:ascii="Times New Roman" w:eastAsia="Calibri" w:hAnsi="Times New Roman" w:cs="Times New Roman"/>
          <w:sz w:val="24"/>
          <w:szCs w:val="24"/>
          <w:lang w:val="en-US"/>
        </w:rPr>
        <w:t xml:space="preserve"> the</w:t>
      </w:r>
      <w:r w:rsidRPr="00552213">
        <w:rPr>
          <w:rFonts w:ascii="Times New Roman" w:eastAsia="Calibri" w:hAnsi="Times New Roman" w:cs="Times New Roman"/>
          <w:sz w:val="24"/>
          <w:szCs w:val="24"/>
          <w:lang w:val="en-US"/>
        </w:rPr>
        <w:t xml:space="preserve"> dispute arose on the interpretation of the court order because the court did not make a pronouncement on the issue of currency. That on its own cannot give rise to uncertainty. The order is clear in its </w:t>
      </w:r>
      <w:r w:rsidR="00793526" w:rsidRPr="00552213">
        <w:rPr>
          <w:rFonts w:ascii="Times New Roman" w:eastAsia="Calibri" w:hAnsi="Times New Roman" w:cs="Times New Roman"/>
          <w:sz w:val="24"/>
          <w:szCs w:val="24"/>
          <w:lang w:val="en-US"/>
        </w:rPr>
        <w:t>expression. It</w:t>
      </w:r>
      <w:r w:rsidRPr="00552213">
        <w:rPr>
          <w:rFonts w:ascii="Times New Roman" w:eastAsia="Calibri" w:hAnsi="Times New Roman" w:cs="Times New Roman"/>
          <w:sz w:val="24"/>
          <w:szCs w:val="24"/>
          <w:lang w:val="en-US"/>
        </w:rPr>
        <w:t xml:space="preserve"> would seem from the </w:t>
      </w:r>
      <w:r w:rsidRPr="00552213">
        <w:rPr>
          <w:rFonts w:ascii="Times New Roman" w:eastAsia="Calibri" w:hAnsi="Times New Roman" w:cs="Times New Roman"/>
          <w:i/>
          <w:sz w:val="24"/>
          <w:szCs w:val="24"/>
          <w:lang w:val="en-US"/>
        </w:rPr>
        <w:t>Makoni</w:t>
      </w:r>
      <w:r w:rsidRPr="00552213">
        <w:rPr>
          <w:rFonts w:ascii="Times New Roman" w:eastAsia="Calibri" w:hAnsi="Times New Roman" w:cs="Times New Roman"/>
          <w:sz w:val="24"/>
          <w:szCs w:val="24"/>
          <w:lang w:val="en-US"/>
        </w:rPr>
        <w:t xml:space="preserve"> case that a court can give effect to its order</w:t>
      </w:r>
      <w:r w:rsidR="00793526" w:rsidRPr="00552213">
        <w:rPr>
          <w:rFonts w:ascii="Times New Roman" w:eastAsia="Calibri" w:hAnsi="Times New Roman" w:cs="Times New Roman"/>
          <w:sz w:val="24"/>
          <w:szCs w:val="24"/>
          <w:lang w:val="en-US"/>
        </w:rPr>
        <w:t xml:space="preserve"> where a dispute arises which was not before the court and could </w:t>
      </w:r>
      <w:r w:rsidR="00F53D41" w:rsidRPr="00552213">
        <w:rPr>
          <w:rFonts w:ascii="Times New Roman" w:eastAsia="Calibri" w:hAnsi="Times New Roman" w:cs="Times New Roman"/>
          <w:sz w:val="24"/>
          <w:szCs w:val="24"/>
          <w:lang w:val="en-US"/>
        </w:rPr>
        <w:t>not</w:t>
      </w:r>
      <w:r w:rsidR="00F53D41" w:rsidRPr="00552213">
        <w:rPr>
          <w:rFonts w:ascii="Times New Roman" w:eastAsia="Times New Roman" w:hAnsi="Times New Roman" w:cs="Times New Roman"/>
          <w:color w:val="000000"/>
          <w:sz w:val="24"/>
          <w:szCs w:val="24"/>
          <w:lang w:eastAsia="en-ZW"/>
        </w:rPr>
        <w:t xml:space="preserve"> have</w:t>
      </w:r>
      <w:r w:rsidR="00793526" w:rsidRPr="00552213">
        <w:rPr>
          <w:rFonts w:ascii="Times New Roman" w:eastAsia="Times New Roman" w:hAnsi="Times New Roman" w:cs="Times New Roman"/>
          <w:color w:val="000000"/>
          <w:sz w:val="24"/>
          <w:szCs w:val="24"/>
          <w:lang w:eastAsia="en-ZW"/>
        </w:rPr>
        <w:t xml:space="preserve"> been reasonably expected to arise. In this case the 1</w:t>
      </w:r>
      <w:r w:rsidR="00793526" w:rsidRPr="00552213">
        <w:rPr>
          <w:rFonts w:ascii="Times New Roman" w:eastAsia="Times New Roman" w:hAnsi="Times New Roman" w:cs="Times New Roman"/>
          <w:color w:val="000000"/>
          <w:sz w:val="24"/>
          <w:szCs w:val="24"/>
          <w:vertAlign w:val="superscript"/>
          <w:lang w:eastAsia="en-ZW"/>
        </w:rPr>
        <w:t>st</w:t>
      </w:r>
      <w:r w:rsidR="00793526" w:rsidRPr="00552213">
        <w:rPr>
          <w:rFonts w:ascii="Times New Roman" w:eastAsia="Times New Roman" w:hAnsi="Times New Roman" w:cs="Times New Roman"/>
          <w:color w:val="000000"/>
          <w:sz w:val="24"/>
          <w:szCs w:val="24"/>
          <w:lang w:eastAsia="en-ZW"/>
        </w:rPr>
        <w:t xml:space="preserve"> respondent’s claim was very clear, it was alleged that the applicant had unlawfully withdrawn monies from offshore accounts. The amounts claimed were in foreign currency. In her plea she did not raise the currency issue, yet it was so clear from the cause of action that the 1</w:t>
      </w:r>
      <w:r w:rsidR="00793526" w:rsidRPr="00552213">
        <w:rPr>
          <w:rFonts w:ascii="Times New Roman" w:eastAsia="Times New Roman" w:hAnsi="Times New Roman" w:cs="Times New Roman"/>
          <w:color w:val="000000"/>
          <w:sz w:val="24"/>
          <w:szCs w:val="24"/>
          <w:vertAlign w:val="superscript"/>
          <w:lang w:eastAsia="en-ZW"/>
        </w:rPr>
        <w:t>st</w:t>
      </w:r>
      <w:r w:rsidR="00793526" w:rsidRPr="00552213">
        <w:rPr>
          <w:rFonts w:ascii="Times New Roman" w:eastAsia="Times New Roman" w:hAnsi="Times New Roman" w:cs="Times New Roman"/>
          <w:color w:val="000000"/>
          <w:sz w:val="24"/>
          <w:szCs w:val="24"/>
          <w:lang w:eastAsia="en-ZW"/>
        </w:rPr>
        <w:t xml:space="preserve"> respondent’s claim was in foreign </w:t>
      </w:r>
      <w:r w:rsidR="00F53D41" w:rsidRPr="00552213">
        <w:rPr>
          <w:rFonts w:ascii="Times New Roman" w:eastAsia="Times New Roman" w:hAnsi="Times New Roman" w:cs="Times New Roman"/>
          <w:color w:val="000000"/>
          <w:sz w:val="24"/>
          <w:szCs w:val="24"/>
          <w:lang w:eastAsia="en-ZW"/>
        </w:rPr>
        <w:t xml:space="preserve">currency. She cannot blame the court for not dealing with the issue. </w:t>
      </w:r>
      <w:r w:rsidR="00420DF5" w:rsidRPr="00552213">
        <w:rPr>
          <w:rFonts w:ascii="Times New Roman" w:eastAsia="Times New Roman" w:hAnsi="Times New Roman" w:cs="Times New Roman"/>
          <w:color w:val="000000"/>
          <w:sz w:val="24"/>
          <w:szCs w:val="24"/>
          <w:lang w:eastAsia="en-ZW"/>
        </w:rPr>
        <w:t>It</w:t>
      </w:r>
      <w:r w:rsidR="00793526" w:rsidRPr="00552213">
        <w:rPr>
          <w:rFonts w:ascii="Times New Roman" w:eastAsia="Times New Roman" w:hAnsi="Times New Roman" w:cs="Times New Roman"/>
          <w:color w:val="000000"/>
          <w:sz w:val="24"/>
          <w:szCs w:val="24"/>
          <w:lang w:eastAsia="en-ZW"/>
        </w:rPr>
        <w:t xml:space="preserve"> is trite that a court is required to determine issues placed before it and nothing </w:t>
      </w:r>
      <w:r w:rsidR="00420DF5" w:rsidRPr="00552213">
        <w:rPr>
          <w:rFonts w:ascii="Times New Roman" w:eastAsia="Times New Roman" w:hAnsi="Times New Roman" w:cs="Times New Roman"/>
          <w:color w:val="000000"/>
          <w:sz w:val="24"/>
          <w:szCs w:val="24"/>
          <w:lang w:eastAsia="en-ZW"/>
        </w:rPr>
        <w:t>further</w:t>
      </w:r>
      <w:r w:rsidR="00420DF5" w:rsidRPr="00552213">
        <w:rPr>
          <w:rStyle w:val="FootnoteReference"/>
          <w:rFonts w:ascii="Times New Roman" w:eastAsia="Times New Roman" w:hAnsi="Times New Roman" w:cs="Times New Roman"/>
          <w:color w:val="000000"/>
          <w:sz w:val="24"/>
          <w:szCs w:val="24"/>
          <w:lang w:eastAsia="en-ZW"/>
        </w:rPr>
        <w:footnoteReference w:id="5"/>
      </w:r>
      <w:r w:rsidR="00420DF5" w:rsidRPr="00552213">
        <w:rPr>
          <w:rFonts w:ascii="Times New Roman" w:eastAsia="Times New Roman" w:hAnsi="Times New Roman" w:cs="Times New Roman"/>
          <w:color w:val="000000"/>
          <w:sz w:val="24"/>
          <w:szCs w:val="24"/>
          <w:lang w:eastAsia="en-ZW"/>
        </w:rPr>
        <w:t>.</w:t>
      </w:r>
    </w:p>
    <w:p w:rsidR="00F53D41" w:rsidRPr="00552213" w:rsidRDefault="00420DF5" w:rsidP="00A81EDB">
      <w:pPr>
        <w:spacing w:after="0" w:line="360" w:lineRule="auto"/>
        <w:ind w:firstLine="720"/>
        <w:jc w:val="both"/>
        <w:rPr>
          <w:rFonts w:ascii="Times New Roman" w:eastAsia="Times New Roman" w:hAnsi="Times New Roman" w:cs="Times New Roman"/>
          <w:color w:val="000000"/>
          <w:sz w:val="24"/>
          <w:szCs w:val="24"/>
          <w:lang w:eastAsia="en-ZW"/>
        </w:rPr>
      </w:pPr>
      <w:r w:rsidRPr="00552213">
        <w:rPr>
          <w:rFonts w:ascii="Times New Roman" w:eastAsia="Times New Roman" w:hAnsi="Times New Roman" w:cs="Times New Roman"/>
          <w:color w:val="000000"/>
          <w:sz w:val="24"/>
          <w:szCs w:val="24"/>
          <w:lang w:eastAsia="en-ZW"/>
        </w:rPr>
        <w:t xml:space="preserve">I do not agree with </w:t>
      </w:r>
      <w:r w:rsidRPr="00552213">
        <w:rPr>
          <w:rFonts w:ascii="Times New Roman" w:eastAsia="Times New Roman" w:hAnsi="Times New Roman" w:cs="Times New Roman"/>
          <w:i/>
          <w:color w:val="000000"/>
          <w:sz w:val="24"/>
          <w:szCs w:val="24"/>
          <w:lang w:eastAsia="en-ZW"/>
        </w:rPr>
        <w:t>Mr Mugiya’s</w:t>
      </w:r>
      <w:r w:rsidRPr="00552213">
        <w:rPr>
          <w:rFonts w:ascii="Times New Roman" w:eastAsia="Times New Roman" w:hAnsi="Times New Roman" w:cs="Times New Roman"/>
          <w:color w:val="000000"/>
          <w:sz w:val="24"/>
          <w:szCs w:val="24"/>
          <w:lang w:eastAsia="en-ZW"/>
        </w:rPr>
        <w:t xml:space="preserve"> submission that </w:t>
      </w:r>
      <w:r w:rsidR="00F53D41" w:rsidRPr="00552213">
        <w:rPr>
          <w:rFonts w:ascii="Times New Roman" w:eastAsia="Times New Roman" w:hAnsi="Times New Roman" w:cs="Times New Roman"/>
          <w:color w:val="000000"/>
          <w:sz w:val="24"/>
          <w:szCs w:val="24"/>
          <w:lang w:eastAsia="en-ZW"/>
        </w:rPr>
        <w:t xml:space="preserve">since </w:t>
      </w:r>
      <w:r w:rsidRPr="00552213">
        <w:rPr>
          <w:rFonts w:ascii="Times New Roman" w:eastAsia="Times New Roman" w:hAnsi="Times New Roman" w:cs="Times New Roman"/>
          <w:color w:val="000000"/>
          <w:sz w:val="24"/>
          <w:szCs w:val="24"/>
          <w:lang w:eastAsia="en-ZW"/>
        </w:rPr>
        <w:t xml:space="preserve">the currency issue was settled in the </w:t>
      </w:r>
      <w:r w:rsidR="00F53D41" w:rsidRPr="00552213">
        <w:rPr>
          <w:rFonts w:ascii="Times New Roman" w:eastAsia="Times New Roman" w:hAnsi="Times New Roman" w:cs="Times New Roman"/>
          <w:i/>
          <w:color w:val="000000"/>
          <w:sz w:val="24"/>
          <w:szCs w:val="24"/>
          <w:lang w:eastAsia="en-ZW"/>
        </w:rPr>
        <w:t>Zambezi Gas</w:t>
      </w:r>
      <w:r w:rsidRPr="00552213">
        <w:rPr>
          <w:rFonts w:ascii="Times New Roman" w:eastAsia="Times New Roman" w:hAnsi="Times New Roman" w:cs="Times New Roman"/>
          <w:i/>
          <w:color w:val="000000"/>
          <w:sz w:val="24"/>
          <w:szCs w:val="24"/>
          <w:lang w:eastAsia="en-ZW"/>
        </w:rPr>
        <w:t xml:space="preserve"> m Zimbabwe (Pvt) v NR Barber</w:t>
      </w:r>
      <w:r w:rsidR="00E04915" w:rsidRPr="00552213">
        <w:rPr>
          <w:rFonts w:ascii="Times New Roman" w:eastAsia="Times New Roman" w:hAnsi="Times New Roman" w:cs="Times New Roman"/>
          <w:i/>
          <w:color w:val="000000"/>
          <w:sz w:val="24"/>
          <w:szCs w:val="24"/>
          <w:lang w:eastAsia="en-ZW"/>
        </w:rPr>
        <w:t xml:space="preserve"> (Pvt) Limited </w:t>
      </w:r>
      <w:r w:rsidR="00E04915" w:rsidRPr="00552213">
        <w:rPr>
          <w:rFonts w:ascii="Times New Roman" w:eastAsia="Times New Roman" w:hAnsi="Times New Roman" w:cs="Times New Roman"/>
          <w:color w:val="000000"/>
          <w:sz w:val="24"/>
          <w:szCs w:val="24"/>
          <w:lang w:eastAsia="en-ZW"/>
        </w:rPr>
        <w:t>case</w:t>
      </w:r>
      <w:r w:rsidR="00E04915" w:rsidRPr="00552213">
        <w:rPr>
          <w:rFonts w:ascii="Times New Roman" w:eastAsia="Times New Roman" w:hAnsi="Times New Roman" w:cs="Times New Roman"/>
          <w:i/>
          <w:color w:val="000000"/>
          <w:sz w:val="24"/>
          <w:szCs w:val="24"/>
          <w:lang w:eastAsia="en-ZW"/>
        </w:rPr>
        <w:t xml:space="preserve"> (supra)</w:t>
      </w:r>
      <w:r w:rsidRPr="00552213">
        <w:rPr>
          <w:rFonts w:ascii="Times New Roman" w:eastAsia="Times New Roman" w:hAnsi="Times New Roman" w:cs="Times New Roman"/>
          <w:color w:val="000000"/>
          <w:sz w:val="24"/>
          <w:szCs w:val="24"/>
          <w:lang w:eastAsia="en-ZW"/>
        </w:rPr>
        <w:t xml:space="preserve"> </w:t>
      </w:r>
      <w:r w:rsidR="00F53D41" w:rsidRPr="00552213">
        <w:rPr>
          <w:rFonts w:ascii="Times New Roman" w:eastAsia="Times New Roman" w:hAnsi="Times New Roman" w:cs="Times New Roman"/>
          <w:color w:val="000000"/>
          <w:sz w:val="24"/>
          <w:szCs w:val="24"/>
          <w:lang w:eastAsia="en-ZW"/>
        </w:rPr>
        <w:t xml:space="preserve"> there was no need to raise the issue before the court</w:t>
      </w:r>
      <w:r w:rsidRPr="00552213">
        <w:rPr>
          <w:rFonts w:ascii="Times New Roman" w:eastAsia="Times New Roman" w:hAnsi="Times New Roman" w:cs="Times New Roman"/>
          <w:color w:val="000000"/>
          <w:sz w:val="24"/>
          <w:szCs w:val="24"/>
          <w:lang w:eastAsia="en-ZW"/>
        </w:rPr>
        <w:t xml:space="preserve">. The submission </w:t>
      </w:r>
      <w:r w:rsidR="00F53D41" w:rsidRPr="00552213">
        <w:rPr>
          <w:rFonts w:ascii="Times New Roman" w:eastAsia="Times New Roman" w:hAnsi="Times New Roman" w:cs="Times New Roman"/>
          <w:color w:val="000000"/>
          <w:sz w:val="24"/>
          <w:szCs w:val="24"/>
          <w:lang w:eastAsia="en-ZW"/>
        </w:rPr>
        <w:t>strikes as a presumptuous and</w:t>
      </w:r>
      <w:r w:rsidRPr="00552213">
        <w:rPr>
          <w:rFonts w:ascii="Times New Roman" w:eastAsia="Times New Roman" w:hAnsi="Times New Roman" w:cs="Times New Roman"/>
          <w:color w:val="000000"/>
          <w:sz w:val="24"/>
          <w:szCs w:val="24"/>
          <w:lang w:eastAsia="en-ZW"/>
        </w:rPr>
        <w:t xml:space="preserve"> laid back approach to litigation. </w:t>
      </w:r>
      <w:r w:rsidR="00874EDE" w:rsidRPr="00552213">
        <w:rPr>
          <w:rFonts w:ascii="Times New Roman" w:eastAsia="Times New Roman" w:hAnsi="Times New Roman" w:cs="Times New Roman"/>
          <w:color w:val="000000"/>
          <w:sz w:val="24"/>
          <w:szCs w:val="24"/>
          <w:lang w:eastAsia="en-ZW"/>
        </w:rPr>
        <w:t xml:space="preserve">The Supreme Court addressed the currency issues for obligations and assets expressed in </w:t>
      </w:r>
      <w:r w:rsidR="006426B0" w:rsidRPr="00552213">
        <w:rPr>
          <w:rFonts w:ascii="Times New Roman" w:eastAsia="Times New Roman" w:hAnsi="Times New Roman" w:cs="Times New Roman"/>
          <w:color w:val="000000"/>
          <w:sz w:val="24"/>
          <w:szCs w:val="24"/>
          <w:lang w:eastAsia="en-ZW"/>
        </w:rPr>
        <w:t>United States</w:t>
      </w:r>
      <w:r w:rsidR="00874EDE" w:rsidRPr="00552213">
        <w:rPr>
          <w:rFonts w:ascii="Times New Roman" w:eastAsia="Times New Roman" w:hAnsi="Times New Roman" w:cs="Times New Roman"/>
          <w:color w:val="000000"/>
          <w:sz w:val="24"/>
          <w:szCs w:val="24"/>
          <w:lang w:eastAsia="en-ZW"/>
        </w:rPr>
        <w:t xml:space="preserve"> dollars. The court did not deal with other currencies</w:t>
      </w:r>
      <w:r w:rsidR="006426B0" w:rsidRPr="00552213">
        <w:rPr>
          <w:rFonts w:ascii="Times New Roman" w:eastAsia="Times New Roman" w:hAnsi="Times New Roman" w:cs="Times New Roman"/>
          <w:color w:val="000000"/>
          <w:sz w:val="24"/>
          <w:szCs w:val="24"/>
          <w:lang w:eastAsia="en-ZW"/>
        </w:rPr>
        <w:t>. The claim that was before the court</w:t>
      </w:r>
      <w:r w:rsidR="00C653B7" w:rsidRPr="00552213">
        <w:rPr>
          <w:rFonts w:ascii="Times New Roman" w:eastAsia="Times New Roman" w:hAnsi="Times New Roman" w:cs="Times New Roman"/>
          <w:color w:val="000000"/>
          <w:sz w:val="24"/>
          <w:szCs w:val="24"/>
          <w:lang w:eastAsia="en-ZW"/>
        </w:rPr>
        <w:t xml:space="preserve"> also included pounds. It was therefore necessary that the court make a finding on the currency issue. The applicant assumed too much which has turned out to be prejudicial to her interests.</w:t>
      </w:r>
      <w:r w:rsidR="006426B0" w:rsidRPr="00552213">
        <w:rPr>
          <w:rFonts w:ascii="Times New Roman" w:eastAsia="Times New Roman" w:hAnsi="Times New Roman" w:cs="Times New Roman"/>
          <w:color w:val="000000"/>
          <w:sz w:val="24"/>
          <w:szCs w:val="24"/>
          <w:lang w:eastAsia="en-ZW"/>
        </w:rPr>
        <w:t xml:space="preserve"> </w:t>
      </w:r>
      <w:r w:rsidR="00874EDE" w:rsidRPr="00552213">
        <w:rPr>
          <w:rFonts w:ascii="Times New Roman" w:eastAsia="Times New Roman" w:hAnsi="Times New Roman" w:cs="Times New Roman"/>
          <w:color w:val="000000"/>
          <w:sz w:val="24"/>
          <w:szCs w:val="24"/>
          <w:lang w:eastAsia="en-ZW"/>
        </w:rPr>
        <w:t xml:space="preserve"> </w:t>
      </w:r>
      <w:r w:rsidRPr="00552213">
        <w:rPr>
          <w:rFonts w:ascii="Times New Roman" w:eastAsia="Times New Roman" w:hAnsi="Times New Roman" w:cs="Times New Roman"/>
          <w:color w:val="000000"/>
          <w:sz w:val="24"/>
          <w:szCs w:val="24"/>
          <w:lang w:eastAsia="en-ZW"/>
        </w:rPr>
        <w:t>Pleadings must raise all</w:t>
      </w:r>
      <w:r w:rsidR="00C653B7" w:rsidRPr="00552213">
        <w:rPr>
          <w:rFonts w:ascii="Times New Roman" w:eastAsia="Times New Roman" w:hAnsi="Times New Roman" w:cs="Times New Roman"/>
          <w:color w:val="000000"/>
          <w:sz w:val="24"/>
          <w:szCs w:val="24"/>
          <w:lang w:eastAsia="en-ZW"/>
        </w:rPr>
        <w:t xml:space="preserve"> the </w:t>
      </w:r>
      <w:r w:rsidRPr="00552213">
        <w:rPr>
          <w:rFonts w:ascii="Times New Roman" w:eastAsia="Times New Roman" w:hAnsi="Times New Roman" w:cs="Times New Roman"/>
          <w:color w:val="000000"/>
          <w:sz w:val="24"/>
          <w:szCs w:val="24"/>
          <w:lang w:eastAsia="en-ZW"/>
        </w:rPr>
        <w:t xml:space="preserve">pertinent issues for the court to decide once and for all the dispute between the parties. Where a litigant does not raise an issue and it becomes a basis of dispute </w:t>
      </w:r>
      <w:r w:rsidR="00F53D41" w:rsidRPr="00552213">
        <w:rPr>
          <w:rFonts w:ascii="Times New Roman" w:eastAsia="Times New Roman" w:hAnsi="Times New Roman" w:cs="Times New Roman"/>
          <w:color w:val="000000"/>
          <w:sz w:val="24"/>
          <w:szCs w:val="24"/>
          <w:lang w:eastAsia="en-ZW"/>
        </w:rPr>
        <w:t>later, the</w:t>
      </w:r>
      <w:r w:rsidRPr="00552213">
        <w:rPr>
          <w:rFonts w:ascii="Times New Roman" w:eastAsia="Times New Roman" w:hAnsi="Times New Roman" w:cs="Times New Roman"/>
          <w:color w:val="000000"/>
          <w:sz w:val="24"/>
          <w:szCs w:val="24"/>
          <w:lang w:eastAsia="en-ZW"/>
        </w:rPr>
        <w:t xml:space="preserve"> litigant cannot be allowed to revisit the case. The court has decided. In this case the dispute on currency was reasonably foreseeable from the nature of the cause of action. By not raising the </w:t>
      </w:r>
      <w:r w:rsidR="00E04915" w:rsidRPr="00552213">
        <w:rPr>
          <w:rFonts w:ascii="Times New Roman" w:eastAsia="Times New Roman" w:hAnsi="Times New Roman" w:cs="Times New Roman"/>
          <w:color w:val="000000"/>
          <w:sz w:val="24"/>
          <w:szCs w:val="24"/>
          <w:lang w:eastAsia="en-ZW"/>
        </w:rPr>
        <w:t xml:space="preserve">currency </w:t>
      </w:r>
      <w:r w:rsidRPr="00552213">
        <w:rPr>
          <w:rFonts w:ascii="Times New Roman" w:eastAsia="Times New Roman" w:hAnsi="Times New Roman" w:cs="Times New Roman"/>
          <w:color w:val="000000"/>
          <w:sz w:val="24"/>
          <w:szCs w:val="24"/>
          <w:lang w:eastAsia="en-ZW"/>
        </w:rPr>
        <w:t xml:space="preserve">issue </w:t>
      </w:r>
      <w:r w:rsidR="00E04915" w:rsidRPr="00552213">
        <w:rPr>
          <w:rFonts w:ascii="Times New Roman" w:eastAsia="Times New Roman" w:hAnsi="Times New Roman" w:cs="Times New Roman"/>
          <w:color w:val="000000"/>
          <w:sz w:val="24"/>
          <w:szCs w:val="24"/>
          <w:lang w:eastAsia="en-ZW"/>
        </w:rPr>
        <w:t>i</w:t>
      </w:r>
      <w:r w:rsidRPr="00552213">
        <w:rPr>
          <w:rFonts w:ascii="Times New Roman" w:eastAsia="Times New Roman" w:hAnsi="Times New Roman" w:cs="Times New Roman"/>
          <w:color w:val="000000"/>
          <w:sz w:val="24"/>
          <w:szCs w:val="24"/>
          <w:lang w:eastAsia="en-ZW"/>
        </w:rPr>
        <w:t xml:space="preserve">t must have been taken that the applicant conceded to the claim in foreign </w:t>
      </w:r>
      <w:r w:rsidR="00F53D41" w:rsidRPr="00552213">
        <w:rPr>
          <w:rFonts w:ascii="Times New Roman" w:eastAsia="Times New Roman" w:hAnsi="Times New Roman" w:cs="Times New Roman"/>
          <w:color w:val="000000"/>
          <w:sz w:val="24"/>
          <w:szCs w:val="24"/>
          <w:lang w:eastAsia="en-ZW"/>
        </w:rPr>
        <w:t>currency. Dealing with this matter would certainly be giving the applicant a second bite o</w:t>
      </w:r>
      <w:r w:rsidR="00E04915" w:rsidRPr="00552213">
        <w:rPr>
          <w:rFonts w:ascii="Times New Roman" w:eastAsia="Times New Roman" w:hAnsi="Times New Roman" w:cs="Times New Roman"/>
          <w:color w:val="000000"/>
          <w:sz w:val="24"/>
          <w:szCs w:val="24"/>
          <w:lang w:eastAsia="en-ZW"/>
        </w:rPr>
        <w:t>f</w:t>
      </w:r>
      <w:r w:rsidR="00F53D41" w:rsidRPr="00552213">
        <w:rPr>
          <w:rFonts w:ascii="Times New Roman" w:eastAsia="Times New Roman" w:hAnsi="Times New Roman" w:cs="Times New Roman"/>
          <w:color w:val="000000"/>
          <w:sz w:val="24"/>
          <w:szCs w:val="24"/>
          <w:lang w:eastAsia="en-ZW"/>
        </w:rPr>
        <w:t xml:space="preserve"> the cherry. The court has spoken in the court order and reconsidering</w:t>
      </w:r>
      <w:r w:rsidR="00E04915" w:rsidRPr="00552213">
        <w:rPr>
          <w:rFonts w:ascii="Times New Roman" w:eastAsia="Times New Roman" w:hAnsi="Times New Roman" w:cs="Times New Roman"/>
          <w:color w:val="000000"/>
          <w:sz w:val="24"/>
          <w:szCs w:val="24"/>
          <w:lang w:eastAsia="en-ZW"/>
        </w:rPr>
        <w:t xml:space="preserve"> it</w:t>
      </w:r>
      <w:r w:rsidR="00F53D41" w:rsidRPr="00552213">
        <w:rPr>
          <w:rFonts w:ascii="Times New Roman" w:eastAsia="Times New Roman" w:hAnsi="Times New Roman" w:cs="Times New Roman"/>
          <w:color w:val="000000"/>
          <w:sz w:val="24"/>
          <w:szCs w:val="24"/>
          <w:lang w:eastAsia="en-ZW"/>
        </w:rPr>
        <w:t xml:space="preserve"> under the circumstances would certainly alter the substance of the court order.</w:t>
      </w:r>
    </w:p>
    <w:p w:rsidR="00E04915" w:rsidRPr="00552213" w:rsidRDefault="00E04915" w:rsidP="00A81EDB">
      <w:pPr>
        <w:spacing w:after="0" w:line="360" w:lineRule="auto"/>
        <w:ind w:firstLine="720"/>
        <w:jc w:val="both"/>
        <w:rPr>
          <w:rFonts w:ascii="Times New Roman" w:eastAsia="Times New Roman" w:hAnsi="Times New Roman" w:cs="Times New Roman"/>
          <w:color w:val="000000"/>
          <w:sz w:val="24"/>
          <w:szCs w:val="24"/>
          <w:lang w:eastAsia="en-ZW"/>
        </w:rPr>
      </w:pPr>
    </w:p>
    <w:p w:rsidR="00E04915" w:rsidRPr="00552213" w:rsidRDefault="00F53D41" w:rsidP="00A81EDB">
      <w:pPr>
        <w:spacing w:after="0" w:line="360" w:lineRule="auto"/>
        <w:ind w:firstLine="720"/>
        <w:jc w:val="both"/>
        <w:rPr>
          <w:rFonts w:ascii="Times New Roman" w:eastAsia="Times New Roman" w:hAnsi="Times New Roman" w:cs="Times New Roman"/>
          <w:color w:val="000000"/>
          <w:sz w:val="24"/>
          <w:szCs w:val="24"/>
          <w:lang w:eastAsia="en-ZW"/>
        </w:rPr>
      </w:pPr>
      <w:r w:rsidRPr="00552213">
        <w:rPr>
          <w:rFonts w:ascii="Times New Roman" w:eastAsia="Times New Roman" w:hAnsi="Times New Roman" w:cs="Times New Roman"/>
          <w:color w:val="000000"/>
          <w:sz w:val="24"/>
          <w:szCs w:val="24"/>
          <w:lang w:eastAsia="en-ZW"/>
        </w:rPr>
        <w:lastRenderedPageBreak/>
        <w:t xml:space="preserve">For those reasons the court is </w:t>
      </w:r>
      <w:r w:rsidRPr="00552213">
        <w:rPr>
          <w:rFonts w:ascii="Times New Roman" w:eastAsia="Times New Roman" w:hAnsi="Times New Roman" w:cs="Times New Roman"/>
          <w:i/>
          <w:color w:val="000000"/>
          <w:sz w:val="24"/>
          <w:szCs w:val="24"/>
          <w:lang w:eastAsia="en-ZW"/>
        </w:rPr>
        <w:t>functus officio</w:t>
      </w:r>
      <w:r w:rsidR="00C653B7" w:rsidRPr="00552213">
        <w:rPr>
          <w:rFonts w:ascii="Times New Roman" w:eastAsia="Times New Roman" w:hAnsi="Times New Roman" w:cs="Times New Roman"/>
          <w:color w:val="000000"/>
          <w:sz w:val="24"/>
          <w:szCs w:val="24"/>
          <w:lang w:eastAsia="en-ZW"/>
        </w:rPr>
        <w:t xml:space="preserve"> and cannot deal with the application on the merits.</w:t>
      </w:r>
    </w:p>
    <w:p w:rsidR="00B72D01" w:rsidRDefault="00F53D41" w:rsidP="00A81EDB">
      <w:pPr>
        <w:spacing w:after="0" w:line="360" w:lineRule="auto"/>
        <w:ind w:firstLine="720"/>
        <w:jc w:val="both"/>
        <w:rPr>
          <w:rFonts w:ascii="Times New Roman" w:eastAsia="Times New Roman" w:hAnsi="Times New Roman" w:cs="Times New Roman"/>
          <w:color w:val="000000"/>
          <w:lang w:eastAsia="en-ZW"/>
        </w:rPr>
      </w:pPr>
      <w:r>
        <w:rPr>
          <w:rFonts w:ascii="Times New Roman" w:eastAsia="Times New Roman" w:hAnsi="Times New Roman" w:cs="Times New Roman"/>
          <w:color w:val="000000"/>
          <w:lang w:eastAsia="en-ZW"/>
        </w:rPr>
        <w:t>Accordingly the application is dismissed with costs.</w:t>
      </w:r>
      <w:r w:rsidR="00420DF5">
        <w:rPr>
          <w:rFonts w:ascii="Times New Roman" w:eastAsia="Times New Roman" w:hAnsi="Times New Roman" w:cs="Times New Roman"/>
          <w:color w:val="000000"/>
          <w:lang w:eastAsia="en-ZW"/>
        </w:rPr>
        <w:t xml:space="preserve">  </w:t>
      </w:r>
    </w:p>
    <w:p w:rsidR="00B72D01" w:rsidRDefault="00B72D01" w:rsidP="00A81EDB">
      <w:pPr>
        <w:spacing w:after="0" w:line="360" w:lineRule="auto"/>
        <w:ind w:firstLine="720"/>
        <w:jc w:val="both"/>
        <w:rPr>
          <w:rFonts w:ascii="Times New Roman" w:eastAsia="Times New Roman" w:hAnsi="Times New Roman" w:cs="Times New Roman"/>
          <w:color w:val="000000"/>
          <w:lang w:eastAsia="en-ZW"/>
        </w:rPr>
      </w:pPr>
    </w:p>
    <w:p w:rsidR="00552213" w:rsidRDefault="00552213" w:rsidP="00A81EDB">
      <w:pPr>
        <w:spacing w:after="0" w:line="360" w:lineRule="auto"/>
        <w:ind w:firstLine="720"/>
        <w:jc w:val="both"/>
        <w:rPr>
          <w:rFonts w:ascii="Times New Roman" w:eastAsia="Times New Roman" w:hAnsi="Times New Roman" w:cs="Times New Roman"/>
          <w:color w:val="000000"/>
          <w:lang w:eastAsia="en-ZW"/>
        </w:rPr>
      </w:pPr>
    </w:p>
    <w:p w:rsidR="00B72D01" w:rsidRDefault="00B72D01" w:rsidP="00A81EDB">
      <w:pPr>
        <w:spacing w:after="0" w:line="240" w:lineRule="auto"/>
        <w:jc w:val="both"/>
        <w:rPr>
          <w:rFonts w:ascii="Times New Roman" w:eastAsia="Times New Roman" w:hAnsi="Times New Roman" w:cs="Times New Roman"/>
          <w:color w:val="000000"/>
          <w:lang w:eastAsia="en-ZW"/>
        </w:rPr>
      </w:pPr>
      <w:r w:rsidRPr="00A81EDB">
        <w:rPr>
          <w:rFonts w:ascii="Times New Roman" w:eastAsia="Times New Roman" w:hAnsi="Times New Roman" w:cs="Times New Roman"/>
          <w:i/>
          <w:color w:val="000000"/>
          <w:lang w:eastAsia="en-ZW"/>
        </w:rPr>
        <w:t xml:space="preserve">Mugiya and Muvhami Law </w:t>
      </w:r>
      <w:r w:rsidR="00C70724" w:rsidRPr="00A81EDB">
        <w:rPr>
          <w:rFonts w:ascii="Times New Roman" w:eastAsia="Times New Roman" w:hAnsi="Times New Roman" w:cs="Times New Roman"/>
          <w:i/>
          <w:color w:val="000000"/>
          <w:lang w:eastAsia="en-ZW"/>
        </w:rPr>
        <w:t>Chambers</w:t>
      </w:r>
      <w:r w:rsidR="00C70724">
        <w:rPr>
          <w:rFonts w:ascii="Times New Roman" w:eastAsia="Times New Roman" w:hAnsi="Times New Roman" w:cs="Times New Roman"/>
          <w:color w:val="000000"/>
          <w:lang w:eastAsia="en-ZW"/>
        </w:rPr>
        <w:t>, applicant’s</w:t>
      </w:r>
      <w:r>
        <w:rPr>
          <w:rFonts w:ascii="Times New Roman" w:eastAsia="Times New Roman" w:hAnsi="Times New Roman" w:cs="Times New Roman"/>
          <w:color w:val="000000"/>
          <w:lang w:eastAsia="en-ZW"/>
        </w:rPr>
        <w:t xml:space="preserve"> legal practitioners</w:t>
      </w:r>
    </w:p>
    <w:p w:rsidR="00420DF5" w:rsidRDefault="00B72D01" w:rsidP="00552213">
      <w:pPr>
        <w:spacing w:after="0" w:line="240" w:lineRule="auto"/>
        <w:jc w:val="both"/>
        <w:rPr>
          <w:rFonts w:ascii="Times New Roman" w:eastAsia="Times New Roman" w:hAnsi="Times New Roman" w:cs="Times New Roman"/>
          <w:color w:val="000000"/>
          <w:lang w:eastAsia="en-ZW"/>
        </w:rPr>
      </w:pPr>
      <w:r w:rsidRPr="00A81EDB">
        <w:rPr>
          <w:rFonts w:ascii="Times New Roman" w:eastAsia="Times New Roman" w:hAnsi="Times New Roman" w:cs="Times New Roman"/>
          <w:i/>
          <w:color w:val="000000"/>
          <w:lang w:eastAsia="en-ZW"/>
        </w:rPr>
        <w:t>Gill,</w:t>
      </w:r>
      <w:r w:rsidR="00A81EDB" w:rsidRPr="00A81EDB">
        <w:rPr>
          <w:rFonts w:ascii="Times New Roman" w:eastAsia="Times New Roman" w:hAnsi="Times New Roman" w:cs="Times New Roman"/>
          <w:i/>
          <w:color w:val="000000"/>
          <w:lang w:eastAsia="en-ZW"/>
        </w:rPr>
        <w:t xml:space="preserve"> Godlonton &amp;</w:t>
      </w:r>
      <w:r w:rsidRPr="00A81EDB">
        <w:rPr>
          <w:rFonts w:ascii="Times New Roman" w:eastAsia="Times New Roman" w:hAnsi="Times New Roman" w:cs="Times New Roman"/>
          <w:i/>
          <w:color w:val="000000"/>
          <w:lang w:eastAsia="en-ZW"/>
        </w:rPr>
        <w:t xml:space="preserve"> Gerrans</w:t>
      </w:r>
      <w:r>
        <w:rPr>
          <w:rFonts w:ascii="Times New Roman" w:eastAsia="Times New Roman" w:hAnsi="Times New Roman" w:cs="Times New Roman"/>
          <w:color w:val="000000"/>
          <w:lang w:eastAsia="en-ZW"/>
        </w:rPr>
        <w:t>,</w:t>
      </w:r>
      <w:r w:rsidR="00A81EDB">
        <w:rPr>
          <w:rFonts w:ascii="Times New Roman" w:eastAsia="Times New Roman" w:hAnsi="Times New Roman" w:cs="Times New Roman"/>
          <w:color w:val="000000"/>
          <w:lang w:eastAsia="en-ZW"/>
        </w:rPr>
        <w:t xml:space="preserve"> </w:t>
      </w:r>
      <w:r>
        <w:rPr>
          <w:rFonts w:ascii="Times New Roman" w:eastAsia="Times New Roman" w:hAnsi="Times New Roman" w:cs="Times New Roman"/>
          <w:color w:val="000000"/>
          <w:lang w:eastAsia="en-ZW"/>
        </w:rPr>
        <w:t>1</w:t>
      </w:r>
      <w:r w:rsidRPr="00B72D01">
        <w:rPr>
          <w:rFonts w:ascii="Times New Roman" w:eastAsia="Times New Roman" w:hAnsi="Times New Roman" w:cs="Times New Roman"/>
          <w:color w:val="000000"/>
          <w:vertAlign w:val="superscript"/>
          <w:lang w:eastAsia="en-ZW"/>
        </w:rPr>
        <w:t>st</w:t>
      </w:r>
      <w:r>
        <w:rPr>
          <w:rFonts w:ascii="Times New Roman" w:eastAsia="Times New Roman" w:hAnsi="Times New Roman" w:cs="Times New Roman"/>
          <w:color w:val="000000"/>
          <w:lang w:eastAsia="en-ZW"/>
        </w:rPr>
        <w:t xml:space="preserve"> r</w:t>
      </w:r>
      <w:r w:rsidR="00A81EDB">
        <w:rPr>
          <w:rFonts w:ascii="Times New Roman" w:eastAsia="Times New Roman" w:hAnsi="Times New Roman" w:cs="Times New Roman"/>
          <w:color w:val="000000"/>
          <w:lang w:eastAsia="en-ZW"/>
        </w:rPr>
        <w:t>espondent’s legal practitioners</w:t>
      </w:r>
    </w:p>
    <w:p w:rsidR="00420DF5" w:rsidRPr="001A5EA1" w:rsidRDefault="00420DF5" w:rsidP="00DA5BA3">
      <w:pPr>
        <w:spacing w:after="0" w:line="276" w:lineRule="auto"/>
        <w:ind w:firstLine="720"/>
        <w:jc w:val="both"/>
        <w:rPr>
          <w:rFonts w:ascii="Times New Roman" w:eastAsia="Calibri" w:hAnsi="Times New Roman" w:cs="Times New Roman"/>
          <w:lang w:val="en-US"/>
        </w:rPr>
      </w:pPr>
    </w:p>
    <w:p w:rsidR="00F53D41" w:rsidRDefault="00DA5BA3" w:rsidP="00F53D41">
      <w:pPr>
        <w:autoSpaceDE w:val="0"/>
        <w:autoSpaceDN w:val="0"/>
        <w:adjustRightInd w:val="0"/>
        <w:spacing w:after="0" w:line="276" w:lineRule="auto"/>
        <w:ind w:firstLine="1440"/>
        <w:jc w:val="both"/>
        <w:rPr>
          <w:rFonts w:ascii="Times New Roman" w:hAnsi="Times New Roman" w:cs="Times New Roman"/>
        </w:rPr>
      </w:pPr>
      <w:r>
        <w:rPr>
          <w:rFonts w:ascii="Times New Roman" w:eastAsia="Times New Roman" w:hAnsi="Times New Roman" w:cs="Times New Roman"/>
          <w:color w:val="000000"/>
          <w:sz w:val="24"/>
          <w:szCs w:val="24"/>
          <w:lang w:eastAsia="en-ZW"/>
        </w:rPr>
        <w:t xml:space="preserve"> </w:t>
      </w:r>
    </w:p>
    <w:sectPr w:rsidR="00F53D4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71" w:rsidRDefault="00534171" w:rsidP="008218C0">
      <w:pPr>
        <w:spacing w:after="0" w:line="240" w:lineRule="auto"/>
      </w:pPr>
      <w:r>
        <w:separator/>
      </w:r>
    </w:p>
  </w:endnote>
  <w:endnote w:type="continuationSeparator" w:id="0">
    <w:p w:rsidR="00534171" w:rsidRDefault="00534171" w:rsidP="0082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71" w:rsidRDefault="00534171" w:rsidP="008218C0">
      <w:pPr>
        <w:spacing w:after="0" w:line="240" w:lineRule="auto"/>
      </w:pPr>
      <w:r>
        <w:separator/>
      </w:r>
    </w:p>
  </w:footnote>
  <w:footnote w:type="continuationSeparator" w:id="0">
    <w:p w:rsidR="00534171" w:rsidRDefault="00534171" w:rsidP="008218C0">
      <w:pPr>
        <w:spacing w:after="0" w:line="240" w:lineRule="auto"/>
      </w:pPr>
      <w:r>
        <w:continuationSeparator/>
      </w:r>
    </w:p>
  </w:footnote>
  <w:footnote w:id="1">
    <w:p w:rsidR="008218C0" w:rsidRPr="008218C0" w:rsidRDefault="008218C0">
      <w:pPr>
        <w:pStyle w:val="FootnoteText"/>
        <w:rPr>
          <w:lang w:val="en-US"/>
        </w:rPr>
      </w:pPr>
      <w:r>
        <w:rPr>
          <w:rStyle w:val="FootnoteReference"/>
        </w:rPr>
        <w:footnoteRef/>
      </w:r>
      <w:r>
        <w:t xml:space="preserve"> </w:t>
      </w:r>
      <w:r w:rsidRPr="008218C0">
        <w:rPr>
          <w:rFonts w:ascii="Times New Roman" w:hAnsi="Times New Roman" w:cs="Times New Roman"/>
        </w:rPr>
        <w:t>SC 3/20</w:t>
      </w:r>
    </w:p>
  </w:footnote>
  <w:footnote w:id="2">
    <w:p w:rsidR="008218C0" w:rsidRPr="008218C0" w:rsidRDefault="008218C0">
      <w:pPr>
        <w:pStyle w:val="FootnoteText"/>
        <w:rPr>
          <w:lang w:val="en-US"/>
        </w:rPr>
      </w:pPr>
      <w:r>
        <w:rPr>
          <w:rStyle w:val="FootnoteReference"/>
        </w:rPr>
        <w:footnoteRef/>
      </w:r>
      <w:r>
        <w:t xml:space="preserve"> </w:t>
      </w:r>
      <w:r w:rsidRPr="008218C0">
        <w:rPr>
          <w:rFonts w:ascii="Times New Roman" w:hAnsi="Times New Roman" w:cs="Times New Roman"/>
        </w:rPr>
        <w:t>1977 (4) SA 298   @ 306 – 307</w:t>
      </w:r>
    </w:p>
  </w:footnote>
  <w:footnote w:id="3">
    <w:p w:rsidR="00272F32" w:rsidRPr="00272F32" w:rsidRDefault="00272F32">
      <w:pPr>
        <w:pStyle w:val="FootnoteText"/>
        <w:rPr>
          <w:lang w:val="en-US"/>
        </w:rPr>
      </w:pPr>
      <w:r>
        <w:rPr>
          <w:rStyle w:val="FootnoteReference"/>
        </w:rPr>
        <w:footnoteRef/>
      </w:r>
      <w:r>
        <w:t xml:space="preserve"> </w:t>
      </w:r>
      <w:r>
        <w:rPr>
          <w:rFonts w:ascii="Times New Roman" w:eastAsia="Calibri" w:hAnsi="Times New Roman" w:cs="Times New Roman"/>
          <w:lang w:val="en-US"/>
        </w:rPr>
        <w:t>SC 55/16</w:t>
      </w:r>
    </w:p>
  </w:footnote>
  <w:footnote w:id="4">
    <w:p w:rsidR="00272F32" w:rsidRPr="00272F32" w:rsidRDefault="00272F32">
      <w:pPr>
        <w:pStyle w:val="FootnoteText"/>
        <w:rPr>
          <w:lang w:val="en-US"/>
        </w:rPr>
      </w:pPr>
      <w:r>
        <w:rPr>
          <w:rStyle w:val="FootnoteReference"/>
        </w:rPr>
        <w:footnoteRef/>
      </w:r>
      <w:r>
        <w:t xml:space="preserve"> </w:t>
      </w:r>
      <w:r w:rsidRPr="00272F32">
        <w:rPr>
          <w:rFonts w:ascii="Times New Roman" w:eastAsia="Times New Roman" w:hAnsi="Times New Roman" w:cs="Times New Roman"/>
          <w:color w:val="000000"/>
          <w:lang w:eastAsia="en-ZW"/>
        </w:rPr>
        <w:t>Civil Practice of the High Courts and the Supreme Court of Appeal of South Africa 5</w:t>
      </w:r>
      <w:r w:rsidRPr="00272F32">
        <w:rPr>
          <w:rFonts w:ascii="Times New Roman" w:eastAsia="Times New Roman" w:hAnsi="Times New Roman" w:cs="Times New Roman"/>
          <w:color w:val="000000"/>
          <w:vertAlign w:val="superscript"/>
          <w:lang w:eastAsia="en-ZW"/>
        </w:rPr>
        <w:t>th</w:t>
      </w:r>
      <w:r w:rsidRPr="00272F32">
        <w:rPr>
          <w:rFonts w:ascii="Times New Roman" w:eastAsia="Times New Roman" w:hAnsi="Times New Roman" w:cs="Times New Roman"/>
          <w:color w:val="000000"/>
          <w:lang w:eastAsia="en-ZW"/>
        </w:rPr>
        <w:t xml:space="preserve"> @ 927</w:t>
      </w:r>
    </w:p>
  </w:footnote>
  <w:footnote w:id="5">
    <w:p w:rsidR="00420DF5" w:rsidRPr="00420DF5" w:rsidRDefault="00420DF5">
      <w:pPr>
        <w:pStyle w:val="FootnoteText"/>
        <w:rPr>
          <w:lang w:val="en-US"/>
        </w:rPr>
      </w:pPr>
      <w:r>
        <w:rPr>
          <w:rStyle w:val="FootnoteReference"/>
        </w:rPr>
        <w:footnoteRef/>
      </w:r>
      <w:r>
        <w:t xml:space="preserve"> </w:t>
      </w:r>
      <w:r>
        <w:rPr>
          <w:lang w:val="en-US"/>
        </w:rPr>
        <w:t>Central African Building Society v Stone and Others SC 15/21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685945"/>
      <w:docPartObj>
        <w:docPartGallery w:val="Page Numbers (Top of Page)"/>
        <w:docPartUnique/>
      </w:docPartObj>
    </w:sdtPr>
    <w:sdtEndPr>
      <w:rPr>
        <w:noProof/>
      </w:rPr>
    </w:sdtEndPr>
    <w:sdtContent>
      <w:p w:rsidR="00A81EDB" w:rsidRDefault="00A81EDB">
        <w:pPr>
          <w:pStyle w:val="Header"/>
          <w:jc w:val="right"/>
          <w:rPr>
            <w:noProof/>
          </w:rPr>
        </w:pPr>
        <w:r>
          <w:fldChar w:fldCharType="begin"/>
        </w:r>
        <w:r>
          <w:instrText xml:space="preserve"> PAGE   \* MERGEFORMAT </w:instrText>
        </w:r>
        <w:r>
          <w:fldChar w:fldCharType="separate"/>
        </w:r>
        <w:r w:rsidR="00066DEB">
          <w:rPr>
            <w:noProof/>
          </w:rPr>
          <w:t>1</w:t>
        </w:r>
        <w:r>
          <w:rPr>
            <w:noProof/>
          </w:rPr>
          <w:fldChar w:fldCharType="end"/>
        </w:r>
      </w:p>
      <w:p w:rsidR="00A81EDB" w:rsidRDefault="00A81EDB">
        <w:pPr>
          <w:pStyle w:val="Header"/>
          <w:jc w:val="right"/>
          <w:rPr>
            <w:noProof/>
          </w:rPr>
        </w:pPr>
        <w:r>
          <w:rPr>
            <w:noProof/>
          </w:rPr>
          <w:t>HH</w:t>
        </w:r>
        <w:r w:rsidR="00487275">
          <w:rPr>
            <w:noProof/>
          </w:rPr>
          <w:t xml:space="preserve"> 399-21</w:t>
        </w:r>
      </w:p>
      <w:p w:rsidR="00A81EDB" w:rsidRDefault="00A81EDB">
        <w:pPr>
          <w:pStyle w:val="Header"/>
          <w:jc w:val="right"/>
        </w:pPr>
        <w:r>
          <w:rPr>
            <w:noProof/>
          </w:rPr>
          <w:t>HC</w:t>
        </w:r>
        <w:r w:rsidR="00552213">
          <w:rPr>
            <w:noProof/>
          </w:rPr>
          <w:t xml:space="preserve"> 241/21</w:t>
        </w:r>
      </w:p>
    </w:sdtContent>
  </w:sdt>
  <w:p w:rsidR="00A81EDB" w:rsidRDefault="00A81E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E633A"/>
    <w:multiLevelType w:val="hybridMultilevel"/>
    <w:tmpl w:val="0B9CAF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340A77"/>
    <w:multiLevelType w:val="hybridMultilevel"/>
    <w:tmpl w:val="6AB4DE1C"/>
    <w:lvl w:ilvl="0" w:tplc="30090013">
      <w:start w:val="1"/>
      <w:numFmt w:val="upp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85A637A"/>
    <w:multiLevelType w:val="hybridMultilevel"/>
    <w:tmpl w:val="1F22B19E"/>
    <w:lvl w:ilvl="0" w:tplc="AD7C034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FF"/>
    <w:rsid w:val="00024F60"/>
    <w:rsid w:val="000376DE"/>
    <w:rsid w:val="000438B1"/>
    <w:rsid w:val="00066DEB"/>
    <w:rsid w:val="00081696"/>
    <w:rsid w:val="000C3FB2"/>
    <w:rsid w:val="000C5753"/>
    <w:rsid w:val="001738F8"/>
    <w:rsid w:val="001A5EA1"/>
    <w:rsid w:val="00272F32"/>
    <w:rsid w:val="002C45C6"/>
    <w:rsid w:val="002D1E9D"/>
    <w:rsid w:val="003057AB"/>
    <w:rsid w:val="0039654C"/>
    <w:rsid w:val="003D1423"/>
    <w:rsid w:val="00420DF5"/>
    <w:rsid w:val="00487275"/>
    <w:rsid w:val="004B179F"/>
    <w:rsid w:val="00512029"/>
    <w:rsid w:val="00534171"/>
    <w:rsid w:val="005500B6"/>
    <w:rsid w:val="00552213"/>
    <w:rsid w:val="005B10FC"/>
    <w:rsid w:val="005C074F"/>
    <w:rsid w:val="006426B0"/>
    <w:rsid w:val="00696D6A"/>
    <w:rsid w:val="006D19A4"/>
    <w:rsid w:val="006D685F"/>
    <w:rsid w:val="00733D5D"/>
    <w:rsid w:val="00747C71"/>
    <w:rsid w:val="00754C79"/>
    <w:rsid w:val="00763862"/>
    <w:rsid w:val="00763D20"/>
    <w:rsid w:val="00793526"/>
    <w:rsid w:val="007C222E"/>
    <w:rsid w:val="007D03F0"/>
    <w:rsid w:val="00802E7D"/>
    <w:rsid w:val="008031D7"/>
    <w:rsid w:val="008218C0"/>
    <w:rsid w:val="00874EDE"/>
    <w:rsid w:val="008920EC"/>
    <w:rsid w:val="008C057A"/>
    <w:rsid w:val="008F65DC"/>
    <w:rsid w:val="00901E03"/>
    <w:rsid w:val="009439BC"/>
    <w:rsid w:val="009552E0"/>
    <w:rsid w:val="009804D8"/>
    <w:rsid w:val="009F7EE6"/>
    <w:rsid w:val="00A269A6"/>
    <w:rsid w:val="00A81EDB"/>
    <w:rsid w:val="00A84A7B"/>
    <w:rsid w:val="00B1756B"/>
    <w:rsid w:val="00B600CB"/>
    <w:rsid w:val="00B65257"/>
    <w:rsid w:val="00B72D01"/>
    <w:rsid w:val="00B774EC"/>
    <w:rsid w:val="00B82358"/>
    <w:rsid w:val="00C03E64"/>
    <w:rsid w:val="00C422F3"/>
    <w:rsid w:val="00C617F4"/>
    <w:rsid w:val="00C653B7"/>
    <w:rsid w:val="00C66C02"/>
    <w:rsid w:val="00C70724"/>
    <w:rsid w:val="00C85315"/>
    <w:rsid w:val="00CA1DD1"/>
    <w:rsid w:val="00CD1CEA"/>
    <w:rsid w:val="00D4475F"/>
    <w:rsid w:val="00D84C7E"/>
    <w:rsid w:val="00D910DC"/>
    <w:rsid w:val="00DA5BA3"/>
    <w:rsid w:val="00DB11FF"/>
    <w:rsid w:val="00DB7355"/>
    <w:rsid w:val="00E04915"/>
    <w:rsid w:val="00E72A61"/>
    <w:rsid w:val="00EA303F"/>
    <w:rsid w:val="00F27930"/>
    <w:rsid w:val="00F53D41"/>
    <w:rsid w:val="00F633CB"/>
    <w:rsid w:val="00F926CB"/>
    <w:rsid w:val="00FE1ABB"/>
    <w:rsid w:val="00FF63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512F3-1175-4108-9F49-27081CA3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4C"/>
    <w:pPr>
      <w:ind w:left="720"/>
      <w:contextualSpacing/>
    </w:pPr>
  </w:style>
  <w:style w:type="paragraph" w:styleId="NormalWeb">
    <w:name w:val="Normal (Web)"/>
    <w:basedOn w:val="Normal"/>
    <w:uiPriority w:val="99"/>
    <w:semiHidden/>
    <w:unhideWhenUsed/>
    <w:rsid w:val="000438B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0438B1"/>
    <w:rPr>
      <w:i/>
      <w:iCs/>
    </w:rPr>
  </w:style>
  <w:style w:type="paragraph" w:styleId="FootnoteText">
    <w:name w:val="footnote text"/>
    <w:basedOn w:val="Normal"/>
    <w:link w:val="FootnoteTextChar"/>
    <w:uiPriority w:val="99"/>
    <w:semiHidden/>
    <w:unhideWhenUsed/>
    <w:rsid w:val="008218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8C0"/>
    <w:rPr>
      <w:sz w:val="20"/>
      <w:szCs w:val="20"/>
    </w:rPr>
  </w:style>
  <w:style w:type="character" w:styleId="FootnoteReference">
    <w:name w:val="footnote reference"/>
    <w:basedOn w:val="DefaultParagraphFont"/>
    <w:uiPriority w:val="99"/>
    <w:semiHidden/>
    <w:unhideWhenUsed/>
    <w:rsid w:val="008218C0"/>
    <w:rPr>
      <w:vertAlign w:val="superscript"/>
    </w:rPr>
  </w:style>
  <w:style w:type="paragraph" w:styleId="BalloonText">
    <w:name w:val="Balloon Text"/>
    <w:basedOn w:val="Normal"/>
    <w:link w:val="BalloonTextChar"/>
    <w:uiPriority w:val="99"/>
    <w:semiHidden/>
    <w:unhideWhenUsed/>
    <w:rsid w:val="00C7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724"/>
    <w:rPr>
      <w:rFonts w:ascii="Segoe UI" w:hAnsi="Segoe UI" w:cs="Segoe UI"/>
      <w:sz w:val="18"/>
      <w:szCs w:val="18"/>
    </w:rPr>
  </w:style>
  <w:style w:type="paragraph" w:styleId="Header">
    <w:name w:val="header"/>
    <w:basedOn w:val="Normal"/>
    <w:link w:val="HeaderChar"/>
    <w:uiPriority w:val="99"/>
    <w:unhideWhenUsed/>
    <w:rsid w:val="00A81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EDB"/>
  </w:style>
  <w:style w:type="paragraph" w:styleId="Footer">
    <w:name w:val="footer"/>
    <w:basedOn w:val="Normal"/>
    <w:link w:val="FooterChar"/>
    <w:uiPriority w:val="99"/>
    <w:unhideWhenUsed/>
    <w:rsid w:val="00A81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0FF24-5E30-40D8-9B99-573DCDEC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JSC</cp:lastModifiedBy>
  <cp:revision>2</cp:revision>
  <cp:lastPrinted>2021-07-30T10:28:00Z</cp:lastPrinted>
  <dcterms:created xsi:type="dcterms:W3CDTF">2021-09-30T08:53:00Z</dcterms:created>
  <dcterms:modified xsi:type="dcterms:W3CDTF">2021-09-30T08:53:00Z</dcterms:modified>
</cp:coreProperties>
</file>