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03265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LUSAMA FASHION ENTERPRISES</w:t>
      </w:r>
      <w:r w:rsidR="00890DFD">
        <w:rPr>
          <w:rFonts w:ascii="Times New Roman" w:hAnsi="Times New Roman" w:cs="Times New Roman"/>
          <w:sz w:val="24"/>
          <w:szCs w:val="24"/>
        </w:rPr>
        <w:t xml:space="preserve"> (PRIVATE) LIMITED</w:t>
      </w:r>
      <w:r>
        <w:rPr>
          <w:rFonts w:ascii="Times New Roman" w:hAnsi="Times New Roman" w:cs="Times New Roman"/>
          <w:sz w:val="24"/>
          <w:szCs w:val="24"/>
        </w:rPr>
        <w:tab/>
      </w:r>
    </w:p>
    <w:p w:rsidR="007742D5"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03265B" w:rsidRDefault="0003265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MT SELINDA HIGH SCHOOL</w:t>
      </w:r>
    </w:p>
    <w:p w:rsidR="00B83004" w:rsidRDefault="0003265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r w:rsidR="00890DFD">
        <w:rPr>
          <w:rFonts w:ascii="Times New Roman" w:hAnsi="Times New Roman" w:cs="Times New Roman"/>
          <w:sz w:val="24"/>
          <w:szCs w:val="24"/>
        </w:rPr>
        <w:tab/>
      </w:r>
      <w:r w:rsidR="00890DFD">
        <w:rPr>
          <w:rFonts w:ascii="Times New Roman" w:hAnsi="Times New Roman" w:cs="Times New Roman"/>
          <w:sz w:val="24"/>
          <w:szCs w:val="24"/>
        </w:rPr>
        <w:tab/>
      </w:r>
      <w:r w:rsidR="00890DFD">
        <w:rPr>
          <w:rFonts w:ascii="Times New Roman" w:hAnsi="Times New Roman" w:cs="Times New Roman"/>
          <w:sz w:val="24"/>
          <w:szCs w:val="24"/>
        </w:rPr>
        <w:tab/>
      </w:r>
      <w:r>
        <w:rPr>
          <w:rFonts w:ascii="Times New Roman" w:hAnsi="Times New Roman" w:cs="Times New Roman"/>
          <w:sz w:val="24"/>
          <w:szCs w:val="24"/>
        </w:rPr>
        <w:tab/>
      </w:r>
    </w:p>
    <w:p w:rsidR="0003265B" w:rsidRDefault="0003265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UNITED CHURCH OF CHRIST IN ZIMBABWE</w:t>
      </w:r>
    </w:p>
    <w:p w:rsidR="00FD4C0E" w:rsidRDefault="00FD4C0E"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890DF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bookmarkStart w:id="0" w:name="_GoBack"/>
      <w:bookmarkEnd w:id="0"/>
    </w:p>
    <w:p w:rsidR="001A1A68" w:rsidRDefault="005C36C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3265B">
        <w:rPr>
          <w:rFonts w:ascii="Times New Roman" w:hAnsi="Times New Roman" w:cs="Times New Roman"/>
          <w:sz w:val="24"/>
          <w:szCs w:val="24"/>
        </w:rPr>
        <w:t>28 October</w:t>
      </w:r>
      <w:r w:rsidR="00B25AB0">
        <w:rPr>
          <w:rFonts w:ascii="Times New Roman" w:hAnsi="Times New Roman" w:cs="Times New Roman"/>
          <w:sz w:val="24"/>
          <w:szCs w:val="24"/>
        </w:rPr>
        <w:t xml:space="preserve">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03265B"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Special plea in bar</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1D2B5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AJ Dhliwayo</w:t>
      </w:r>
      <w:r w:rsidR="0003265B">
        <w:rPr>
          <w:rFonts w:ascii="Times New Roman" w:hAnsi="Times New Roman" w:cs="Times New Roman"/>
          <w:i/>
          <w:sz w:val="24"/>
          <w:szCs w:val="24"/>
        </w:rPr>
        <w:t>.</w:t>
      </w:r>
      <w:r w:rsidR="0003265B">
        <w:rPr>
          <w:rFonts w:ascii="Times New Roman" w:hAnsi="Times New Roman" w:cs="Times New Roman"/>
          <w:sz w:val="24"/>
          <w:szCs w:val="24"/>
        </w:rPr>
        <w:t xml:space="preserve">, for the </w:t>
      </w:r>
      <w:r>
        <w:rPr>
          <w:rFonts w:ascii="Times New Roman" w:hAnsi="Times New Roman" w:cs="Times New Roman"/>
          <w:sz w:val="24"/>
          <w:szCs w:val="24"/>
        </w:rPr>
        <w:t>plaintiff</w:t>
      </w:r>
    </w:p>
    <w:p w:rsidR="00B25AB0" w:rsidRPr="00171E33" w:rsidRDefault="001D2B5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T Tazvitya</w:t>
      </w:r>
      <w:r>
        <w:rPr>
          <w:rFonts w:ascii="Times New Roman" w:hAnsi="Times New Roman" w:cs="Times New Roman"/>
          <w:sz w:val="24"/>
          <w:szCs w:val="24"/>
        </w:rPr>
        <w:t>,</w:t>
      </w:r>
      <w:r w:rsidR="00B25AB0">
        <w:rPr>
          <w:rFonts w:ascii="Times New Roman" w:hAnsi="Times New Roman" w:cs="Times New Roman"/>
          <w:sz w:val="24"/>
          <w:szCs w:val="24"/>
        </w:rPr>
        <w:t xml:space="preserve"> for the </w:t>
      </w:r>
      <w:r w:rsidR="0003265B">
        <w:rPr>
          <w:rFonts w:ascii="Times New Roman" w:hAnsi="Times New Roman" w:cs="Times New Roman"/>
          <w:sz w:val="24"/>
          <w:szCs w:val="24"/>
        </w:rPr>
        <w:t>defendants</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4D163D" w:rsidRDefault="00B25AB0" w:rsidP="004D1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w:t>
      </w:r>
      <w:r w:rsidR="00171E33">
        <w:rPr>
          <w:rFonts w:ascii="Times New Roman" w:hAnsi="Times New Roman" w:cs="Times New Roman"/>
          <w:sz w:val="24"/>
          <w:szCs w:val="24"/>
        </w:rPr>
        <w:t>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4D163D">
        <w:rPr>
          <w:rFonts w:ascii="Times New Roman" w:hAnsi="Times New Roman" w:cs="Times New Roman"/>
          <w:sz w:val="24"/>
          <w:szCs w:val="24"/>
        </w:rPr>
        <w:t>On 6 June 2019 the plaintiff initiated court proceedings by issuing summons against Mt Selinda High School and its responsible</w:t>
      </w:r>
      <w:r w:rsidR="009660FF">
        <w:rPr>
          <w:rFonts w:ascii="Times New Roman" w:hAnsi="Times New Roman" w:cs="Times New Roman"/>
          <w:sz w:val="24"/>
          <w:szCs w:val="24"/>
        </w:rPr>
        <w:t xml:space="preserve"> church authority, United Church of Christ in Zimbabwe as co-defendant claiming payment of US$29 384-00, interest at the prescribed rate and costs of suit on an attorney-client scale.</w:t>
      </w:r>
    </w:p>
    <w:p w:rsidR="009660FF" w:rsidRDefault="009660FF" w:rsidP="004D1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July 2019 defendant entered appearance to defend. On 6 August 2019 defendants filed their special plea in bar to the following effect:</w:t>
      </w:r>
    </w:p>
    <w:p w:rsidR="009660FF" w:rsidRDefault="009660FF" w:rsidP="006C0926">
      <w:pPr>
        <w:pStyle w:val="ListParagraph"/>
        <w:numPr>
          <w:ilvl w:val="0"/>
          <w:numId w:val="25"/>
        </w:numPr>
        <w:spacing w:after="0" w:line="240" w:lineRule="auto"/>
        <w:ind w:left="1077" w:hanging="357"/>
        <w:jc w:val="both"/>
        <w:rPr>
          <w:rFonts w:ascii="Times New Roman" w:hAnsi="Times New Roman" w:cs="Times New Roman"/>
          <w:b/>
          <w:i/>
        </w:rPr>
      </w:pPr>
      <w:r w:rsidRPr="00A93C0B">
        <w:rPr>
          <w:rFonts w:ascii="Times New Roman" w:hAnsi="Times New Roman" w:cs="Times New Roman"/>
          <w:b/>
          <w:i/>
        </w:rPr>
        <w:t>That the 1</w:t>
      </w:r>
      <w:r w:rsidRPr="00A93C0B">
        <w:rPr>
          <w:rFonts w:ascii="Times New Roman" w:hAnsi="Times New Roman" w:cs="Times New Roman"/>
          <w:b/>
          <w:i/>
          <w:vertAlign w:val="superscript"/>
        </w:rPr>
        <w:t>st</w:t>
      </w:r>
      <w:r w:rsidRPr="00A93C0B">
        <w:rPr>
          <w:rFonts w:ascii="Times New Roman" w:hAnsi="Times New Roman" w:cs="Times New Roman"/>
          <w:b/>
          <w:i/>
        </w:rPr>
        <w:t xml:space="preserve"> Defendant is not a legal persona capable of suing and being sued in its own name. The citation of the 1</w:t>
      </w:r>
      <w:r w:rsidRPr="00A93C0B">
        <w:rPr>
          <w:rFonts w:ascii="Times New Roman" w:hAnsi="Times New Roman" w:cs="Times New Roman"/>
          <w:b/>
          <w:i/>
          <w:vertAlign w:val="superscript"/>
        </w:rPr>
        <w:t>st</w:t>
      </w:r>
      <w:r w:rsidRPr="00A93C0B">
        <w:rPr>
          <w:rFonts w:ascii="Times New Roman" w:hAnsi="Times New Roman" w:cs="Times New Roman"/>
          <w:b/>
          <w:i/>
        </w:rPr>
        <w:t xml:space="preserve"> Defendant is improper, because in terms of s 36 of the Education Act [Chapter 25:04] as read with Statutory Instrument 87 of 1992 Plaintiff ought to have cited the School Development Committee. The summons is invalid because it has been issued against</w:t>
      </w:r>
      <w:r w:rsidR="006C0926" w:rsidRPr="00A93C0B">
        <w:rPr>
          <w:rFonts w:ascii="Times New Roman" w:hAnsi="Times New Roman" w:cs="Times New Roman"/>
          <w:b/>
          <w:i/>
        </w:rPr>
        <w:t xml:space="preserve"> 1</w:t>
      </w:r>
      <w:r w:rsidR="006C0926" w:rsidRPr="00A93C0B">
        <w:rPr>
          <w:rFonts w:ascii="Times New Roman" w:hAnsi="Times New Roman" w:cs="Times New Roman"/>
          <w:b/>
          <w:i/>
          <w:vertAlign w:val="superscript"/>
        </w:rPr>
        <w:t>st</w:t>
      </w:r>
      <w:r w:rsidR="006C0926" w:rsidRPr="00A93C0B">
        <w:rPr>
          <w:rFonts w:ascii="Times New Roman" w:hAnsi="Times New Roman" w:cs="Times New Roman"/>
          <w:b/>
          <w:i/>
        </w:rPr>
        <w:t xml:space="preserve"> Defendant who has no legal capacity to be sued.</w:t>
      </w:r>
    </w:p>
    <w:p w:rsidR="00A93C0B" w:rsidRPr="00A93C0B" w:rsidRDefault="00A93C0B" w:rsidP="00A93C0B">
      <w:pPr>
        <w:pStyle w:val="ListParagraph"/>
        <w:spacing w:after="0" w:line="240" w:lineRule="auto"/>
        <w:ind w:left="1077"/>
        <w:jc w:val="both"/>
        <w:rPr>
          <w:rFonts w:ascii="Times New Roman" w:hAnsi="Times New Roman" w:cs="Times New Roman"/>
          <w:b/>
          <w:i/>
        </w:rPr>
      </w:pPr>
    </w:p>
    <w:p w:rsidR="006C0926" w:rsidRPr="00A93C0B" w:rsidRDefault="006C0926" w:rsidP="006C0926">
      <w:pPr>
        <w:pStyle w:val="ListParagraph"/>
        <w:numPr>
          <w:ilvl w:val="0"/>
          <w:numId w:val="25"/>
        </w:numPr>
        <w:spacing w:after="0" w:line="240" w:lineRule="auto"/>
        <w:ind w:left="1077" w:hanging="357"/>
        <w:jc w:val="both"/>
        <w:rPr>
          <w:rFonts w:ascii="Times New Roman" w:hAnsi="Times New Roman" w:cs="Times New Roman"/>
          <w:b/>
          <w:i/>
        </w:rPr>
      </w:pPr>
      <w:r w:rsidRPr="00A93C0B">
        <w:rPr>
          <w:rFonts w:ascii="Times New Roman" w:hAnsi="Times New Roman" w:cs="Times New Roman"/>
          <w:b/>
          <w:i/>
        </w:rPr>
        <w:t>The citation of the 2</w:t>
      </w:r>
      <w:r w:rsidRPr="00A93C0B">
        <w:rPr>
          <w:rFonts w:ascii="Times New Roman" w:hAnsi="Times New Roman" w:cs="Times New Roman"/>
          <w:b/>
          <w:i/>
          <w:vertAlign w:val="superscript"/>
        </w:rPr>
        <w:t>nd</w:t>
      </w:r>
      <w:r w:rsidRPr="00A93C0B">
        <w:rPr>
          <w:rFonts w:ascii="Times New Roman" w:hAnsi="Times New Roman" w:cs="Times New Roman"/>
          <w:b/>
          <w:i/>
        </w:rPr>
        <w:t xml:space="preserve"> Defendant is improper in that the 2</w:t>
      </w:r>
      <w:r w:rsidRPr="00A93C0B">
        <w:rPr>
          <w:rFonts w:ascii="Times New Roman" w:hAnsi="Times New Roman" w:cs="Times New Roman"/>
          <w:b/>
          <w:i/>
          <w:vertAlign w:val="superscript"/>
        </w:rPr>
        <w:t>nd</w:t>
      </w:r>
      <w:r w:rsidRPr="00A93C0B">
        <w:rPr>
          <w:rFonts w:ascii="Times New Roman" w:hAnsi="Times New Roman" w:cs="Times New Roman"/>
          <w:b/>
          <w:i/>
        </w:rPr>
        <w:t xml:space="preserve"> Defendant is a distinct legal persona from the 1</w:t>
      </w:r>
      <w:r w:rsidRPr="00A93C0B">
        <w:rPr>
          <w:rFonts w:ascii="Times New Roman" w:hAnsi="Times New Roman" w:cs="Times New Roman"/>
          <w:b/>
          <w:i/>
          <w:vertAlign w:val="superscript"/>
        </w:rPr>
        <w:t>st</w:t>
      </w:r>
      <w:r w:rsidRPr="00A93C0B">
        <w:rPr>
          <w:rFonts w:ascii="Times New Roman" w:hAnsi="Times New Roman" w:cs="Times New Roman"/>
          <w:b/>
          <w:i/>
        </w:rPr>
        <w:t xml:space="preserve"> Defendant and therefore is not liable in any manner for the acts of the 1</w:t>
      </w:r>
      <w:r w:rsidRPr="00A93C0B">
        <w:rPr>
          <w:rFonts w:ascii="Times New Roman" w:hAnsi="Times New Roman" w:cs="Times New Roman"/>
          <w:b/>
          <w:i/>
          <w:vertAlign w:val="superscript"/>
        </w:rPr>
        <w:t>st</w:t>
      </w:r>
      <w:r w:rsidRPr="00A93C0B">
        <w:rPr>
          <w:rFonts w:ascii="Times New Roman" w:hAnsi="Times New Roman" w:cs="Times New Roman"/>
          <w:b/>
          <w:i/>
        </w:rPr>
        <w:t xml:space="preserve"> Defendant which is a separate legal entity in terms of s 36 of the Education Act [Chapter 25:04] as read with Statutory Instrument 87 of 1992.</w:t>
      </w:r>
    </w:p>
    <w:p w:rsidR="006C0926" w:rsidRPr="006C0926" w:rsidRDefault="006C0926" w:rsidP="006C0926">
      <w:pPr>
        <w:pStyle w:val="ListParagraph"/>
        <w:spacing w:after="0" w:line="240" w:lineRule="auto"/>
        <w:ind w:left="1077"/>
        <w:jc w:val="both"/>
        <w:rPr>
          <w:rFonts w:ascii="Times New Roman" w:hAnsi="Times New Roman" w:cs="Times New Roman"/>
          <w:b/>
          <w:i/>
          <w:sz w:val="24"/>
          <w:szCs w:val="24"/>
        </w:rPr>
      </w:pPr>
    </w:p>
    <w:p w:rsidR="006C0926" w:rsidRDefault="006C0926" w:rsidP="006C0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defendant is cited by the plaintiff in the summons as Mt Selinda High School. The second defendant is United Church of Christ. The plaintiff goes on to describe second defendant as the responsible authority which overseas first defendant’s administration an</w:t>
      </w:r>
      <w:r w:rsidR="00A93C0B">
        <w:rPr>
          <w:rFonts w:ascii="Times New Roman" w:hAnsi="Times New Roman" w:cs="Times New Roman"/>
          <w:sz w:val="24"/>
          <w:szCs w:val="24"/>
        </w:rPr>
        <w:t>d has legal status to be co-sue</w:t>
      </w:r>
      <w:r>
        <w:rPr>
          <w:rFonts w:ascii="Times New Roman" w:hAnsi="Times New Roman" w:cs="Times New Roman"/>
          <w:sz w:val="24"/>
          <w:szCs w:val="24"/>
        </w:rPr>
        <w:t>d with its educational institution and hence is jointly and severally liable to settle first defendant’s indebtedness.</w:t>
      </w:r>
    </w:p>
    <w:p w:rsidR="006C0926" w:rsidRDefault="006C0926" w:rsidP="006C0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special plea the plaintiff unfortunately did not reply </w:t>
      </w:r>
      <w:r w:rsidR="00A93C0B">
        <w:rPr>
          <w:rFonts w:ascii="Times New Roman" w:hAnsi="Times New Roman" w:cs="Times New Roman"/>
          <w:sz w:val="24"/>
          <w:szCs w:val="24"/>
        </w:rPr>
        <w:t xml:space="preserve">to </w:t>
      </w:r>
      <w:r>
        <w:rPr>
          <w:rFonts w:ascii="Times New Roman" w:hAnsi="Times New Roman" w:cs="Times New Roman"/>
          <w:sz w:val="24"/>
          <w:szCs w:val="24"/>
        </w:rPr>
        <w:t>the special plea but proceeded to prepare heads of argument.</w:t>
      </w:r>
      <w:r w:rsidR="00AA0066">
        <w:rPr>
          <w:rFonts w:ascii="Times New Roman" w:hAnsi="Times New Roman" w:cs="Times New Roman"/>
          <w:sz w:val="24"/>
          <w:szCs w:val="24"/>
        </w:rPr>
        <w:t xml:space="preserve"> It is important to remark at this stage that a party </w:t>
      </w:r>
      <w:r w:rsidR="00AA0066">
        <w:rPr>
          <w:rFonts w:ascii="Times New Roman" w:hAnsi="Times New Roman" w:cs="Times New Roman"/>
          <w:sz w:val="24"/>
          <w:szCs w:val="24"/>
        </w:rPr>
        <w:lastRenderedPageBreak/>
        <w:t xml:space="preserve">served with a special plea in terms of Order 21 r 137 is obliged to at least comment on the special plea indicating the basis of his or her response to the special plea in order to </w:t>
      </w:r>
      <w:r w:rsidR="00A93C0B">
        <w:rPr>
          <w:rFonts w:ascii="Times New Roman" w:hAnsi="Times New Roman" w:cs="Times New Roman"/>
          <w:sz w:val="24"/>
          <w:szCs w:val="24"/>
        </w:rPr>
        <w:t xml:space="preserve">avoid leading </w:t>
      </w:r>
      <w:r w:rsidR="00AA0066">
        <w:rPr>
          <w:rFonts w:ascii="Times New Roman" w:hAnsi="Times New Roman" w:cs="Times New Roman"/>
          <w:sz w:val="24"/>
          <w:szCs w:val="24"/>
        </w:rPr>
        <w:t>evidence from the bar and also for purposes of expediency to both the court and the other party. Where a party does not do so it will risk to be adjudged to be in default and the special plea will be deemed unopposed.</w:t>
      </w:r>
    </w:p>
    <w:p w:rsidR="002542CC" w:rsidRDefault="00AA0066" w:rsidP="0025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w:t>
      </w:r>
      <w:r w:rsidR="00D45241">
        <w:rPr>
          <w:rFonts w:ascii="Times New Roman" w:hAnsi="Times New Roman" w:cs="Times New Roman"/>
          <w:sz w:val="24"/>
          <w:szCs w:val="24"/>
        </w:rPr>
        <w:t>h</w:t>
      </w:r>
      <w:r>
        <w:rPr>
          <w:rFonts w:ascii="Times New Roman" w:hAnsi="Times New Roman" w:cs="Times New Roman"/>
          <w:sz w:val="24"/>
          <w:szCs w:val="24"/>
        </w:rPr>
        <w:t>ead</w:t>
      </w:r>
      <w:r w:rsidR="00D45241">
        <w:rPr>
          <w:rFonts w:ascii="Times New Roman" w:hAnsi="Times New Roman" w:cs="Times New Roman"/>
          <w:sz w:val="24"/>
          <w:szCs w:val="24"/>
        </w:rPr>
        <w:t>s</w:t>
      </w:r>
      <w:r w:rsidR="00A93C0B">
        <w:rPr>
          <w:rFonts w:ascii="Times New Roman" w:hAnsi="Times New Roman" w:cs="Times New Roman"/>
          <w:sz w:val="24"/>
          <w:szCs w:val="24"/>
        </w:rPr>
        <w:t xml:space="preserve"> of</w:t>
      </w:r>
      <w:r>
        <w:rPr>
          <w:rFonts w:ascii="Times New Roman" w:hAnsi="Times New Roman" w:cs="Times New Roman"/>
          <w:sz w:val="24"/>
          <w:szCs w:val="24"/>
        </w:rPr>
        <w:t xml:space="preserve"> argument in opposition to the special plea the plaintiff contented that 1</w:t>
      </w:r>
      <w:r w:rsidRPr="00AA006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an established non-government school and</w:t>
      </w:r>
      <w:r w:rsidR="00D45241">
        <w:rPr>
          <w:rFonts w:ascii="Times New Roman" w:hAnsi="Times New Roman" w:cs="Times New Roman"/>
          <w:sz w:val="24"/>
          <w:szCs w:val="24"/>
        </w:rPr>
        <w:t xml:space="preserve"> admittedly is not a legal </w:t>
      </w:r>
      <w:r w:rsidR="00D45241" w:rsidRPr="00D45241">
        <w:rPr>
          <w:rFonts w:ascii="Times New Roman" w:hAnsi="Times New Roman" w:cs="Times New Roman"/>
          <w:i/>
          <w:sz w:val="24"/>
          <w:szCs w:val="24"/>
        </w:rPr>
        <w:t>pers</w:t>
      </w:r>
      <w:r w:rsidRPr="00D45241">
        <w:rPr>
          <w:rFonts w:ascii="Times New Roman" w:hAnsi="Times New Roman" w:cs="Times New Roman"/>
          <w:i/>
          <w:sz w:val="24"/>
          <w:szCs w:val="24"/>
        </w:rPr>
        <w:t>ona</w:t>
      </w:r>
      <w:r w:rsidR="00D45241">
        <w:rPr>
          <w:rFonts w:ascii="Times New Roman" w:hAnsi="Times New Roman" w:cs="Times New Roman"/>
          <w:sz w:val="24"/>
          <w:szCs w:val="24"/>
        </w:rPr>
        <w:t xml:space="preserve">. This is exactly what defendants are saying in support of their special plea </w:t>
      </w:r>
      <w:r w:rsidR="00D45241" w:rsidRPr="00D45241">
        <w:rPr>
          <w:rFonts w:ascii="Times New Roman" w:hAnsi="Times New Roman" w:cs="Times New Roman"/>
          <w:i/>
          <w:sz w:val="24"/>
          <w:szCs w:val="24"/>
        </w:rPr>
        <w:t>vis-à-vis</w:t>
      </w:r>
      <w:r w:rsidR="00D45241">
        <w:rPr>
          <w:rFonts w:ascii="Times New Roman" w:hAnsi="Times New Roman" w:cs="Times New Roman"/>
          <w:sz w:val="24"/>
          <w:szCs w:val="24"/>
        </w:rPr>
        <w:t xml:space="preserve"> 1</w:t>
      </w:r>
      <w:r w:rsidR="00D45241" w:rsidRPr="00D45241">
        <w:rPr>
          <w:rFonts w:ascii="Times New Roman" w:hAnsi="Times New Roman" w:cs="Times New Roman"/>
          <w:sz w:val="24"/>
          <w:szCs w:val="24"/>
          <w:vertAlign w:val="superscript"/>
        </w:rPr>
        <w:t>st</w:t>
      </w:r>
      <w:r w:rsidR="00D45241">
        <w:rPr>
          <w:rFonts w:ascii="Times New Roman" w:hAnsi="Times New Roman" w:cs="Times New Roman"/>
          <w:sz w:val="24"/>
          <w:szCs w:val="24"/>
        </w:rPr>
        <w:t xml:space="preserve"> defendant</w:t>
      </w:r>
      <w:r w:rsidR="00D45241">
        <w:rPr>
          <w:rStyle w:val="FootnoteReference"/>
          <w:rFonts w:ascii="Times New Roman" w:hAnsi="Times New Roman" w:cs="Times New Roman"/>
          <w:sz w:val="24"/>
          <w:szCs w:val="24"/>
        </w:rPr>
        <w:footnoteReference w:id="1"/>
      </w:r>
      <w:r w:rsidR="00D45241">
        <w:rPr>
          <w:rFonts w:ascii="Times New Roman" w:hAnsi="Times New Roman" w:cs="Times New Roman"/>
          <w:sz w:val="24"/>
          <w:szCs w:val="24"/>
        </w:rPr>
        <w:t>. However the plaintiff goes on to argue that judged by the stance taken by the highest court in the country, the Constitutional Court</w:t>
      </w:r>
      <w:r w:rsidR="00D45241">
        <w:rPr>
          <w:rStyle w:val="FootnoteReference"/>
          <w:rFonts w:ascii="Times New Roman" w:hAnsi="Times New Roman" w:cs="Times New Roman"/>
          <w:sz w:val="24"/>
          <w:szCs w:val="24"/>
        </w:rPr>
        <w:footnoteReference w:id="2"/>
      </w:r>
      <w:r w:rsidR="009E1B77">
        <w:rPr>
          <w:rFonts w:ascii="Times New Roman" w:hAnsi="Times New Roman" w:cs="Times New Roman"/>
          <w:sz w:val="24"/>
          <w:szCs w:val="24"/>
        </w:rPr>
        <w:t xml:space="preserve"> if the school did not have legal capacity the Constitutional Court ought to have stated so. It did not</w:t>
      </w:r>
      <w:r w:rsidR="00A93C0B">
        <w:rPr>
          <w:rFonts w:ascii="Times New Roman" w:hAnsi="Times New Roman" w:cs="Times New Roman"/>
          <w:sz w:val="24"/>
          <w:szCs w:val="24"/>
        </w:rPr>
        <w:t>,</w:t>
      </w:r>
      <w:r w:rsidR="009E1B77">
        <w:rPr>
          <w:rFonts w:ascii="Times New Roman" w:hAnsi="Times New Roman" w:cs="Times New Roman"/>
          <w:sz w:val="24"/>
          <w:szCs w:val="24"/>
        </w:rPr>
        <w:t xml:space="preserve"> so it can be argued a school is a legal </w:t>
      </w:r>
      <w:r w:rsidR="009E1B77" w:rsidRPr="009E1B77">
        <w:rPr>
          <w:rFonts w:ascii="Times New Roman" w:hAnsi="Times New Roman" w:cs="Times New Roman"/>
          <w:i/>
          <w:sz w:val="24"/>
          <w:szCs w:val="24"/>
        </w:rPr>
        <w:t>persona</w:t>
      </w:r>
      <w:r w:rsidR="009E1B77">
        <w:rPr>
          <w:rFonts w:ascii="Times New Roman" w:hAnsi="Times New Roman" w:cs="Times New Roman"/>
          <w:sz w:val="24"/>
          <w:szCs w:val="24"/>
        </w:rPr>
        <w:t xml:space="preserve"> which can be sued. It was further argued by Mr </w:t>
      </w:r>
      <w:r w:rsidR="009E1B77" w:rsidRPr="009E1B77">
        <w:rPr>
          <w:rFonts w:ascii="Times New Roman" w:hAnsi="Times New Roman" w:cs="Times New Roman"/>
          <w:i/>
          <w:sz w:val="24"/>
          <w:szCs w:val="24"/>
        </w:rPr>
        <w:t>AJ Dhliwayo</w:t>
      </w:r>
      <w:r w:rsidR="002542CC">
        <w:rPr>
          <w:rFonts w:ascii="Times New Roman" w:hAnsi="Times New Roman" w:cs="Times New Roman"/>
          <w:sz w:val="24"/>
          <w:szCs w:val="24"/>
        </w:rPr>
        <w:t xml:space="preserve"> for the plaintiff that the Education act [</w:t>
      </w:r>
      <w:r w:rsidR="002542CC" w:rsidRPr="002542CC">
        <w:rPr>
          <w:rFonts w:ascii="Times New Roman" w:hAnsi="Times New Roman" w:cs="Times New Roman"/>
          <w:i/>
          <w:sz w:val="24"/>
          <w:szCs w:val="24"/>
        </w:rPr>
        <w:t>Chapter 25:04</w:t>
      </w:r>
      <w:r w:rsidR="002542CC">
        <w:rPr>
          <w:rFonts w:ascii="Times New Roman" w:hAnsi="Times New Roman" w:cs="Times New Roman"/>
          <w:sz w:val="24"/>
          <w:szCs w:val="24"/>
        </w:rPr>
        <w:t xml:space="preserve">] does not pronounce that a school is not a legal </w:t>
      </w:r>
      <w:r w:rsidR="002542CC" w:rsidRPr="002542CC">
        <w:rPr>
          <w:rFonts w:ascii="Times New Roman" w:hAnsi="Times New Roman" w:cs="Times New Roman"/>
          <w:i/>
          <w:sz w:val="24"/>
          <w:szCs w:val="24"/>
        </w:rPr>
        <w:t>persona</w:t>
      </w:r>
      <w:r w:rsidR="002542CC">
        <w:rPr>
          <w:rFonts w:ascii="Times New Roman" w:hAnsi="Times New Roman" w:cs="Times New Roman"/>
          <w:sz w:val="24"/>
          <w:szCs w:val="24"/>
        </w:rPr>
        <w:t xml:space="preserve"> and does not confer legal personality to a school development committee. Statutory Instrument 87 of 1992 does not take away the common law legal status of a school when it places legal personality on a school development committee. The Education Act places obligations on the part of the second defendant as the responsible authority, and there was nothing wrong done by the plaintiff to join 2</w:t>
      </w:r>
      <w:r w:rsidR="002542CC" w:rsidRPr="002542CC">
        <w:rPr>
          <w:rFonts w:ascii="Times New Roman" w:hAnsi="Times New Roman" w:cs="Times New Roman"/>
          <w:sz w:val="24"/>
          <w:szCs w:val="24"/>
          <w:vertAlign w:val="superscript"/>
        </w:rPr>
        <w:t>nd</w:t>
      </w:r>
      <w:r w:rsidR="002542CC">
        <w:rPr>
          <w:rFonts w:ascii="Times New Roman" w:hAnsi="Times New Roman" w:cs="Times New Roman"/>
          <w:sz w:val="24"/>
          <w:szCs w:val="24"/>
        </w:rPr>
        <w:t xml:space="preserve"> defendant to the proceedings</w:t>
      </w:r>
      <w:r w:rsidR="00A93C0B">
        <w:rPr>
          <w:rFonts w:ascii="Times New Roman" w:hAnsi="Times New Roman" w:cs="Times New Roman"/>
          <w:sz w:val="24"/>
          <w:szCs w:val="24"/>
        </w:rPr>
        <w:t>, he argued.</w:t>
      </w:r>
    </w:p>
    <w:p w:rsidR="002542CC" w:rsidRDefault="002542CC" w:rsidP="0025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0090E">
        <w:rPr>
          <w:rFonts w:ascii="Times New Roman" w:hAnsi="Times New Roman" w:cs="Times New Roman"/>
          <w:i/>
          <w:sz w:val="24"/>
          <w:szCs w:val="24"/>
        </w:rPr>
        <w:t>Dhliwayo</w:t>
      </w:r>
      <w:r>
        <w:rPr>
          <w:rFonts w:ascii="Times New Roman" w:hAnsi="Times New Roman" w:cs="Times New Roman"/>
          <w:sz w:val="24"/>
          <w:szCs w:val="24"/>
        </w:rPr>
        <w:t xml:space="preserve"> went on to submit</w:t>
      </w:r>
      <w:r w:rsidR="00AE19A0">
        <w:rPr>
          <w:rFonts w:ascii="Times New Roman" w:hAnsi="Times New Roman" w:cs="Times New Roman"/>
          <w:sz w:val="24"/>
          <w:szCs w:val="24"/>
        </w:rPr>
        <w:t xml:space="preserve"> that a school is considered to be a universitas. He added that 1</w:t>
      </w:r>
      <w:r w:rsidR="00AE19A0" w:rsidRPr="00AE19A0">
        <w:rPr>
          <w:rFonts w:ascii="Times New Roman" w:hAnsi="Times New Roman" w:cs="Times New Roman"/>
          <w:sz w:val="24"/>
          <w:szCs w:val="24"/>
          <w:vertAlign w:val="superscript"/>
        </w:rPr>
        <w:t>st</w:t>
      </w:r>
      <w:r w:rsidR="00AE19A0">
        <w:rPr>
          <w:rFonts w:ascii="Times New Roman" w:hAnsi="Times New Roman" w:cs="Times New Roman"/>
          <w:sz w:val="24"/>
          <w:szCs w:val="24"/>
        </w:rPr>
        <w:t xml:space="preserve"> defendant is allowed to open and operate bank accounts and to purchase property. When the court asked counsel for plaintiff to explain the basis of the universitas, Mr </w:t>
      </w:r>
      <w:r w:rsidR="00AE19A0" w:rsidRPr="0040090E">
        <w:rPr>
          <w:rFonts w:ascii="Times New Roman" w:hAnsi="Times New Roman" w:cs="Times New Roman"/>
          <w:i/>
          <w:sz w:val="24"/>
          <w:szCs w:val="24"/>
        </w:rPr>
        <w:t xml:space="preserve">Dhliwayo </w:t>
      </w:r>
      <w:r w:rsidR="00AE19A0">
        <w:rPr>
          <w:rFonts w:ascii="Times New Roman" w:hAnsi="Times New Roman" w:cs="Times New Roman"/>
          <w:sz w:val="24"/>
          <w:szCs w:val="24"/>
        </w:rPr>
        <w:t xml:space="preserve">admitted that </w:t>
      </w:r>
      <w:r w:rsidR="0040090E">
        <w:rPr>
          <w:rFonts w:ascii="Times New Roman" w:hAnsi="Times New Roman" w:cs="Times New Roman"/>
          <w:sz w:val="24"/>
          <w:szCs w:val="24"/>
        </w:rPr>
        <w:t>such powers are derived from a Constitution which Constitution is created in terms of s 36 (1) of the Education Act. Section 36</w:t>
      </w:r>
      <w:r w:rsidR="001D2B52">
        <w:rPr>
          <w:rFonts w:ascii="Times New Roman" w:hAnsi="Times New Roman" w:cs="Times New Roman"/>
          <w:sz w:val="24"/>
          <w:szCs w:val="24"/>
        </w:rPr>
        <w:t xml:space="preserve"> of the Education Act, he clarified only provides for the establishment of a school Development Committee. Where a registered school receives a grant from the State, there are schools which do not receive grants and are l</w:t>
      </w:r>
      <w:r w:rsidR="00A93C0B">
        <w:rPr>
          <w:rFonts w:ascii="Times New Roman" w:hAnsi="Times New Roman" w:cs="Times New Roman"/>
          <w:sz w:val="24"/>
          <w:szCs w:val="24"/>
        </w:rPr>
        <w:t xml:space="preserve">egal persons, and that is based </w:t>
      </w:r>
      <w:r w:rsidR="001D2B52">
        <w:rPr>
          <w:rFonts w:ascii="Times New Roman" w:hAnsi="Times New Roman" w:cs="Times New Roman"/>
          <w:sz w:val="24"/>
          <w:szCs w:val="24"/>
        </w:rPr>
        <w:t>on common law.</w:t>
      </w:r>
    </w:p>
    <w:p w:rsidR="001D2B52" w:rsidRDefault="001D2B52" w:rsidP="0025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A93C0B">
        <w:rPr>
          <w:rFonts w:ascii="Times New Roman" w:hAnsi="Times New Roman" w:cs="Times New Roman"/>
          <w:i/>
          <w:sz w:val="24"/>
          <w:szCs w:val="24"/>
        </w:rPr>
        <w:t>T Tazvitya</w:t>
      </w:r>
      <w:r>
        <w:rPr>
          <w:rFonts w:ascii="Times New Roman" w:hAnsi="Times New Roman" w:cs="Times New Roman"/>
          <w:sz w:val="24"/>
          <w:szCs w:val="24"/>
        </w:rPr>
        <w:t>, for the defendants</w:t>
      </w:r>
      <w:r w:rsidR="00B7036B">
        <w:rPr>
          <w:rFonts w:ascii="Times New Roman" w:hAnsi="Times New Roman" w:cs="Times New Roman"/>
          <w:sz w:val="24"/>
          <w:szCs w:val="24"/>
        </w:rPr>
        <w:t xml:space="preserve"> submitted that the 1</w:t>
      </w:r>
      <w:r w:rsidR="00B7036B" w:rsidRPr="00B7036B">
        <w:rPr>
          <w:rFonts w:ascii="Times New Roman" w:hAnsi="Times New Roman" w:cs="Times New Roman"/>
          <w:sz w:val="24"/>
          <w:szCs w:val="24"/>
          <w:vertAlign w:val="superscript"/>
        </w:rPr>
        <w:t>st</w:t>
      </w:r>
      <w:r w:rsidR="00B7036B">
        <w:rPr>
          <w:rFonts w:ascii="Times New Roman" w:hAnsi="Times New Roman" w:cs="Times New Roman"/>
          <w:sz w:val="24"/>
          <w:szCs w:val="24"/>
        </w:rPr>
        <w:t xml:space="preserve"> defendant is not a legal person and should not have been cited. On the joinder of the 2</w:t>
      </w:r>
      <w:r w:rsidR="00B7036B" w:rsidRPr="00B7036B">
        <w:rPr>
          <w:rFonts w:ascii="Times New Roman" w:hAnsi="Times New Roman" w:cs="Times New Roman"/>
          <w:sz w:val="24"/>
          <w:szCs w:val="24"/>
          <w:vertAlign w:val="superscript"/>
        </w:rPr>
        <w:t>nd</w:t>
      </w:r>
      <w:r w:rsidR="00B7036B">
        <w:rPr>
          <w:rFonts w:ascii="Times New Roman" w:hAnsi="Times New Roman" w:cs="Times New Roman"/>
          <w:sz w:val="24"/>
          <w:szCs w:val="24"/>
        </w:rPr>
        <w:t xml:space="preserve"> defendant, it was submitted that 2</w:t>
      </w:r>
      <w:r w:rsidR="00B7036B" w:rsidRPr="00B7036B">
        <w:rPr>
          <w:rFonts w:ascii="Times New Roman" w:hAnsi="Times New Roman" w:cs="Times New Roman"/>
          <w:sz w:val="24"/>
          <w:szCs w:val="24"/>
          <w:vertAlign w:val="superscript"/>
        </w:rPr>
        <w:t>nd</w:t>
      </w:r>
      <w:r w:rsidR="00B7036B">
        <w:rPr>
          <w:rFonts w:ascii="Times New Roman" w:hAnsi="Times New Roman" w:cs="Times New Roman"/>
          <w:sz w:val="24"/>
          <w:szCs w:val="24"/>
        </w:rPr>
        <w:t xml:space="preserve"> defendant is not privy to the alleged contract. The contract that is being relied upon by the plaintiff was allegedly between it and the 1</w:t>
      </w:r>
      <w:r w:rsidR="00B7036B" w:rsidRPr="00B7036B">
        <w:rPr>
          <w:rFonts w:ascii="Times New Roman" w:hAnsi="Times New Roman" w:cs="Times New Roman"/>
          <w:sz w:val="24"/>
          <w:szCs w:val="24"/>
          <w:vertAlign w:val="superscript"/>
        </w:rPr>
        <w:t>st</w:t>
      </w:r>
      <w:r w:rsidR="00B7036B">
        <w:rPr>
          <w:rFonts w:ascii="Times New Roman" w:hAnsi="Times New Roman" w:cs="Times New Roman"/>
          <w:sz w:val="24"/>
          <w:szCs w:val="24"/>
        </w:rPr>
        <w:t xml:space="preserve"> defendant.</w:t>
      </w:r>
    </w:p>
    <w:p w:rsidR="00984490" w:rsidRDefault="00984490" w:rsidP="00B7036B">
      <w:pPr>
        <w:spacing w:after="0" w:line="360" w:lineRule="auto"/>
        <w:jc w:val="both"/>
        <w:rPr>
          <w:rFonts w:ascii="Times New Roman" w:hAnsi="Times New Roman" w:cs="Times New Roman"/>
          <w:sz w:val="24"/>
          <w:szCs w:val="24"/>
          <w:u w:val="single"/>
        </w:rPr>
      </w:pPr>
    </w:p>
    <w:p w:rsidR="00B7036B" w:rsidRPr="00273FCF" w:rsidRDefault="00A93C0B" w:rsidP="00B7036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WHETHER FIRST</w:t>
      </w:r>
      <w:r w:rsidR="00B7036B" w:rsidRPr="00273FCF">
        <w:rPr>
          <w:rFonts w:ascii="Times New Roman" w:hAnsi="Times New Roman" w:cs="Times New Roman"/>
          <w:sz w:val="24"/>
          <w:szCs w:val="24"/>
          <w:u w:val="single"/>
        </w:rPr>
        <w:t xml:space="preserve"> DEFENDANT IS A LEGAL PERSON</w:t>
      </w:r>
    </w:p>
    <w:p w:rsidR="00B7036B" w:rsidRDefault="00273FCF" w:rsidP="00B72A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B72A9D">
        <w:rPr>
          <w:rFonts w:ascii="Times New Roman" w:hAnsi="Times New Roman" w:cs="Times New Roman"/>
          <w:sz w:val="24"/>
          <w:szCs w:val="24"/>
        </w:rPr>
        <w:t xml:space="preserve">parties unreservedly admit that Mt Selinda High School is not a legal </w:t>
      </w:r>
      <w:r w:rsidR="00B72A9D" w:rsidRPr="00B72A9D">
        <w:rPr>
          <w:rFonts w:ascii="Times New Roman" w:hAnsi="Times New Roman" w:cs="Times New Roman"/>
          <w:i/>
          <w:sz w:val="24"/>
          <w:szCs w:val="24"/>
        </w:rPr>
        <w:t>persona</w:t>
      </w:r>
      <w:r w:rsidR="00B72A9D">
        <w:rPr>
          <w:rFonts w:ascii="Times New Roman" w:hAnsi="Times New Roman" w:cs="Times New Roman"/>
          <w:sz w:val="24"/>
          <w:szCs w:val="24"/>
        </w:rPr>
        <w:t>, hence it cannot be sued. It is not a legal entity.</w:t>
      </w:r>
    </w:p>
    <w:p w:rsidR="00B72A9D" w:rsidRDefault="00B72A9D" w:rsidP="00B72A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36 of the Education Act, provides for the establishment of School Parents Assemblies and School Development Committees, the Responsible Authority of any registered school shall cause the School Parents Assembly to establish a School Development Committee, the composition, functions, duties, procedures and power of the School Development Committee shall be as contained in the Constitution of the School Parents Assembly. Further </w:t>
      </w:r>
      <w:r w:rsidR="00F25B08">
        <w:rPr>
          <w:rFonts w:ascii="Times New Roman" w:hAnsi="Times New Roman" w:cs="Times New Roman"/>
          <w:sz w:val="24"/>
          <w:szCs w:val="24"/>
        </w:rPr>
        <w:t>s 3 of the Statutory Instruments 87 of 1992, Education (School Development Committees’) (Non-Government Schools) Regulations furnished the School Development Committee with a legal status to</w:t>
      </w:r>
      <w:r w:rsidR="00A93C0B">
        <w:rPr>
          <w:rFonts w:ascii="Times New Roman" w:hAnsi="Times New Roman" w:cs="Times New Roman"/>
          <w:sz w:val="24"/>
          <w:szCs w:val="24"/>
        </w:rPr>
        <w:t xml:space="preserve"> sue and to be sued distinct from</w:t>
      </w:r>
      <w:r w:rsidR="00F25B08">
        <w:rPr>
          <w:rFonts w:ascii="Times New Roman" w:hAnsi="Times New Roman" w:cs="Times New Roman"/>
          <w:sz w:val="24"/>
          <w:szCs w:val="24"/>
        </w:rPr>
        <w:t xml:space="preserve"> the founder or responsible authority or owner of the private school who established it. Responsible Authority is defined in s 2 of the Education Act to mean “</w:t>
      </w:r>
      <w:r w:rsidR="00F25B08" w:rsidRPr="00A93C0B">
        <w:rPr>
          <w:rFonts w:ascii="Times New Roman" w:hAnsi="Times New Roman" w:cs="Times New Roman"/>
          <w:i/>
          <w:sz w:val="24"/>
          <w:szCs w:val="24"/>
        </w:rPr>
        <w:t>in relation to or at a school mean the person, body or organisation responsible for the establishment and management of the school</w:t>
      </w:r>
      <w:r w:rsidR="00F25B08">
        <w:rPr>
          <w:rFonts w:ascii="Times New Roman" w:hAnsi="Times New Roman" w:cs="Times New Roman"/>
          <w:sz w:val="24"/>
          <w:szCs w:val="24"/>
        </w:rPr>
        <w:t>”</w:t>
      </w:r>
      <w:r w:rsidR="00C44FA6">
        <w:rPr>
          <w:rFonts w:ascii="Times New Roman" w:hAnsi="Times New Roman" w:cs="Times New Roman"/>
          <w:sz w:val="24"/>
          <w:szCs w:val="24"/>
        </w:rPr>
        <w:t xml:space="preserve"> capable of performing all acts that bodies corporate may by law perform.</w:t>
      </w:r>
    </w:p>
    <w:p w:rsidR="00C44FA6" w:rsidRDefault="00C44FA6" w:rsidP="00B72A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C44FA6">
        <w:rPr>
          <w:rFonts w:ascii="Times New Roman" w:hAnsi="Times New Roman" w:cs="Times New Roman"/>
          <w:i/>
          <w:sz w:val="24"/>
          <w:szCs w:val="24"/>
        </w:rPr>
        <w:t>Dzobo Primary School v Mahakaire and Others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court dealt with the legal capacity of the School Development Committees and it was held that:</w:t>
      </w:r>
    </w:p>
    <w:p w:rsidR="00782A67" w:rsidRPr="0050514F" w:rsidRDefault="00C44FA6" w:rsidP="0050514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782A67" w:rsidRPr="0050514F">
        <w:rPr>
          <w:rFonts w:ascii="Times New Roman" w:hAnsi="Times New Roman" w:cs="Times New Roman"/>
        </w:rPr>
        <w:t>…..It is clear from submission</w:t>
      </w:r>
      <w:r w:rsidR="00A93C0B">
        <w:rPr>
          <w:rFonts w:ascii="Times New Roman" w:hAnsi="Times New Roman" w:cs="Times New Roman"/>
        </w:rPr>
        <w:t>s</w:t>
      </w:r>
      <w:r w:rsidR="00782A67" w:rsidRPr="0050514F">
        <w:rPr>
          <w:rFonts w:ascii="Times New Roman" w:hAnsi="Times New Roman" w:cs="Times New Roman"/>
        </w:rPr>
        <w:t xml:space="preserve"> made before this court and from the record that the SDC employed the respondents. The appellant is not a legal entity but the SDC which employed the appellants can be sued as same has legal capacity conferred by Statutory Instrument 87/92.</w:t>
      </w:r>
    </w:p>
    <w:p w:rsidR="00782A67" w:rsidRPr="0050514F" w:rsidRDefault="00782A67" w:rsidP="0050514F">
      <w:pPr>
        <w:spacing w:after="0" w:line="240" w:lineRule="auto"/>
        <w:ind w:left="720"/>
        <w:jc w:val="both"/>
        <w:rPr>
          <w:rFonts w:ascii="Times New Roman" w:hAnsi="Times New Roman" w:cs="Times New Roman"/>
        </w:rPr>
      </w:pPr>
    </w:p>
    <w:p w:rsidR="00782A67" w:rsidRPr="0050514F" w:rsidRDefault="00A93C0B" w:rsidP="0050514F">
      <w:pPr>
        <w:spacing w:after="0" w:line="240" w:lineRule="auto"/>
        <w:ind w:left="720"/>
        <w:jc w:val="both"/>
        <w:rPr>
          <w:rFonts w:ascii="Times New Roman" w:hAnsi="Times New Roman" w:cs="Times New Roman"/>
        </w:rPr>
      </w:pPr>
      <w:r>
        <w:rPr>
          <w:rFonts w:ascii="Times New Roman" w:hAnsi="Times New Roman" w:cs="Times New Roman"/>
        </w:rPr>
        <w:t>As was found in CT</w:t>
      </w:r>
      <w:r w:rsidR="00782A67" w:rsidRPr="0050514F">
        <w:rPr>
          <w:rFonts w:ascii="Times New Roman" w:hAnsi="Times New Roman" w:cs="Times New Roman"/>
        </w:rPr>
        <w:t xml:space="preserve"> Bolts (Pvt) Ltd v Workers Committee</w:t>
      </w:r>
      <w:r w:rsidR="00782A67" w:rsidRPr="0050514F">
        <w:rPr>
          <w:rStyle w:val="FootnoteReference"/>
          <w:rFonts w:ascii="Times New Roman" w:hAnsi="Times New Roman" w:cs="Times New Roman"/>
        </w:rPr>
        <w:footnoteReference w:id="4"/>
      </w:r>
      <w:r w:rsidR="00782A67" w:rsidRPr="0050514F">
        <w:rPr>
          <w:rFonts w:ascii="Times New Roman" w:hAnsi="Times New Roman" w:cs="Times New Roman"/>
        </w:rPr>
        <w:t>, where a party has no legal capacity there would be no party before the court. I identify with the funding therein where it was stated that</w:t>
      </w:r>
    </w:p>
    <w:p w:rsidR="00782A67" w:rsidRPr="0050514F" w:rsidRDefault="00782A67" w:rsidP="0050514F">
      <w:pPr>
        <w:spacing w:after="0" w:line="240" w:lineRule="auto"/>
        <w:ind w:left="720"/>
        <w:jc w:val="both"/>
        <w:rPr>
          <w:rFonts w:ascii="Times New Roman" w:hAnsi="Times New Roman" w:cs="Times New Roman"/>
        </w:rPr>
      </w:pPr>
    </w:p>
    <w:p w:rsidR="00782A67" w:rsidRDefault="00782A67" w:rsidP="0050514F">
      <w:pPr>
        <w:spacing w:after="0" w:line="240" w:lineRule="auto"/>
        <w:ind w:left="1440"/>
        <w:jc w:val="both"/>
        <w:rPr>
          <w:rFonts w:ascii="Times New Roman" w:hAnsi="Times New Roman" w:cs="Times New Roman"/>
        </w:rPr>
      </w:pPr>
      <w:r w:rsidRPr="0050514F">
        <w:rPr>
          <w:rFonts w:ascii="Times New Roman" w:hAnsi="Times New Roman" w:cs="Times New Roman"/>
        </w:rPr>
        <w:t>‘The respondent not being a legal persona, is not properly before this court. The proceedings before the Labour Court and prior to that, the arbitrator, were similarly void.’</w:t>
      </w:r>
    </w:p>
    <w:p w:rsidR="0050514F" w:rsidRPr="0050514F" w:rsidRDefault="0050514F" w:rsidP="0050514F">
      <w:pPr>
        <w:spacing w:after="0" w:line="240" w:lineRule="auto"/>
        <w:ind w:left="1440"/>
        <w:jc w:val="both"/>
        <w:rPr>
          <w:rFonts w:ascii="Times New Roman" w:hAnsi="Times New Roman" w:cs="Times New Roman"/>
        </w:rPr>
      </w:pPr>
    </w:p>
    <w:p w:rsidR="00C44FA6" w:rsidRDefault="00782A67" w:rsidP="0050514F">
      <w:pPr>
        <w:spacing w:after="0" w:line="240" w:lineRule="auto"/>
        <w:ind w:left="720"/>
        <w:jc w:val="both"/>
        <w:rPr>
          <w:rFonts w:ascii="Times New Roman" w:hAnsi="Times New Roman" w:cs="Times New Roman"/>
          <w:sz w:val="24"/>
          <w:szCs w:val="24"/>
        </w:rPr>
      </w:pPr>
      <w:r w:rsidRPr="0050514F">
        <w:rPr>
          <w:rFonts w:ascii="Times New Roman" w:hAnsi="Times New Roman" w:cs="Times New Roman"/>
        </w:rPr>
        <w:t>In casu the award by the arbitrator was a nullity, so is the registration of the award. There was no party or legal entity before the court so an order could not be made against</w:t>
      </w:r>
      <w:r w:rsidR="0050514F" w:rsidRPr="0050514F">
        <w:rPr>
          <w:rFonts w:ascii="Times New Roman" w:hAnsi="Times New Roman" w:cs="Times New Roman"/>
        </w:rPr>
        <w:t xml:space="preserve"> no one. Simply put, you cannot put something on nothing and expect it to hold. There was no competent order in the first place</w:t>
      </w:r>
      <w:r w:rsidR="0050514F">
        <w:rPr>
          <w:rFonts w:ascii="Times New Roman" w:hAnsi="Times New Roman" w:cs="Times New Roman"/>
          <w:sz w:val="24"/>
          <w:szCs w:val="24"/>
        </w:rPr>
        <w:t>.</w:t>
      </w:r>
      <w:r w:rsidR="00C44FA6">
        <w:rPr>
          <w:rFonts w:ascii="Times New Roman" w:hAnsi="Times New Roman" w:cs="Times New Roman"/>
          <w:sz w:val="24"/>
          <w:szCs w:val="24"/>
        </w:rPr>
        <w:t>”</w:t>
      </w:r>
    </w:p>
    <w:p w:rsidR="0050514F" w:rsidRDefault="0050514F" w:rsidP="0050514F">
      <w:pPr>
        <w:spacing w:after="0" w:line="360" w:lineRule="auto"/>
        <w:jc w:val="both"/>
        <w:rPr>
          <w:rFonts w:ascii="Times New Roman" w:hAnsi="Times New Roman" w:cs="Times New Roman"/>
          <w:sz w:val="24"/>
          <w:szCs w:val="24"/>
        </w:rPr>
      </w:pPr>
    </w:p>
    <w:p w:rsidR="0050514F" w:rsidRDefault="0050514F" w:rsidP="0050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establishment of School Development Committees through Statutory Instrument 87 of 1992 was </w:t>
      </w:r>
      <w:r w:rsidR="00A93C0B">
        <w:rPr>
          <w:rFonts w:ascii="Times New Roman" w:hAnsi="Times New Roman" w:cs="Times New Roman"/>
          <w:sz w:val="24"/>
          <w:szCs w:val="24"/>
        </w:rPr>
        <w:t xml:space="preserve">to </w:t>
      </w:r>
      <w:r>
        <w:rPr>
          <w:rFonts w:ascii="Times New Roman" w:hAnsi="Times New Roman" w:cs="Times New Roman"/>
          <w:sz w:val="24"/>
          <w:szCs w:val="24"/>
        </w:rPr>
        <w:t xml:space="preserve">capacitate such </w:t>
      </w:r>
      <w:r w:rsidR="009E3611">
        <w:rPr>
          <w:rFonts w:ascii="Times New Roman" w:hAnsi="Times New Roman" w:cs="Times New Roman"/>
          <w:sz w:val="24"/>
          <w:szCs w:val="24"/>
        </w:rPr>
        <w:t>institutions with legal capability to sue and be sued and become “capable of performing all acts that bodies corporate may by law perform.”</w:t>
      </w:r>
      <w:r w:rsidR="002B302F">
        <w:rPr>
          <w:rFonts w:ascii="Times New Roman" w:hAnsi="Times New Roman" w:cs="Times New Roman"/>
          <w:sz w:val="24"/>
          <w:szCs w:val="24"/>
        </w:rPr>
        <w:t xml:space="preserve"> It would </w:t>
      </w:r>
      <w:r w:rsidR="002B302F">
        <w:rPr>
          <w:rFonts w:ascii="Times New Roman" w:hAnsi="Times New Roman" w:cs="Times New Roman"/>
          <w:sz w:val="24"/>
          <w:szCs w:val="24"/>
        </w:rPr>
        <w:lastRenderedPageBreak/>
        <w:t xml:space="preserve">be pointless in my view to cite a responsible </w:t>
      </w:r>
      <w:r w:rsidR="00F27355">
        <w:rPr>
          <w:rFonts w:ascii="Times New Roman" w:hAnsi="Times New Roman" w:cs="Times New Roman"/>
          <w:sz w:val="24"/>
          <w:szCs w:val="24"/>
        </w:rPr>
        <w:t xml:space="preserve">authority as a party to the proceedings in full knowledge that a School Development Committee created by the School Parents Assembly exists. I do not agree with Mr </w:t>
      </w:r>
      <w:r w:rsidR="00F27355" w:rsidRPr="00F27355">
        <w:rPr>
          <w:rFonts w:ascii="Times New Roman" w:hAnsi="Times New Roman" w:cs="Times New Roman"/>
          <w:i/>
          <w:sz w:val="24"/>
          <w:szCs w:val="24"/>
        </w:rPr>
        <w:t>Dhliwayo</w:t>
      </w:r>
      <w:r w:rsidR="00F27355">
        <w:rPr>
          <w:rFonts w:ascii="Times New Roman" w:hAnsi="Times New Roman" w:cs="Times New Roman"/>
          <w:sz w:val="24"/>
          <w:szCs w:val="24"/>
        </w:rPr>
        <w:t xml:space="preserve"> for the plaintiff</w:t>
      </w:r>
      <w:r w:rsidR="003F7335">
        <w:rPr>
          <w:rFonts w:ascii="Times New Roman" w:hAnsi="Times New Roman" w:cs="Times New Roman"/>
          <w:sz w:val="24"/>
          <w:szCs w:val="24"/>
        </w:rPr>
        <w:t xml:space="preserve"> when he argued that because the Constitutional Court did not rule or disqualify a school from the proceedings</w:t>
      </w:r>
      <w:r w:rsidR="00FB686F">
        <w:rPr>
          <w:rFonts w:ascii="Times New Roman" w:hAnsi="Times New Roman" w:cs="Times New Roman"/>
          <w:sz w:val="24"/>
          <w:szCs w:val="24"/>
        </w:rPr>
        <w:t xml:space="preserve"> </w:t>
      </w:r>
      <w:r w:rsidR="003F7335">
        <w:rPr>
          <w:rFonts w:ascii="Times New Roman" w:hAnsi="Times New Roman" w:cs="Times New Roman"/>
          <w:sz w:val="24"/>
          <w:szCs w:val="24"/>
        </w:rPr>
        <w:t>brought before it</w:t>
      </w:r>
      <w:r w:rsidR="00FB686F">
        <w:rPr>
          <w:rFonts w:ascii="Times New Roman" w:hAnsi="Times New Roman" w:cs="Times New Roman"/>
          <w:sz w:val="24"/>
          <w:szCs w:val="24"/>
        </w:rPr>
        <w:t xml:space="preserve">, it recognised the school as a legal </w:t>
      </w:r>
      <w:r w:rsidR="00FB686F" w:rsidRPr="00FB686F">
        <w:rPr>
          <w:rFonts w:ascii="Times New Roman" w:hAnsi="Times New Roman" w:cs="Times New Roman"/>
          <w:i/>
          <w:sz w:val="24"/>
          <w:szCs w:val="24"/>
        </w:rPr>
        <w:t>persona</w:t>
      </w:r>
      <w:r w:rsidR="00FB686F">
        <w:rPr>
          <w:rFonts w:ascii="Times New Roman" w:hAnsi="Times New Roman" w:cs="Times New Roman"/>
          <w:sz w:val="24"/>
          <w:szCs w:val="24"/>
        </w:rPr>
        <w:t>. The legal capacity of the named school relating to the proceedings was not an issue set out by the parties for the Constitutional Court’s determination.</w:t>
      </w:r>
    </w:p>
    <w:p w:rsidR="00FB686F" w:rsidRDefault="00A93C0B" w:rsidP="0050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universitas derives</w:t>
      </w:r>
      <w:r w:rsidR="00FB686F">
        <w:rPr>
          <w:rFonts w:ascii="Times New Roman" w:hAnsi="Times New Roman" w:cs="Times New Roman"/>
          <w:sz w:val="24"/>
          <w:szCs w:val="24"/>
        </w:rPr>
        <w:t xml:space="preserve"> its authority and mandate from the provisions o</w:t>
      </w:r>
      <w:r>
        <w:rPr>
          <w:rFonts w:ascii="Times New Roman" w:hAnsi="Times New Roman" w:cs="Times New Roman"/>
          <w:sz w:val="24"/>
          <w:szCs w:val="24"/>
        </w:rPr>
        <w:t>f its Constitutions and in</w:t>
      </w:r>
      <w:r w:rsidR="00FB686F">
        <w:rPr>
          <w:rFonts w:ascii="Times New Roman" w:hAnsi="Times New Roman" w:cs="Times New Roman"/>
          <w:sz w:val="24"/>
          <w:szCs w:val="24"/>
        </w:rPr>
        <w:t xml:space="preserve"> t</w:t>
      </w:r>
      <w:r>
        <w:rPr>
          <w:rFonts w:ascii="Times New Roman" w:hAnsi="Times New Roman" w:cs="Times New Roman"/>
          <w:sz w:val="24"/>
          <w:szCs w:val="24"/>
        </w:rPr>
        <w:t>his case the first defendant’s Constitution</w:t>
      </w:r>
      <w:r w:rsidR="00FB686F">
        <w:rPr>
          <w:rFonts w:ascii="Times New Roman" w:hAnsi="Times New Roman" w:cs="Times New Roman"/>
          <w:sz w:val="24"/>
          <w:szCs w:val="24"/>
        </w:rPr>
        <w:t xml:space="preserve"> born out of the legislation formed a School Development Committee which is in existence. The whole argument by the plaintiff, though very fascinating to listen to does not hold. The common law concept of universitas does not apply at all. In any case it was held that:</w:t>
      </w:r>
    </w:p>
    <w:p w:rsidR="00A5274A" w:rsidRDefault="00A5274A" w:rsidP="00F950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950D7">
        <w:rPr>
          <w:rFonts w:ascii="Times New Roman" w:hAnsi="Times New Roman" w:cs="Times New Roman"/>
        </w:rPr>
        <w:t>An universitas personnum in Roman Dutch Law is a legal</w:t>
      </w:r>
      <w:r w:rsidR="00964C6A" w:rsidRPr="00F950D7">
        <w:rPr>
          <w:rFonts w:ascii="Times New Roman" w:hAnsi="Times New Roman" w:cs="Times New Roman"/>
        </w:rPr>
        <w:t xml:space="preserve"> fiction, an aggregation of individual forming a persona or entity, having the capacity or acquiring rights and incurring obligations to a great extent as a human being. An universitas is distinguished from a mere association of individuals by the fact that it is an entity distinct from the founder</w:t>
      </w:r>
      <w:r w:rsidR="00964C6A">
        <w:rPr>
          <w:rFonts w:ascii="Times New Roman" w:hAnsi="Times New Roman" w:cs="Times New Roman"/>
          <w:sz w:val="24"/>
          <w:szCs w:val="24"/>
        </w:rPr>
        <w:t>.</w:t>
      </w:r>
      <w:r>
        <w:rPr>
          <w:rFonts w:ascii="Times New Roman" w:hAnsi="Times New Roman" w:cs="Times New Roman"/>
          <w:sz w:val="24"/>
          <w:szCs w:val="24"/>
        </w:rPr>
        <w:t>”</w:t>
      </w:r>
      <w:r w:rsidR="00964C6A">
        <w:rPr>
          <w:rStyle w:val="FootnoteReference"/>
          <w:rFonts w:ascii="Times New Roman" w:hAnsi="Times New Roman" w:cs="Times New Roman"/>
          <w:sz w:val="24"/>
          <w:szCs w:val="24"/>
        </w:rPr>
        <w:footnoteReference w:id="5"/>
      </w:r>
    </w:p>
    <w:p w:rsidR="00F950D7" w:rsidRDefault="00F950D7" w:rsidP="00F950D7">
      <w:pPr>
        <w:spacing w:after="0" w:line="240" w:lineRule="auto"/>
        <w:ind w:left="720"/>
        <w:jc w:val="both"/>
        <w:rPr>
          <w:rFonts w:ascii="Times New Roman" w:hAnsi="Times New Roman" w:cs="Times New Roman"/>
          <w:sz w:val="24"/>
          <w:szCs w:val="24"/>
        </w:rPr>
      </w:pPr>
    </w:p>
    <w:p w:rsidR="00704ABD" w:rsidRDefault="00704ABD" w:rsidP="0050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casu, in addition to the establishment of the Students Parents Assembly</w:t>
      </w:r>
      <w:r w:rsidR="00F950D7">
        <w:rPr>
          <w:rFonts w:ascii="Times New Roman" w:hAnsi="Times New Roman" w:cs="Times New Roman"/>
          <w:sz w:val="24"/>
          <w:szCs w:val="24"/>
        </w:rPr>
        <w:t xml:space="preserve"> Constitution, the first defendants School Development Committee exists. The plaintiff seems to argue that there is no School Development Committee, yet that </w:t>
      </w:r>
      <w:r w:rsidR="00AB5209">
        <w:rPr>
          <w:rFonts w:ascii="Times New Roman" w:hAnsi="Times New Roman" w:cs="Times New Roman"/>
          <w:sz w:val="24"/>
          <w:szCs w:val="24"/>
        </w:rPr>
        <w:t>point is not contented on paper before the court. I conclude that the first defendant has no legal capacity to be cited in court proceedings. Hence the defendants’ argument that:</w:t>
      </w:r>
    </w:p>
    <w:p w:rsidR="00AB5209" w:rsidRDefault="00AB5209" w:rsidP="00AB52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B5209">
        <w:rPr>
          <w:rFonts w:ascii="Times New Roman" w:hAnsi="Times New Roman" w:cs="Times New Roman"/>
        </w:rPr>
        <w:t xml:space="preserve">A summons has legal force and effect when it is issued by the plaintiff against an existing legal or natural person. If there is no legal or natural person answering to the names written in the summons as being those of the defendant, the summons is null and void </w:t>
      </w:r>
      <w:r w:rsidRPr="00AB5209">
        <w:rPr>
          <w:rFonts w:ascii="Times New Roman" w:hAnsi="Times New Roman" w:cs="Times New Roman"/>
          <w:i/>
        </w:rPr>
        <w:t>ab initio</w:t>
      </w:r>
      <w:r>
        <w:rPr>
          <w:rFonts w:ascii="Times New Roman" w:hAnsi="Times New Roman" w:cs="Times New Roman"/>
          <w:sz w:val="24"/>
          <w:szCs w:val="24"/>
        </w:rPr>
        <w:t>.”</w:t>
      </w:r>
    </w:p>
    <w:p w:rsidR="00AB5209" w:rsidRDefault="00AB5209" w:rsidP="00AB5209">
      <w:pPr>
        <w:spacing w:after="0" w:line="240" w:lineRule="auto"/>
        <w:ind w:left="720"/>
        <w:jc w:val="both"/>
        <w:rPr>
          <w:rFonts w:ascii="Times New Roman" w:hAnsi="Times New Roman" w:cs="Times New Roman"/>
          <w:sz w:val="24"/>
          <w:szCs w:val="24"/>
        </w:rPr>
      </w:pPr>
    </w:p>
    <w:p w:rsidR="00AB5209" w:rsidRDefault="00A93C0B" w:rsidP="0050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AB5209">
        <w:rPr>
          <w:rFonts w:ascii="Times New Roman" w:hAnsi="Times New Roman" w:cs="Times New Roman"/>
          <w:sz w:val="24"/>
          <w:szCs w:val="24"/>
        </w:rPr>
        <w:t>inds favour with the court. It is the plaintiff’s legal representative to thoroughly investigate the legal</w:t>
      </w:r>
      <w:r w:rsidR="00543E6B">
        <w:rPr>
          <w:rFonts w:ascii="Times New Roman" w:hAnsi="Times New Roman" w:cs="Times New Roman"/>
          <w:sz w:val="24"/>
          <w:szCs w:val="24"/>
        </w:rPr>
        <w:t xml:space="preserve"> status of an intended defendant well before summons are issued to avoid legal challenges of the type raised by the defendants in this case more particularly where statutes are so clear relating to School Development Committees.</w:t>
      </w:r>
    </w:p>
    <w:p w:rsidR="00543E6B" w:rsidRDefault="00543E6B" w:rsidP="0050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special plea succeeds.</w:t>
      </w:r>
    </w:p>
    <w:p w:rsidR="00A93C0B" w:rsidRDefault="00A93C0B" w:rsidP="0050514F">
      <w:pPr>
        <w:spacing w:after="0" w:line="360" w:lineRule="auto"/>
        <w:ind w:firstLine="720"/>
        <w:jc w:val="both"/>
        <w:rPr>
          <w:rFonts w:ascii="Times New Roman" w:hAnsi="Times New Roman" w:cs="Times New Roman"/>
          <w:sz w:val="24"/>
          <w:szCs w:val="24"/>
        </w:rPr>
      </w:pPr>
    </w:p>
    <w:p w:rsidR="00A93C0B" w:rsidRDefault="00A93C0B" w:rsidP="0050514F">
      <w:pPr>
        <w:spacing w:after="0" w:line="360" w:lineRule="auto"/>
        <w:ind w:firstLine="720"/>
        <w:jc w:val="both"/>
        <w:rPr>
          <w:rFonts w:ascii="Times New Roman" w:hAnsi="Times New Roman" w:cs="Times New Roman"/>
          <w:sz w:val="24"/>
          <w:szCs w:val="24"/>
        </w:rPr>
      </w:pPr>
    </w:p>
    <w:p w:rsidR="00A93C0B" w:rsidRDefault="00A93C0B" w:rsidP="0050514F">
      <w:pPr>
        <w:spacing w:after="0" w:line="360" w:lineRule="auto"/>
        <w:ind w:firstLine="720"/>
        <w:jc w:val="both"/>
        <w:rPr>
          <w:rFonts w:ascii="Times New Roman" w:hAnsi="Times New Roman" w:cs="Times New Roman"/>
          <w:sz w:val="24"/>
          <w:szCs w:val="24"/>
        </w:rPr>
      </w:pPr>
    </w:p>
    <w:p w:rsidR="00543E6B" w:rsidRPr="00543E6B" w:rsidRDefault="00543E6B" w:rsidP="00543E6B">
      <w:pPr>
        <w:spacing w:after="0" w:line="360" w:lineRule="auto"/>
        <w:jc w:val="both"/>
        <w:rPr>
          <w:rFonts w:ascii="Times New Roman" w:hAnsi="Times New Roman" w:cs="Times New Roman"/>
          <w:sz w:val="24"/>
          <w:szCs w:val="24"/>
          <w:u w:val="single"/>
        </w:rPr>
      </w:pPr>
      <w:r w:rsidRPr="00543E6B">
        <w:rPr>
          <w:rFonts w:ascii="Times New Roman" w:hAnsi="Times New Roman" w:cs="Times New Roman"/>
          <w:sz w:val="24"/>
          <w:szCs w:val="24"/>
          <w:u w:val="single"/>
        </w:rPr>
        <w:lastRenderedPageBreak/>
        <w:t>WHETHER SECOND DEFENDANT IS PROPERLY JOINED</w:t>
      </w:r>
    </w:p>
    <w:p w:rsidR="00543E6B" w:rsidRDefault="00543E6B" w:rsidP="00543E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controverted that second defendant is a legal persona and fundamentally owns first defendant. However second defendant has a competent School Development Committee born out</w:t>
      </w:r>
      <w:r w:rsidR="001306DA">
        <w:rPr>
          <w:rFonts w:ascii="Times New Roman" w:hAnsi="Times New Roman" w:cs="Times New Roman"/>
          <w:sz w:val="24"/>
          <w:szCs w:val="24"/>
        </w:rPr>
        <w:t xml:space="preserve"> of the Students’ Parents Assembly to manage all affairs of the first defendant including legal portfolio. It is also not in dispute from the papers before me that the alleged contract between plaintiff and Mt Selinda High School did not involve the second defendant, the church. Hence I agree with the defendant’s counsel that:</w:t>
      </w:r>
    </w:p>
    <w:p w:rsidR="00DF4098" w:rsidRDefault="00DF4098" w:rsidP="004A744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A7443">
        <w:rPr>
          <w:rFonts w:ascii="Times New Roman" w:hAnsi="Times New Roman" w:cs="Times New Roman"/>
        </w:rPr>
        <w:t xml:space="preserve">This doctrine of privity of contract provides that contractual remedies are enforced only by or against parties to a contract, and not third parties, since </w:t>
      </w:r>
      <w:r w:rsidR="004A7443" w:rsidRPr="004A7443">
        <w:rPr>
          <w:rFonts w:ascii="Times New Roman" w:hAnsi="Times New Roman" w:cs="Times New Roman"/>
        </w:rPr>
        <w:t>contracts</w:t>
      </w:r>
      <w:r w:rsidRPr="004A7443">
        <w:rPr>
          <w:rFonts w:ascii="Times New Roman" w:hAnsi="Times New Roman" w:cs="Times New Roman"/>
        </w:rPr>
        <w:t xml:space="preserve"> only create personal rights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4A7443" w:rsidRDefault="004A7443" w:rsidP="004A7443">
      <w:pPr>
        <w:spacing w:after="0" w:line="240" w:lineRule="auto"/>
        <w:ind w:left="720"/>
        <w:jc w:val="both"/>
        <w:rPr>
          <w:rFonts w:ascii="Times New Roman" w:hAnsi="Times New Roman" w:cs="Times New Roman"/>
          <w:sz w:val="24"/>
          <w:szCs w:val="24"/>
        </w:rPr>
      </w:pPr>
    </w:p>
    <w:p w:rsidR="004A7443" w:rsidRDefault="004A7443" w:rsidP="004A74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A93C0B">
        <w:rPr>
          <w:rFonts w:ascii="Times New Roman" w:hAnsi="Times New Roman" w:cs="Times New Roman"/>
          <w:sz w:val="24"/>
          <w:szCs w:val="24"/>
        </w:rPr>
        <w:t xml:space="preserve"> in the matter of </w:t>
      </w:r>
      <w:r w:rsidR="00A93C0B" w:rsidRPr="00C23AC3">
        <w:rPr>
          <w:rFonts w:ascii="Times New Roman" w:hAnsi="Times New Roman" w:cs="Times New Roman"/>
          <w:i/>
          <w:sz w:val="24"/>
          <w:szCs w:val="24"/>
        </w:rPr>
        <w:t>Symptoms Siwaw</w:t>
      </w:r>
      <w:r w:rsidRPr="00C23AC3">
        <w:rPr>
          <w:rFonts w:ascii="Times New Roman" w:hAnsi="Times New Roman" w:cs="Times New Roman"/>
          <w:i/>
          <w:sz w:val="24"/>
          <w:szCs w:val="24"/>
        </w:rPr>
        <w:t>a v Cooper Construction (Pvt) Limited</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it was held that:</w:t>
      </w:r>
    </w:p>
    <w:p w:rsidR="00D55563" w:rsidRPr="00984490" w:rsidRDefault="004A7443" w:rsidP="0098449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84490">
        <w:rPr>
          <w:rFonts w:ascii="Times New Roman" w:hAnsi="Times New Roman" w:cs="Times New Roman"/>
        </w:rPr>
        <w:t xml:space="preserve">The applicant faces </w:t>
      </w:r>
      <w:r w:rsidR="00D55563" w:rsidRPr="00984490">
        <w:rPr>
          <w:rFonts w:ascii="Times New Roman" w:hAnsi="Times New Roman" w:cs="Times New Roman"/>
        </w:rPr>
        <w:t>an</w:t>
      </w:r>
      <w:r w:rsidRPr="00984490">
        <w:rPr>
          <w:rFonts w:ascii="Times New Roman" w:hAnsi="Times New Roman" w:cs="Times New Roman"/>
        </w:rPr>
        <w:t xml:space="preserve"> unsurmountable hurdle in that he relied for his claim on an agreement in which he is not a party. There is no privity of contract. The principle of privity of contract in our law is a simple one. As stated by the Learned author, </w:t>
      </w:r>
      <w:r w:rsidRPr="00984490">
        <w:rPr>
          <w:rFonts w:ascii="Times New Roman" w:hAnsi="Times New Roman" w:cs="Times New Roman"/>
          <w:i/>
        </w:rPr>
        <w:t>RH Christie</w:t>
      </w:r>
      <w:r w:rsidRPr="00984490">
        <w:rPr>
          <w:rStyle w:val="FootnoteReference"/>
          <w:rFonts w:ascii="Times New Roman" w:hAnsi="Times New Roman" w:cs="Times New Roman"/>
        </w:rPr>
        <w:footnoteReference w:id="8"/>
      </w:r>
    </w:p>
    <w:p w:rsidR="00D55563" w:rsidRPr="00984490" w:rsidRDefault="00D55563" w:rsidP="00984490">
      <w:pPr>
        <w:spacing w:after="0" w:line="240" w:lineRule="auto"/>
        <w:ind w:left="720"/>
        <w:jc w:val="both"/>
        <w:rPr>
          <w:rFonts w:ascii="Times New Roman" w:hAnsi="Times New Roman" w:cs="Times New Roman"/>
        </w:rPr>
      </w:pPr>
    </w:p>
    <w:p w:rsidR="00984490" w:rsidRPr="00984490" w:rsidRDefault="00D55563" w:rsidP="00984490">
      <w:pPr>
        <w:spacing w:after="0" w:line="240" w:lineRule="auto"/>
        <w:ind w:left="720"/>
        <w:jc w:val="both"/>
        <w:rPr>
          <w:rFonts w:ascii="Times New Roman" w:hAnsi="Times New Roman" w:cs="Times New Roman"/>
          <w:sz w:val="24"/>
          <w:szCs w:val="24"/>
        </w:rPr>
      </w:pPr>
      <w:r w:rsidRPr="00984490">
        <w:rPr>
          <w:rFonts w:ascii="Times New Roman" w:hAnsi="Times New Roman" w:cs="Times New Roman"/>
        </w:rPr>
        <w:t>‘A person who is not a party to a contract cannot be held liable or claim on it because, as it is usually expressed, he is not privy to the</w:t>
      </w:r>
      <w:r w:rsidR="00984490">
        <w:rPr>
          <w:rFonts w:ascii="Times New Roman" w:hAnsi="Times New Roman" w:cs="Times New Roman"/>
          <w:sz w:val="24"/>
          <w:szCs w:val="24"/>
        </w:rPr>
        <w:t xml:space="preserve"> </w:t>
      </w:r>
      <w:r w:rsidR="00984490" w:rsidRPr="00DB5DF1">
        <w:rPr>
          <w:rFonts w:ascii="Times New Roman" w:hAnsi="Times New Roman" w:cs="Times New Roman"/>
          <w:szCs w:val="24"/>
        </w:rPr>
        <w:t>contract</w:t>
      </w:r>
      <w:r w:rsidR="00984490" w:rsidRPr="00DB5DF1">
        <w:rPr>
          <w:rStyle w:val="FootnoteReference"/>
          <w:rFonts w:ascii="Times New Roman" w:hAnsi="Times New Roman" w:cs="Times New Roman"/>
          <w:szCs w:val="24"/>
        </w:rPr>
        <w:footnoteReference w:id="9"/>
      </w:r>
      <w:r w:rsidR="00984490" w:rsidRPr="00DB5DF1">
        <w:rPr>
          <w:rFonts w:ascii="Times New Roman" w:hAnsi="Times New Roman" w:cs="Times New Roman"/>
          <w:szCs w:val="24"/>
        </w:rPr>
        <w:t xml:space="preserve"> . The doctrine of privity of contract is however sufficiently elastic to encompass the rules of agency, under which a principal becomes a party to a contract made on his behalf by his agent. But the appointment by the agent of a sub-agent does not, in the absence of agreement to the contract, create privity of contract between the sub-agent and the principal.</w:t>
      </w:r>
      <w:r w:rsidR="00984490" w:rsidRPr="00DB5DF1">
        <w:rPr>
          <w:rStyle w:val="FootnoteReference"/>
          <w:rFonts w:ascii="Times New Roman" w:hAnsi="Times New Roman" w:cs="Times New Roman"/>
          <w:szCs w:val="24"/>
        </w:rPr>
        <w:footnoteReference w:id="10"/>
      </w:r>
      <w:r w:rsidR="00984490" w:rsidRPr="00DB5DF1">
        <w:rPr>
          <w:rFonts w:ascii="Times New Roman" w:hAnsi="Times New Roman" w:cs="Times New Roman"/>
          <w:szCs w:val="24"/>
        </w:rPr>
        <w:t>”</w:t>
      </w:r>
    </w:p>
    <w:p w:rsidR="00984490" w:rsidRDefault="00984490" w:rsidP="00984490">
      <w:pPr>
        <w:jc w:val="both"/>
        <w:rPr>
          <w:rFonts w:ascii="Times New Roman" w:hAnsi="Times New Roman" w:cs="Times New Roman"/>
          <w:sz w:val="24"/>
          <w:szCs w:val="24"/>
        </w:rPr>
      </w:pPr>
      <w:r>
        <w:rPr>
          <w:rFonts w:ascii="Times New Roman" w:hAnsi="Times New Roman" w:cs="Times New Roman"/>
          <w:sz w:val="24"/>
          <w:szCs w:val="24"/>
        </w:rPr>
        <w:tab/>
      </w:r>
    </w:p>
    <w:p w:rsidR="00984490" w:rsidRDefault="00984490" w:rsidP="00984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plaintiff that the second defendant as owner of certain property at the school premises should be cited in a matter involving first defendant, presumably because it has an interest in the matter. Yes, it might have an indirect interest but such interest is well catered for by the School Development Committee on behalf of the second defendant. As already found the School Development Committee has the legal capacity to do so on behalf of both first and second defendants. </w:t>
      </w:r>
    </w:p>
    <w:p w:rsidR="00984490" w:rsidRDefault="00984490" w:rsidP="009844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that first and second defendants cannot be sued in respect of the alleged contract between plaintiff and first defendant’s</w:t>
      </w:r>
      <w:r w:rsidRPr="00CC67DA">
        <w:rPr>
          <w:rFonts w:ascii="Times New Roman" w:hAnsi="Times New Roman" w:cs="Times New Roman"/>
          <w:sz w:val="24"/>
          <w:szCs w:val="24"/>
        </w:rPr>
        <w:t xml:space="preserve"> </w:t>
      </w:r>
      <w:r>
        <w:rPr>
          <w:rFonts w:ascii="Times New Roman" w:hAnsi="Times New Roman" w:cs="Times New Roman"/>
          <w:sz w:val="24"/>
          <w:szCs w:val="24"/>
        </w:rPr>
        <w:t>School Development Committee and the second special plea succeeds.</w:t>
      </w: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Costs </w:t>
      </w:r>
    </w:p>
    <w:p w:rsidR="00984490" w:rsidRDefault="00984490" w:rsidP="00984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had argued that the special pleas be upheld and that plaintiff be penalised to pay wasted costs on attorney-client scale. Mr </w:t>
      </w:r>
      <w:r>
        <w:rPr>
          <w:rFonts w:ascii="Times New Roman" w:hAnsi="Times New Roman" w:cs="Times New Roman"/>
          <w:i/>
          <w:sz w:val="24"/>
          <w:szCs w:val="24"/>
        </w:rPr>
        <w:t xml:space="preserve">Tazvitya </w:t>
      </w:r>
      <w:r>
        <w:rPr>
          <w:rFonts w:ascii="Times New Roman" w:hAnsi="Times New Roman" w:cs="Times New Roman"/>
          <w:sz w:val="24"/>
          <w:szCs w:val="24"/>
        </w:rPr>
        <w:t>later on conceded that there was no basis for such a draconic form of costs. His concession was highly proper. Plaintiff’s argument cannot be categorised as futile and vexatious, however, the plaintiff’s conduct after it received the special plea leaves a lot to be desired. Plaintiff ought to have engaged defendants and at least establish whether there was a</w:t>
      </w:r>
      <w:r w:rsidRPr="006B5D73">
        <w:rPr>
          <w:rFonts w:ascii="Times New Roman" w:hAnsi="Times New Roman" w:cs="Times New Roman"/>
          <w:sz w:val="24"/>
          <w:szCs w:val="24"/>
        </w:rPr>
        <w:t xml:space="preserve"> </w:t>
      </w:r>
      <w:r>
        <w:rPr>
          <w:rFonts w:ascii="Times New Roman" w:hAnsi="Times New Roman" w:cs="Times New Roman"/>
          <w:sz w:val="24"/>
          <w:szCs w:val="24"/>
        </w:rPr>
        <w:t>School Development Committee for first defendant and then if possible apply to amend its summons. Plaintiff did not avail a copy of the bank transaction documents to prove as to who effected payments made to the plaintiff, this could have justified it to why it cited the defendants</w:t>
      </w:r>
      <w:r w:rsidR="00A93C0B">
        <w:rPr>
          <w:rFonts w:ascii="Times New Roman" w:hAnsi="Times New Roman" w:cs="Times New Roman"/>
          <w:sz w:val="24"/>
          <w:szCs w:val="24"/>
        </w:rPr>
        <w:t>, it literally sat on its laure</w:t>
      </w:r>
      <w:r>
        <w:rPr>
          <w:rFonts w:ascii="Times New Roman" w:hAnsi="Times New Roman" w:cs="Times New Roman"/>
          <w:sz w:val="24"/>
          <w:szCs w:val="24"/>
        </w:rPr>
        <w:t xml:space="preserve">ls until the date of set down to hear the special plea. Such a conduct of the plaintiff is deplorable and it ought to be visited with costs. </w:t>
      </w: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Disposal </w:t>
      </w:r>
    </w:p>
    <w:p w:rsidR="00984490" w:rsidRDefault="00984490" w:rsidP="00984490">
      <w:pPr>
        <w:pStyle w:val="ListParagraph"/>
        <w:numPr>
          <w:ilvl w:val="0"/>
          <w:numId w:val="27"/>
        </w:numPr>
        <w:spacing w:after="0" w:line="360" w:lineRule="auto"/>
        <w:jc w:val="both"/>
        <w:rPr>
          <w:rFonts w:ascii="Times New Roman" w:hAnsi="Times New Roman" w:cs="Times New Roman"/>
          <w:sz w:val="24"/>
          <w:szCs w:val="24"/>
        </w:rPr>
      </w:pPr>
      <w:r w:rsidRPr="00D744B2">
        <w:rPr>
          <w:rFonts w:ascii="Times New Roman" w:hAnsi="Times New Roman" w:cs="Times New Roman"/>
          <w:sz w:val="24"/>
          <w:szCs w:val="24"/>
        </w:rPr>
        <w:t xml:space="preserve">Both special pleas are upheld  </w:t>
      </w:r>
    </w:p>
    <w:p w:rsidR="00984490" w:rsidRDefault="00984490" w:rsidP="00984490">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is ordered to pay defendants’ costs.</w:t>
      </w: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360" w:lineRule="auto"/>
        <w:jc w:val="both"/>
        <w:rPr>
          <w:rFonts w:ascii="Times New Roman" w:hAnsi="Times New Roman" w:cs="Times New Roman"/>
          <w:sz w:val="24"/>
          <w:szCs w:val="24"/>
        </w:rPr>
      </w:pPr>
    </w:p>
    <w:p w:rsidR="00984490" w:rsidRDefault="00984490" w:rsidP="009844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Hara &amp; Partners</w:t>
      </w:r>
      <w:r>
        <w:rPr>
          <w:rFonts w:ascii="Times New Roman" w:hAnsi="Times New Roman" w:cs="Times New Roman"/>
          <w:sz w:val="24"/>
          <w:szCs w:val="24"/>
        </w:rPr>
        <w:t xml:space="preserve">, plaintiff’s legal practitioners </w:t>
      </w:r>
    </w:p>
    <w:p w:rsidR="00984490" w:rsidRPr="00D744B2" w:rsidRDefault="00984490" w:rsidP="009844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Pr>
          <w:rFonts w:ascii="Times New Roman" w:hAnsi="Times New Roman" w:cs="Times New Roman"/>
          <w:sz w:val="24"/>
          <w:szCs w:val="24"/>
        </w:rPr>
        <w:t xml:space="preserve">, defendants’ legal practitioners </w:t>
      </w:r>
    </w:p>
    <w:p w:rsidR="00F80886" w:rsidRPr="008E6609" w:rsidRDefault="00F80886" w:rsidP="008E6609">
      <w:pPr>
        <w:spacing w:after="0" w:line="360" w:lineRule="auto"/>
        <w:jc w:val="both"/>
        <w:rPr>
          <w:rFonts w:ascii="Times New Roman" w:hAnsi="Times New Roman" w:cs="Times New Roman"/>
          <w:sz w:val="24"/>
          <w:szCs w:val="24"/>
        </w:rPr>
      </w:pPr>
    </w:p>
    <w:p w:rsidR="00B25AB0" w:rsidRDefault="00B25AB0"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823C61" w:rsidRDefault="00823C61"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B25AB0" w:rsidRDefault="00B25AB0" w:rsidP="00B25AB0">
      <w:pPr>
        <w:spacing w:after="0" w:line="240" w:lineRule="auto"/>
        <w:jc w:val="both"/>
        <w:rPr>
          <w:rFonts w:ascii="Times New Roman" w:hAnsi="Times New Roman" w:cs="Times New Roman"/>
          <w:i/>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47D" w:rsidRDefault="00B9247D" w:rsidP="00086343">
      <w:pPr>
        <w:spacing w:after="0" w:line="240" w:lineRule="auto"/>
      </w:pPr>
      <w:r>
        <w:separator/>
      </w:r>
    </w:p>
  </w:endnote>
  <w:endnote w:type="continuationSeparator" w:id="0">
    <w:p w:rsidR="00B9247D" w:rsidRDefault="00B9247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47D" w:rsidRDefault="00B9247D" w:rsidP="00086343">
      <w:pPr>
        <w:spacing w:after="0" w:line="240" w:lineRule="auto"/>
      </w:pPr>
      <w:r>
        <w:separator/>
      </w:r>
    </w:p>
  </w:footnote>
  <w:footnote w:type="continuationSeparator" w:id="0">
    <w:p w:rsidR="00B9247D" w:rsidRDefault="00B9247D" w:rsidP="00086343">
      <w:pPr>
        <w:spacing w:after="0" w:line="240" w:lineRule="auto"/>
      </w:pPr>
      <w:r>
        <w:continuationSeparator/>
      </w:r>
    </w:p>
  </w:footnote>
  <w:footnote w:id="1">
    <w:p w:rsidR="00D45241" w:rsidRDefault="00D45241">
      <w:pPr>
        <w:pStyle w:val="FootnoteText"/>
      </w:pPr>
      <w:r>
        <w:rPr>
          <w:rStyle w:val="FootnoteReference"/>
        </w:rPr>
        <w:footnoteRef/>
      </w:r>
      <w:r>
        <w:t xml:space="preserve"> See also paragraph 5 of the defendant’s heads of argument</w:t>
      </w:r>
    </w:p>
  </w:footnote>
  <w:footnote w:id="2">
    <w:p w:rsidR="00D45241" w:rsidRDefault="00D45241">
      <w:pPr>
        <w:pStyle w:val="FootnoteText"/>
      </w:pPr>
      <w:r>
        <w:rPr>
          <w:rStyle w:val="FootnoteReference"/>
        </w:rPr>
        <w:footnoteRef/>
      </w:r>
      <w:r>
        <w:t xml:space="preserve"> See Amos Makam &amp; Ors v Arundel School and others CC 27/16, Arundel School &amp; Ors v Zimra SC 61/17, Zvandasara v ZRP High School &amp; Anor HA 63/17</w:t>
      </w:r>
    </w:p>
  </w:footnote>
  <w:footnote w:id="3">
    <w:p w:rsidR="00C44FA6" w:rsidRDefault="00C44FA6">
      <w:pPr>
        <w:pStyle w:val="FootnoteText"/>
      </w:pPr>
      <w:r>
        <w:rPr>
          <w:rStyle w:val="FootnoteReference"/>
        </w:rPr>
        <w:footnoteRef/>
      </w:r>
      <w:r>
        <w:t xml:space="preserve"> HH 354/16</w:t>
      </w:r>
    </w:p>
  </w:footnote>
  <w:footnote w:id="4">
    <w:p w:rsidR="00782A67" w:rsidRDefault="00782A67">
      <w:pPr>
        <w:pStyle w:val="FootnoteText"/>
      </w:pPr>
      <w:r>
        <w:rPr>
          <w:rStyle w:val="FootnoteReference"/>
        </w:rPr>
        <w:footnoteRef/>
      </w:r>
      <w:r>
        <w:t xml:space="preserve"> SC 16/2012</w:t>
      </w:r>
    </w:p>
  </w:footnote>
  <w:footnote w:id="5">
    <w:p w:rsidR="00964C6A" w:rsidRDefault="00964C6A">
      <w:pPr>
        <w:pStyle w:val="FootnoteText"/>
      </w:pPr>
      <w:r>
        <w:rPr>
          <w:rStyle w:val="FootnoteReference"/>
        </w:rPr>
        <w:footnoteRef/>
      </w:r>
      <w:r>
        <w:t xml:space="preserve"> Webb and Co. Ltd v Northern Rifles 1908 TS 462 at 464, Twelve Apostles in Christ v Twelve Apostle Church in Christ 2010 ZAKZPUCS</w:t>
      </w:r>
    </w:p>
  </w:footnote>
  <w:footnote w:id="6">
    <w:p w:rsidR="00DF4098" w:rsidRDefault="00DF4098">
      <w:pPr>
        <w:pStyle w:val="FootnoteText"/>
      </w:pPr>
      <w:r>
        <w:rPr>
          <w:rStyle w:val="FootnoteReference"/>
        </w:rPr>
        <w:footnoteRef/>
      </w:r>
      <w:r>
        <w:t xml:space="preserve"> The Law of Contract in Zimbabwe, 1</w:t>
      </w:r>
      <w:r w:rsidRPr="00DF4098">
        <w:rPr>
          <w:vertAlign w:val="superscript"/>
        </w:rPr>
        <w:t>st</w:t>
      </w:r>
      <w:r>
        <w:t xml:space="preserve"> Ed p. 27 by I. Magra</w:t>
      </w:r>
    </w:p>
  </w:footnote>
  <w:footnote w:id="7">
    <w:p w:rsidR="004A7443" w:rsidRDefault="004A7443">
      <w:pPr>
        <w:pStyle w:val="FootnoteText"/>
      </w:pPr>
      <w:r>
        <w:rPr>
          <w:rStyle w:val="FootnoteReference"/>
        </w:rPr>
        <w:footnoteRef/>
      </w:r>
      <w:r>
        <w:t xml:space="preserve"> HH 790/05</w:t>
      </w:r>
    </w:p>
  </w:footnote>
  <w:footnote w:id="8">
    <w:p w:rsidR="004A7443" w:rsidRDefault="004A7443">
      <w:pPr>
        <w:pStyle w:val="FootnoteText"/>
      </w:pPr>
      <w:r>
        <w:rPr>
          <w:rStyle w:val="FootnoteReference"/>
        </w:rPr>
        <w:footnoteRef/>
      </w:r>
      <w:r>
        <w:t xml:space="preserve"> Business Law in Zimbabwe, 2</w:t>
      </w:r>
      <w:r w:rsidRPr="004A7443">
        <w:rPr>
          <w:vertAlign w:val="superscript"/>
        </w:rPr>
        <w:t>nd</w:t>
      </w:r>
      <w:r>
        <w:t xml:space="preserve"> </w:t>
      </w:r>
      <w:r w:rsidR="00984490">
        <w:t>Ed. Jita &amp; C</w:t>
      </w:r>
      <w:r>
        <w:t>o. Ltd at p.7</w:t>
      </w:r>
    </w:p>
  </w:footnote>
  <w:footnote w:id="9">
    <w:p w:rsidR="00984490" w:rsidRDefault="00984490" w:rsidP="00984490">
      <w:pPr>
        <w:pStyle w:val="FootnoteText"/>
      </w:pPr>
      <w:r>
        <w:rPr>
          <w:rStyle w:val="FootnoteReference"/>
        </w:rPr>
        <w:footnoteRef/>
      </w:r>
      <w:r>
        <w:t xml:space="preserve"> PTC Pension Fund v Standard Chartered Merchant Bank Zimbabwe Ltd 1993 (1) ZLR 55</w:t>
      </w:r>
    </w:p>
  </w:footnote>
  <w:footnote w:id="10">
    <w:p w:rsidR="00984490" w:rsidRDefault="00984490" w:rsidP="00984490">
      <w:pPr>
        <w:pStyle w:val="FootnoteText"/>
      </w:pPr>
      <w:r>
        <w:rPr>
          <w:rStyle w:val="FootnoteReference"/>
        </w:rPr>
        <w:footnoteRef/>
      </w:r>
      <w:r>
        <w:t xml:space="preserve"> Karaolias Bank Zimbabwe v Sulam 1975 (1) ZLR 320, 1975 (3) SA 873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D665CB" w:rsidRDefault="00D665CB">
        <w:pPr>
          <w:pStyle w:val="Header"/>
          <w:jc w:val="right"/>
          <w:rPr>
            <w:noProof/>
          </w:rPr>
        </w:pPr>
        <w:r>
          <w:fldChar w:fldCharType="begin"/>
        </w:r>
        <w:r>
          <w:instrText xml:space="preserve"> PAGE   \* MERGEFORMAT </w:instrText>
        </w:r>
        <w:r>
          <w:fldChar w:fldCharType="separate"/>
        </w:r>
        <w:r w:rsidR="007A0BFC">
          <w:rPr>
            <w:noProof/>
          </w:rPr>
          <w:t>6</w:t>
        </w:r>
        <w:r>
          <w:rPr>
            <w:noProof/>
          </w:rPr>
          <w:fldChar w:fldCharType="end"/>
        </w:r>
      </w:p>
      <w:p w:rsidR="00D665CB" w:rsidRDefault="007A0BFC">
        <w:pPr>
          <w:pStyle w:val="Header"/>
          <w:jc w:val="right"/>
          <w:rPr>
            <w:noProof/>
          </w:rPr>
        </w:pPr>
        <w:r>
          <w:rPr>
            <w:noProof/>
          </w:rPr>
          <w:t>HMT 74</w:t>
        </w:r>
        <w:r w:rsidR="00D665CB">
          <w:rPr>
            <w:noProof/>
          </w:rPr>
          <w:t>-19</w:t>
        </w:r>
      </w:p>
      <w:p w:rsidR="00D665CB" w:rsidRDefault="00E51AE7">
        <w:pPr>
          <w:pStyle w:val="Header"/>
          <w:jc w:val="right"/>
        </w:pPr>
        <w:r>
          <w:rPr>
            <w:noProof/>
          </w:rPr>
          <w:t>HC 162</w:t>
        </w:r>
        <w:r w:rsidR="00D665CB">
          <w:rPr>
            <w:noProof/>
          </w:rPr>
          <w:t>/19</w:t>
        </w:r>
      </w:p>
    </w:sdtContent>
  </w:sdt>
  <w:p w:rsidR="00D665CB" w:rsidRDefault="00D665C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2F96"/>
    <w:multiLevelType w:val="hybridMultilevel"/>
    <w:tmpl w:val="688ACD46"/>
    <w:lvl w:ilvl="0" w:tplc="FDA660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8D671B7"/>
    <w:multiLevelType w:val="hybridMultilevel"/>
    <w:tmpl w:val="B12EA834"/>
    <w:lvl w:ilvl="0" w:tplc="0B5C0B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A1B1A74"/>
    <w:multiLevelType w:val="hybridMultilevel"/>
    <w:tmpl w:val="F8F8DB02"/>
    <w:lvl w:ilvl="0" w:tplc="08341F1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34D3E7D"/>
    <w:multiLevelType w:val="hybridMultilevel"/>
    <w:tmpl w:val="A3E2AE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457300D"/>
    <w:multiLevelType w:val="hybridMultilevel"/>
    <w:tmpl w:val="22A68C1E"/>
    <w:lvl w:ilvl="0" w:tplc="73167E9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BC37131"/>
    <w:multiLevelType w:val="hybridMultilevel"/>
    <w:tmpl w:val="13AC1B64"/>
    <w:lvl w:ilvl="0" w:tplc="A45252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0B77FEE"/>
    <w:multiLevelType w:val="hybridMultilevel"/>
    <w:tmpl w:val="75420020"/>
    <w:lvl w:ilvl="0" w:tplc="904078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10A66CD"/>
    <w:multiLevelType w:val="hybridMultilevel"/>
    <w:tmpl w:val="CE4E403E"/>
    <w:lvl w:ilvl="0" w:tplc="0DD634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4B7C0D51"/>
    <w:multiLevelType w:val="hybridMultilevel"/>
    <w:tmpl w:val="DC60CC60"/>
    <w:lvl w:ilvl="0" w:tplc="7E3E78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5123630"/>
    <w:multiLevelType w:val="hybridMultilevel"/>
    <w:tmpl w:val="0C462352"/>
    <w:lvl w:ilvl="0" w:tplc="80EE9C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6A4520BD"/>
    <w:multiLevelType w:val="hybridMultilevel"/>
    <w:tmpl w:val="4CCA71DC"/>
    <w:lvl w:ilvl="0" w:tplc="B91AC4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FEC4EBF"/>
    <w:multiLevelType w:val="hybridMultilevel"/>
    <w:tmpl w:val="F936588E"/>
    <w:lvl w:ilvl="0" w:tplc="24E600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5"/>
  </w:num>
  <w:num w:numId="3">
    <w:abstractNumId w:val="2"/>
  </w:num>
  <w:num w:numId="4">
    <w:abstractNumId w:val="22"/>
  </w:num>
  <w:num w:numId="5">
    <w:abstractNumId w:val="14"/>
  </w:num>
  <w:num w:numId="6">
    <w:abstractNumId w:val="7"/>
  </w:num>
  <w:num w:numId="7">
    <w:abstractNumId w:val="20"/>
  </w:num>
  <w:num w:numId="8">
    <w:abstractNumId w:val="6"/>
  </w:num>
  <w:num w:numId="9">
    <w:abstractNumId w:val="23"/>
  </w:num>
  <w:num w:numId="10">
    <w:abstractNumId w:val="19"/>
  </w:num>
  <w:num w:numId="11">
    <w:abstractNumId w:val="10"/>
  </w:num>
  <w:num w:numId="12">
    <w:abstractNumId w:val="9"/>
  </w:num>
  <w:num w:numId="13">
    <w:abstractNumId w:val="1"/>
  </w:num>
  <w:num w:numId="14">
    <w:abstractNumId w:val="8"/>
  </w:num>
  <w:num w:numId="15">
    <w:abstractNumId w:val="3"/>
  </w:num>
  <w:num w:numId="16">
    <w:abstractNumId w:val="21"/>
  </w:num>
  <w:num w:numId="17">
    <w:abstractNumId w:val="24"/>
  </w:num>
  <w:num w:numId="18">
    <w:abstractNumId w:val="15"/>
  </w:num>
  <w:num w:numId="19">
    <w:abstractNumId w:val="26"/>
  </w:num>
  <w:num w:numId="20">
    <w:abstractNumId w:val="11"/>
  </w:num>
  <w:num w:numId="21">
    <w:abstractNumId w:val="0"/>
  </w:num>
  <w:num w:numId="22">
    <w:abstractNumId w:val="17"/>
  </w:num>
  <w:num w:numId="23">
    <w:abstractNumId w:val="5"/>
  </w:num>
  <w:num w:numId="24">
    <w:abstractNumId w:val="13"/>
  </w:num>
  <w:num w:numId="25">
    <w:abstractNumId w:val="18"/>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9FF"/>
    <w:rsid w:val="00002B37"/>
    <w:rsid w:val="00011FFF"/>
    <w:rsid w:val="000123BD"/>
    <w:rsid w:val="000136EF"/>
    <w:rsid w:val="0001398E"/>
    <w:rsid w:val="00014375"/>
    <w:rsid w:val="00017ED0"/>
    <w:rsid w:val="000230F2"/>
    <w:rsid w:val="000279CA"/>
    <w:rsid w:val="00027EC1"/>
    <w:rsid w:val="00031938"/>
    <w:rsid w:val="00032419"/>
    <w:rsid w:val="0003265B"/>
    <w:rsid w:val="000350EB"/>
    <w:rsid w:val="0004053D"/>
    <w:rsid w:val="00041326"/>
    <w:rsid w:val="00041799"/>
    <w:rsid w:val="00043D3C"/>
    <w:rsid w:val="00044DC7"/>
    <w:rsid w:val="00044E45"/>
    <w:rsid w:val="00046A3E"/>
    <w:rsid w:val="00047D17"/>
    <w:rsid w:val="00050028"/>
    <w:rsid w:val="000512AB"/>
    <w:rsid w:val="00053D65"/>
    <w:rsid w:val="00054637"/>
    <w:rsid w:val="00055AF1"/>
    <w:rsid w:val="00056548"/>
    <w:rsid w:val="00060141"/>
    <w:rsid w:val="00060B8B"/>
    <w:rsid w:val="000611BE"/>
    <w:rsid w:val="000636F5"/>
    <w:rsid w:val="00064FFA"/>
    <w:rsid w:val="000654BF"/>
    <w:rsid w:val="00065A06"/>
    <w:rsid w:val="000662F2"/>
    <w:rsid w:val="00072326"/>
    <w:rsid w:val="0007265A"/>
    <w:rsid w:val="0007762F"/>
    <w:rsid w:val="000830BD"/>
    <w:rsid w:val="00085896"/>
    <w:rsid w:val="00085E91"/>
    <w:rsid w:val="00086158"/>
    <w:rsid w:val="00086343"/>
    <w:rsid w:val="00090535"/>
    <w:rsid w:val="0009160D"/>
    <w:rsid w:val="000966B3"/>
    <w:rsid w:val="000A0D41"/>
    <w:rsid w:val="000A3D2A"/>
    <w:rsid w:val="000A4732"/>
    <w:rsid w:val="000A58DC"/>
    <w:rsid w:val="000A6B76"/>
    <w:rsid w:val="000A6BB3"/>
    <w:rsid w:val="000A7061"/>
    <w:rsid w:val="000B030C"/>
    <w:rsid w:val="000B0728"/>
    <w:rsid w:val="000B26C9"/>
    <w:rsid w:val="000B3709"/>
    <w:rsid w:val="000B3A91"/>
    <w:rsid w:val="000B777B"/>
    <w:rsid w:val="000C1DBA"/>
    <w:rsid w:val="000C5788"/>
    <w:rsid w:val="000C7EE1"/>
    <w:rsid w:val="000D0092"/>
    <w:rsid w:val="000E05E5"/>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760F"/>
    <w:rsid w:val="00120BEA"/>
    <w:rsid w:val="00121FBB"/>
    <w:rsid w:val="001220BA"/>
    <w:rsid w:val="0012291C"/>
    <w:rsid w:val="00126336"/>
    <w:rsid w:val="00127479"/>
    <w:rsid w:val="00127CFC"/>
    <w:rsid w:val="00130104"/>
    <w:rsid w:val="001306DA"/>
    <w:rsid w:val="00132DEF"/>
    <w:rsid w:val="00142F09"/>
    <w:rsid w:val="00142F5E"/>
    <w:rsid w:val="00143388"/>
    <w:rsid w:val="00145FCB"/>
    <w:rsid w:val="001462C0"/>
    <w:rsid w:val="00152A22"/>
    <w:rsid w:val="00153323"/>
    <w:rsid w:val="00154B2C"/>
    <w:rsid w:val="00154D86"/>
    <w:rsid w:val="001556DD"/>
    <w:rsid w:val="001628FF"/>
    <w:rsid w:val="00165639"/>
    <w:rsid w:val="00165B02"/>
    <w:rsid w:val="00170062"/>
    <w:rsid w:val="00171526"/>
    <w:rsid w:val="00171E33"/>
    <w:rsid w:val="0017726C"/>
    <w:rsid w:val="001811A8"/>
    <w:rsid w:val="00185787"/>
    <w:rsid w:val="00186958"/>
    <w:rsid w:val="00191BD9"/>
    <w:rsid w:val="00192BDF"/>
    <w:rsid w:val="001931F4"/>
    <w:rsid w:val="001A13F0"/>
    <w:rsid w:val="001A1A68"/>
    <w:rsid w:val="001A4020"/>
    <w:rsid w:val="001A4968"/>
    <w:rsid w:val="001A54E5"/>
    <w:rsid w:val="001A6F4B"/>
    <w:rsid w:val="001B099B"/>
    <w:rsid w:val="001B0C42"/>
    <w:rsid w:val="001B156D"/>
    <w:rsid w:val="001B66CC"/>
    <w:rsid w:val="001C0EDE"/>
    <w:rsid w:val="001C27A7"/>
    <w:rsid w:val="001C5E8A"/>
    <w:rsid w:val="001C6B41"/>
    <w:rsid w:val="001D2B52"/>
    <w:rsid w:val="001D3BEE"/>
    <w:rsid w:val="001D73FD"/>
    <w:rsid w:val="001F043C"/>
    <w:rsid w:val="001F0D48"/>
    <w:rsid w:val="001F1AEB"/>
    <w:rsid w:val="001F1B63"/>
    <w:rsid w:val="001F24AD"/>
    <w:rsid w:val="001F562E"/>
    <w:rsid w:val="001F5952"/>
    <w:rsid w:val="001F621D"/>
    <w:rsid w:val="001F72AC"/>
    <w:rsid w:val="00200B65"/>
    <w:rsid w:val="002038F3"/>
    <w:rsid w:val="00211C7D"/>
    <w:rsid w:val="00214B21"/>
    <w:rsid w:val="0021576F"/>
    <w:rsid w:val="00216216"/>
    <w:rsid w:val="0022092A"/>
    <w:rsid w:val="002217C5"/>
    <w:rsid w:val="00224017"/>
    <w:rsid w:val="00225DCE"/>
    <w:rsid w:val="002276DA"/>
    <w:rsid w:val="00227ABF"/>
    <w:rsid w:val="0023317D"/>
    <w:rsid w:val="00236065"/>
    <w:rsid w:val="0023739A"/>
    <w:rsid w:val="0024017F"/>
    <w:rsid w:val="00242199"/>
    <w:rsid w:val="002467A1"/>
    <w:rsid w:val="0025021A"/>
    <w:rsid w:val="00250E0B"/>
    <w:rsid w:val="002542CC"/>
    <w:rsid w:val="002572BA"/>
    <w:rsid w:val="0026141E"/>
    <w:rsid w:val="002632FF"/>
    <w:rsid w:val="002645F7"/>
    <w:rsid w:val="0027142C"/>
    <w:rsid w:val="00272E26"/>
    <w:rsid w:val="00273FCF"/>
    <w:rsid w:val="002770F9"/>
    <w:rsid w:val="00282545"/>
    <w:rsid w:val="00283EEA"/>
    <w:rsid w:val="00286F5B"/>
    <w:rsid w:val="00293B84"/>
    <w:rsid w:val="002A12F6"/>
    <w:rsid w:val="002A1CFA"/>
    <w:rsid w:val="002B302F"/>
    <w:rsid w:val="002B376B"/>
    <w:rsid w:val="002B3A84"/>
    <w:rsid w:val="002C446A"/>
    <w:rsid w:val="002D1BEF"/>
    <w:rsid w:val="002E53C6"/>
    <w:rsid w:val="002E7138"/>
    <w:rsid w:val="002F2440"/>
    <w:rsid w:val="002F3668"/>
    <w:rsid w:val="002F39D0"/>
    <w:rsid w:val="002F5744"/>
    <w:rsid w:val="002F70D7"/>
    <w:rsid w:val="002F748C"/>
    <w:rsid w:val="002F7925"/>
    <w:rsid w:val="002F7C31"/>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4152B"/>
    <w:rsid w:val="00341F71"/>
    <w:rsid w:val="00342451"/>
    <w:rsid w:val="00350084"/>
    <w:rsid w:val="0035194C"/>
    <w:rsid w:val="00351E37"/>
    <w:rsid w:val="003539B0"/>
    <w:rsid w:val="00355836"/>
    <w:rsid w:val="00355DF5"/>
    <w:rsid w:val="00356F89"/>
    <w:rsid w:val="00360671"/>
    <w:rsid w:val="00361E80"/>
    <w:rsid w:val="003621CA"/>
    <w:rsid w:val="00363E0B"/>
    <w:rsid w:val="0037005C"/>
    <w:rsid w:val="0037123D"/>
    <w:rsid w:val="00371711"/>
    <w:rsid w:val="003759CF"/>
    <w:rsid w:val="003800ED"/>
    <w:rsid w:val="003839C0"/>
    <w:rsid w:val="00383CC8"/>
    <w:rsid w:val="003847CB"/>
    <w:rsid w:val="003A04A5"/>
    <w:rsid w:val="003A27EA"/>
    <w:rsid w:val="003A33F7"/>
    <w:rsid w:val="003A38D9"/>
    <w:rsid w:val="003A4275"/>
    <w:rsid w:val="003A485E"/>
    <w:rsid w:val="003A60AE"/>
    <w:rsid w:val="003A61D8"/>
    <w:rsid w:val="003A6BBD"/>
    <w:rsid w:val="003B108D"/>
    <w:rsid w:val="003B3D23"/>
    <w:rsid w:val="003B6C5C"/>
    <w:rsid w:val="003C0A7B"/>
    <w:rsid w:val="003C0BD9"/>
    <w:rsid w:val="003C3A04"/>
    <w:rsid w:val="003C6953"/>
    <w:rsid w:val="003D2B35"/>
    <w:rsid w:val="003D427E"/>
    <w:rsid w:val="003D506F"/>
    <w:rsid w:val="003E1DAF"/>
    <w:rsid w:val="003E3F50"/>
    <w:rsid w:val="003E5E28"/>
    <w:rsid w:val="003E6D48"/>
    <w:rsid w:val="003E7E7C"/>
    <w:rsid w:val="003F0710"/>
    <w:rsid w:val="003F0B48"/>
    <w:rsid w:val="003F1CC4"/>
    <w:rsid w:val="003F242B"/>
    <w:rsid w:val="003F7335"/>
    <w:rsid w:val="004002A6"/>
    <w:rsid w:val="0040090E"/>
    <w:rsid w:val="00400C19"/>
    <w:rsid w:val="004038A8"/>
    <w:rsid w:val="004043B9"/>
    <w:rsid w:val="00406C38"/>
    <w:rsid w:val="00407542"/>
    <w:rsid w:val="00411DB4"/>
    <w:rsid w:val="00411F86"/>
    <w:rsid w:val="004129D4"/>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017"/>
    <w:rsid w:val="00442BC7"/>
    <w:rsid w:val="0044352C"/>
    <w:rsid w:val="00447091"/>
    <w:rsid w:val="00452828"/>
    <w:rsid w:val="004536B0"/>
    <w:rsid w:val="0045641F"/>
    <w:rsid w:val="00457584"/>
    <w:rsid w:val="00461111"/>
    <w:rsid w:val="00464452"/>
    <w:rsid w:val="004653E8"/>
    <w:rsid w:val="004660F6"/>
    <w:rsid w:val="00467169"/>
    <w:rsid w:val="004673FE"/>
    <w:rsid w:val="004677CB"/>
    <w:rsid w:val="00467E07"/>
    <w:rsid w:val="004771D4"/>
    <w:rsid w:val="004806AA"/>
    <w:rsid w:val="0048136A"/>
    <w:rsid w:val="004846E1"/>
    <w:rsid w:val="00485EBC"/>
    <w:rsid w:val="0048605F"/>
    <w:rsid w:val="00486CB8"/>
    <w:rsid w:val="00490B75"/>
    <w:rsid w:val="00494103"/>
    <w:rsid w:val="00494E97"/>
    <w:rsid w:val="00496D33"/>
    <w:rsid w:val="00496DCD"/>
    <w:rsid w:val="00496DE6"/>
    <w:rsid w:val="00497FB8"/>
    <w:rsid w:val="004A082F"/>
    <w:rsid w:val="004A307F"/>
    <w:rsid w:val="004A3A19"/>
    <w:rsid w:val="004A7167"/>
    <w:rsid w:val="004A7443"/>
    <w:rsid w:val="004A7C3E"/>
    <w:rsid w:val="004B0029"/>
    <w:rsid w:val="004B5F41"/>
    <w:rsid w:val="004B6EF8"/>
    <w:rsid w:val="004B7144"/>
    <w:rsid w:val="004C04C9"/>
    <w:rsid w:val="004C1D8F"/>
    <w:rsid w:val="004C31B0"/>
    <w:rsid w:val="004C432F"/>
    <w:rsid w:val="004C5EE6"/>
    <w:rsid w:val="004C7789"/>
    <w:rsid w:val="004D097C"/>
    <w:rsid w:val="004D163D"/>
    <w:rsid w:val="004D1F40"/>
    <w:rsid w:val="004D296E"/>
    <w:rsid w:val="004D354E"/>
    <w:rsid w:val="004D38CD"/>
    <w:rsid w:val="004D3B14"/>
    <w:rsid w:val="004D3FF7"/>
    <w:rsid w:val="004D40A1"/>
    <w:rsid w:val="004E1B56"/>
    <w:rsid w:val="004E1E67"/>
    <w:rsid w:val="004E43F9"/>
    <w:rsid w:val="004E504D"/>
    <w:rsid w:val="004E748E"/>
    <w:rsid w:val="004F245B"/>
    <w:rsid w:val="004F490B"/>
    <w:rsid w:val="004F7596"/>
    <w:rsid w:val="005019AC"/>
    <w:rsid w:val="00502C4B"/>
    <w:rsid w:val="00503F66"/>
    <w:rsid w:val="00504935"/>
    <w:rsid w:val="0050514F"/>
    <w:rsid w:val="0050572D"/>
    <w:rsid w:val="00505F98"/>
    <w:rsid w:val="005060F1"/>
    <w:rsid w:val="005066F6"/>
    <w:rsid w:val="00513245"/>
    <w:rsid w:val="00515A3A"/>
    <w:rsid w:val="0051677A"/>
    <w:rsid w:val="00527252"/>
    <w:rsid w:val="00527B2A"/>
    <w:rsid w:val="00530B76"/>
    <w:rsid w:val="0053225C"/>
    <w:rsid w:val="005353EE"/>
    <w:rsid w:val="00536750"/>
    <w:rsid w:val="00542F7E"/>
    <w:rsid w:val="00543898"/>
    <w:rsid w:val="00543E6B"/>
    <w:rsid w:val="00544E2D"/>
    <w:rsid w:val="00550786"/>
    <w:rsid w:val="005528AC"/>
    <w:rsid w:val="00552A5C"/>
    <w:rsid w:val="0055535B"/>
    <w:rsid w:val="00560D07"/>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42EE"/>
    <w:rsid w:val="005A7EC2"/>
    <w:rsid w:val="005B0DC5"/>
    <w:rsid w:val="005B2F68"/>
    <w:rsid w:val="005B3049"/>
    <w:rsid w:val="005B5A42"/>
    <w:rsid w:val="005B60D8"/>
    <w:rsid w:val="005C1010"/>
    <w:rsid w:val="005C36C4"/>
    <w:rsid w:val="005C4AD4"/>
    <w:rsid w:val="005C6219"/>
    <w:rsid w:val="005C741D"/>
    <w:rsid w:val="005D0409"/>
    <w:rsid w:val="005D11BB"/>
    <w:rsid w:val="005D4F53"/>
    <w:rsid w:val="005D5841"/>
    <w:rsid w:val="005D6107"/>
    <w:rsid w:val="005E05E6"/>
    <w:rsid w:val="005E2B25"/>
    <w:rsid w:val="005E34E8"/>
    <w:rsid w:val="005E4754"/>
    <w:rsid w:val="005E5782"/>
    <w:rsid w:val="005E6D19"/>
    <w:rsid w:val="005E7A95"/>
    <w:rsid w:val="005E7FD6"/>
    <w:rsid w:val="005F0486"/>
    <w:rsid w:val="005F0984"/>
    <w:rsid w:val="005F0D8D"/>
    <w:rsid w:val="005F150E"/>
    <w:rsid w:val="005F1B7C"/>
    <w:rsid w:val="005F1C7D"/>
    <w:rsid w:val="005F6E15"/>
    <w:rsid w:val="00602D72"/>
    <w:rsid w:val="00603709"/>
    <w:rsid w:val="00604E85"/>
    <w:rsid w:val="00607A8B"/>
    <w:rsid w:val="006117FC"/>
    <w:rsid w:val="0061231A"/>
    <w:rsid w:val="00612981"/>
    <w:rsid w:val="006139B0"/>
    <w:rsid w:val="00613B58"/>
    <w:rsid w:val="006144CA"/>
    <w:rsid w:val="00620693"/>
    <w:rsid w:val="006239AF"/>
    <w:rsid w:val="006243DF"/>
    <w:rsid w:val="00624D88"/>
    <w:rsid w:val="006251B6"/>
    <w:rsid w:val="00626AF5"/>
    <w:rsid w:val="00632020"/>
    <w:rsid w:val="0063386A"/>
    <w:rsid w:val="00640733"/>
    <w:rsid w:val="00641C54"/>
    <w:rsid w:val="00644264"/>
    <w:rsid w:val="00645620"/>
    <w:rsid w:val="006475A1"/>
    <w:rsid w:val="00647798"/>
    <w:rsid w:val="00650193"/>
    <w:rsid w:val="006525A0"/>
    <w:rsid w:val="00653BDC"/>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34C4"/>
    <w:rsid w:val="006A4353"/>
    <w:rsid w:val="006A4E95"/>
    <w:rsid w:val="006A7517"/>
    <w:rsid w:val="006B1B09"/>
    <w:rsid w:val="006B2318"/>
    <w:rsid w:val="006C0926"/>
    <w:rsid w:val="006C0A86"/>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0804"/>
    <w:rsid w:val="00701AE1"/>
    <w:rsid w:val="0070324D"/>
    <w:rsid w:val="00703B8E"/>
    <w:rsid w:val="00703F6A"/>
    <w:rsid w:val="00704ABD"/>
    <w:rsid w:val="0070598F"/>
    <w:rsid w:val="00707A32"/>
    <w:rsid w:val="007117F4"/>
    <w:rsid w:val="007125E5"/>
    <w:rsid w:val="00713FCD"/>
    <w:rsid w:val="007146A6"/>
    <w:rsid w:val="007149D5"/>
    <w:rsid w:val="007158CE"/>
    <w:rsid w:val="0071620B"/>
    <w:rsid w:val="0071634A"/>
    <w:rsid w:val="00717DB8"/>
    <w:rsid w:val="0072230A"/>
    <w:rsid w:val="00726C4D"/>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239"/>
    <w:rsid w:val="00767AA5"/>
    <w:rsid w:val="00770D39"/>
    <w:rsid w:val="007710DE"/>
    <w:rsid w:val="00773482"/>
    <w:rsid w:val="007742D5"/>
    <w:rsid w:val="00774ABE"/>
    <w:rsid w:val="00775179"/>
    <w:rsid w:val="00775B2B"/>
    <w:rsid w:val="00775F71"/>
    <w:rsid w:val="00776DDD"/>
    <w:rsid w:val="00781CC3"/>
    <w:rsid w:val="00782A67"/>
    <w:rsid w:val="00782B8F"/>
    <w:rsid w:val="007833C9"/>
    <w:rsid w:val="0078472C"/>
    <w:rsid w:val="00791D22"/>
    <w:rsid w:val="007931A5"/>
    <w:rsid w:val="00793F92"/>
    <w:rsid w:val="0079469C"/>
    <w:rsid w:val="00795E7F"/>
    <w:rsid w:val="00796A92"/>
    <w:rsid w:val="00796F78"/>
    <w:rsid w:val="007A0BFC"/>
    <w:rsid w:val="007A36D9"/>
    <w:rsid w:val="007A377A"/>
    <w:rsid w:val="007A55C9"/>
    <w:rsid w:val="007A5719"/>
    <w:rsid w:val="007A6DFA"/>
    <w:rsid w:val="007B148B"/>
    <w:rsid w:val="007B1FBE"/>
    <w:rsid w:val="007B4C77"/>
    <w:rsid w:val="007C185D"/>
    <w:rsid w:val="007D2A71"/>
    <w:rsid w:val="007D4851"/>
    <w:rsid w:val="007D7E3B"/>
    <w:rsid w:val="007E1351"/>
    <w:rsid w:val="007E445D"/>
    <w:rsid w:val="007E4B13"/>
    <w:rsid w:val="007E4DBF"/>
    <w:rsid w:val="007E7BB6"/>
    <w:rsid w:val="007F2B49"/>
    <w:rsid w:val="007F6D41"/>
    <w:rsid w:val="007F741A"/>
    <w:rsid w:val="00807349"/>
    <w:rsid w:val="00810EE9"/>
    <w:rsid w:val="00811B65"/>
    <w:rsid w:val="00813932"/>
    <w:rsid w:val="00814B5F"/>
    <w:rsid w:val="00814D5F"/>
    <w:rsid w:val="00816C6A"/>
    <w:rsid w:val="00817365"/>
    <w:rsid w:val="00823C61"/>
    <w:rsid w:val="00824DAE"/>
    <w:rsid w:val="00824E01"/>
    <w:rsid w:val="008316EF"/>
    <w:rsid w:val="008319B6"/>
    <w:rsid w:val="00832BFF"/>
    <w:rsid w:val="0083339A"/>
    <w:rsid w:val="008362F9"/>
    <w:rsid w:val="00836C52"/>
    <w:rsid w:val="008402BE"/>
    <w:rsid w:val="008417D8"/>
    <w:rsid w:val="00841BF0"/>
    <w:rsid w:val="008426A3"/>
    <w:rsid w:val="0084301B"/>
    <w:rsid w:val="008515E7"/>
    <w:rsid w:val="00851F5C"/>
    <w:rsid w:val="00856188"/>
    <w:rsid w:val="00856AFF"/>
    <w:rsid w:val="00857DD3"/>
    <w:rsid w:val="00860498"/>
    <w:rsid w:val="00861076"/>
    <w:rsid w:val="0086690C"/>
    <w:rsid w:val="00866EFF"/>
    <w:rsid w:val="008675B4"/>
    <w:rsid w:val="008805B4"/>
    <w:rsid w:val="00881AE4"/>
    <w:rsid w:val="008829FD"/>
    <w:rsid w:val="008845FC"/>
    <w:rsid w:val="00886AA5"/>
    <w:rsid w:val="008876A1"/>
    <w:rsid w:val="0089073E"/>
    <w:rsid w:val="00890CF3"/>
    <w:rsid w:val="00890DFD"/>
    <w:rsid w:val="00891134"/>
    <w:rsid w:val="0089388D"/>
    <w:rsid w:val="00895CB5"/>
    <w:rsid w:val="0089632E"/>
    <w:rsid w:val="008A260D"/>
    <w:rsid w:val="008A514A"/>
    <w:rsid w:val="008A58D3"/>
    <w:rsid w:val="008A63B1"/>
    <w:rsid w:val="008B33E6"/>
    <w:rsid w:val="008B371B"/>
    <w:rsid w:val="008B45FD"/>
    <w:rsid w:val="008B6880"/>
    <w:rsid w:val="008C080A"/>
    <w:rsid w:val="008C1EF9"/>
    <w:rsid w:val="008C1F3F"/>
    <w:rsid w:val="008D0063"/>
    <w:rsid w:val="008D24FB"/>
    <w:rsid w:val="008D3267"/>
    <w:rsid w:val="008D48DD"/>
    <w:rsid w:val="008E03C0"/>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3953"/>
    <w:rsid w:val="00934294"/>
    <w:rsid w:val="0093527E"/>
    <w:rsid w:val="00940FE0"/>
    <w:rsid w:val="00942C1C"/>
    <w:rsid w:val="00945B82"/>
    <w:rsid w:val="00950C00"/>
    <w:rsid w:val="009554E8"/>
    <w:rsid w:val="00955742"/>
    <w:rsid w:val="009557A9"/>
    <w:rsid w:val="00956782"/>
    <w:rsid w:val="00957235"/>
    <w:rsid w:val="0095744B"/>
    <w:rsid w:val="00960678"/>
    <w:rsid w:val="0096089F"/>
    <w:rsid w:val="0096195C"/>
    <w:rsid w:val="00961DE8"/>
    <w:rsid w:val="00964C6A"/>
    <w:rsid w:val="009660FF"/>
    <w:rsid w:val="00966AEF"/>
    <w:rsid w:val="00970BB9"/>
    <w:rsid w:val="00971EC3"/>
    <w:rsid w:val="00972AEA"/>
    <w:rsid w:val="00972D26"/>
    <w:rsid w:val="0097558E"/>
    <w:rsid w:val="00976283"/>
    <w:rsid w:val="00982282"/>
    <w:rsid w:val="00984490"/>
    <w:rsid w:val="009870D9"/>
    <w:rsid w:val="0098727C"/>
    <w:rsid w:val="009A2635"/>
    <w:rsid w:val="009B05FD"/>
    <w:rsid w:val="009B1216"/>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1B77"/>
    <w:rsid w:val="009E3611"/>
    <w:rsid w:val="009F2D62"/>
    <w:rsid w:val="009F2E40"/>
    <w:rsid w:val="00A01635"/>
    <w:rsid w:val="00A05DA1"/>
    <w:rsid w:val="00A07D25"/>
    <w:rsid w:val="00A12A80"/>
    <w:rsid w:val="00A13BC2"/>
    <w:rsid w:val="00A13D7F"/>
    <w:rsid w:val="00A1471A"/>
    <w:rsid w:val="00A16DDA"/>
    <w:rsid w:val="00A2034D"/>
    <w:rsid w:val="00A24054"/>
    <w:rsid w:val="00A25B78"/>
    <w:rsid w:val="00A310CF"/>
    <w:rsid w:val="00A3194E"/>
    <w:rsid w:val="00A3217B"/>
    <w:rsid w:val="00A327B1"/>
    <w:rsid w:val="00A328C1"/>
    <w:rsid w:val="00A355A8"/>
    <w:rsid w:val="00A40AE7"/>
    <w:rsid w:val="00A421FA"/>
    <w:rsid w:val="00A445EE"/>
    <w:rsid w:val="00A45395"/>
    <w:rsid w:val="00A456CD"/>
    <w:rsid w:val="00A463B0"/>
    <w:rsid w:val="00A5274A"/>
    <w:rsid w:val="00A52B05"/>
    <w:rsid w:val="00A541CF"/>
    <w:rsid w:val="00A579AE"/>
    <w:rsid w:val="00A6045E"/>
    <w:rsid w:val="00A604CD"/>
    <w:rsid w:val="00A61C25"/>
    <w:rsid w:val="00A6217B"/>
    <w:rsid w:val="00A6269D"/>
    <w:rsid w:val="00A640B9"/>
    <w:rsid w:val="00A656F9"/>
    <w:rsid w:val="00A6579C"/>
    <w:rsid w:val="00A66C49"/>
    <w:rsid w:val="00A7008A"/>
    <w:rsid w:val="00A738E7"/>
    <w:rsid w:val="00A74998"/>
    <w:rsid w:val="00A75673"/>
    <w:rsid w:val="00A813E9"/>
    <w:rsid w:val="00A8514A"/>
    <w:rsid w:val="00A862D3"/>
    <w:rsid w:val="00A8720D"/>
    <w:rsid w:val="00A90C59"/>
    <w:rsid w:val="00A92DBE"/>
    <w:rsid w:val="00A93C0B"/>
    <w:rsid w:val="00A962DB"/>
    <w:rsid w:val="00AA0066"/>
    <w:rsid w:val="00AA09A3"/>
    <w:rsid w:val="00AA6377"/>
    <w:rsid w:val="00AB18F5"/>
    <w:rsid w:val="00AB243D"/>
    <w:rsid w:val="00AB5209"/>
    <w:rsid w:val="00AC0391"/>
    <w:rsid w:val="00AC2155"/>
    <w:rsid w:val="00AC2609"/>
    <w:rsid w:val="00AC3425"/>
    <w:rsid w:val="00AC3AF0"/>
    <w:rsid w:val="00AC3C4E"/>
    <w:rsid w:val="00AC6B43"/>
    <w:rsid w:val="00AD0A17"/>
    <w:rsid w:val="00AD1FD7"/>
    <w:rsid w:val="00AD275D"/>
    <w:rsid w:val="00AD49F8"/>
    <w:rsid w:val="00AD672F"/>
    <w:rsid w:val="00AD6F7C"/>
    <w:rsid w:val="00AE19A0"/>
    <w:rsid w:val="00AE3C8D"/>
    <w:rsid w:val="00AE50F1"/>
    <w:rsid w:val="00AE71AC"/>
    <w:rsid w:val="00AE7308"/>
    <w:rsid w:val="00AF3AE8"/>
    <w:rsid w:val="00AF4F75"/>
    <w:rsid w:val="00AF76C1"/>
    <w:rsid w:val="00B01487"/>
    <w:rsid w:val="00B06FAD"/>
    <w:rsid w:val="00B108A3"/>
    <w:rsid w:val="00B1120D"/>
    <w:rsid w:val="00B13A73"/>
    <w:rsid w:val="00B14C64"/>
    <w:rsid w:val="00B2417A"/>
    <w:rsid w:val="00B2575C"/>
    <w:rsid w:val="00B25AB0"/>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036B"/>
    <w:rsid w:val="00B72905"/>
    <w:rsid w:val="00B72A9D"/>
    <w:rsid w:val="00B758F1"/>
    <w:rsid w:val="00B76393"/>
    <w:rsid w:val="00B83004"/>
    <w:rsid w:val="00B91C79"/>
    <w:rsid w:val="00B9247D"/>
    <w:rsid w:val="00B94F0F"/>
    <w:rsid w:val="00B95D7A"/>
    <w:rsid w:val="00B961BC"/>
    <w:rsid w:val="00BA24F8"/>
    <w:rsid w:val="00BA37DF"/>
    <w:rsid w:val="00BA3DCC"/>
    <w:rsid w:val="00BB013F"/>
    <w:rsid w:val="00BB03A7"/>
    <w:rsid w:val="00BB1B65"/>
    <w:rsid w:val="00BB79FC"/>
    <w:rsid w:val="00BC017B"/>
    <w:rsid w:val="00BC1AC3"/>
    <w:rsid w:val="00BC2890"/>
    <w:rsid w:val="00BC5736"/>
    <w:rsid w:val="00BC58B7"/>
    <w:rsid w:val="00BC70D7"/>
    <w:rsid w:val="00BD2A26"/>
    <w:rsid w:val="00BD3105"/>
    <w:rsid w:val="00BD7737"/>
    <w:rsid w:val="00BE34B1"/>
    <w:rsid w:val="00BE36B2"/>
    <w:rsid w:val="00BE47F9"/>
    <w:rsid w:val="00BE4B41"/>
    <w:rsid w:val="00BE6B60"/>
    <w:rsid w:val="00BF6D8E"/>
    <w:rsid w:val="00BF6ED9"/>
    <w:rsid w:val="00C00782"/>
    <w:rsid w:val="00C0218F"/>
    <w:rsid w:val="00C10402"/>
    <w:rsid w:val="00C11D54"/>
    <w:rsid w:val="00C137E2"/>
    <w:rsid w:val="00C166D2"/>
    <w:rsid w:val="00C170A9"/>
    <w:rsid w:val="00C17B68"/>
    <w:rsid w:val="00C21FC2"/>
    <w:rsid w:val="00C23355"/>
    <w:rsid w:val="00C238C2"/>
    <w:rsid w:val="00C23AC3"/>
    <w:rsid w:val="00C253A6"/>
    <w:rsid w:val="00C3128D"/>
    <w:rsid w:val="00C314C4"/>
    <w:rsid w:val="00C411E1"/>
    <w:rsid w:val="00C4277C"/>
    <w:rsid w:val="00C42C24"/>
    <w:rsid w:val="00C42FA1"/>
    <w:rsid w:val="00C44FA6"/>
    <w:rsid w:val="00C45866"/>
    <w:rsid w:val="00C46AB1"/>
    <w:rsid w:val="00C47F26"/>
    <w:rsid w:val="00C57B4F"/>
    <w:rsid w:val="00C60480"/>
    <w:rsid w:val="00C61B70"/>
    <w:rsid w:val="00C625F4"/>
    <w:rsid w:val="00C63435"/>
    <w:rsid w:val="00C64BDF"/>
    <w:rsid w:val="00C67744"/>
    <w:rsid w:val="00C67EFE"/>
    <w:rsid w:val="00C70A57"/>
    <w:rsid w:val="00C744C3"/>
    <w:rsid w:val="00C74959"/>
    <w:rsid w:val="00C82571"/>
    <w:rsid w:val="00C82948"/>
    <w:rsid w:val="00C831E3"/>
    <w:rsid w:val="00C841D7"/>
    <w:rsid w:val="00C857C5"/>
    <w:rsid w:val="00C86AC3"/>
    <w:rsid w:val="00C87FCB"/>
    <w:rsid w:val="00C9191E"/>
    <w:rsid w:val="00C92983"/>
    <w:rsid w:val="00CA3C9B"/>
    <w:rsid w:val="00CA6A13"/>
    <w:rsid w:val="00CA7684"/>
    <w:rsid w:val="00CB1626"/>
    <w:rsid w:val="00CB190C"/>
    <w:rsid w:val="00CB2AB7"/>
    <w:rsid w:val="00CB3F0B"/>
    <w:rsid w:val="00CB62C8"/>
    <w:rsid w:val="00CC2A9A"/>
    <w:rsid w:val="00CC42F3"/>
    <w:rsid w:val="00CC4606"/>
    <w:rsid w:val="00CC592B"/>
    <w:rsid w:val="00CD2B32"/>
    <w:rsid w:val="00CD3494"/>
    <w:rsid w:val="00CD50C2"/>
    <w:rsid w:val="00CD66F9"/>
    <w:rsid w:val="00CD7723"/>
    <w:rsid w:val="00CE3EC1"/>
    <w:rsid w:val="00CE6490"/>
    <w:rsid w:val="00CF1888"/>
    <w:rsid w:val="00CF728D"/>
    <w:rsid w:val="00CF7A46"/>
    <w:rsid w:val="00CF7B77"/>
    <w:rsid w:val="00D00D80"/>
    <w:rsid w:val="00D068CB"/>
    <w:rsid w:val="00D10142"/>
    <w:rsid w:val="00D101F1"/>
    <w:rsid w:val="00D1036B"/>
    <w:rsid w:val="00D10CC0"/>
    <w:rsid w:val="00D1520C"/>
    <w:rsid w:val="00D20231"/>
    <w:rsid w:val="00D2448D"/>
    <w:rsid w:val="00D25B11"/>
    <w:rsid w:val="00D26FB2"/>
    <w:rsid w:val="00D31205"/>
    <w:rsid w:val="00D32726"/>
    <w:rsid w:val="00D45241"/>
    <w:rsid w:val="00D455BD"/>
    <w:rsid w:val="00D47EFA"/>
    <w:rsid w:val="00D51BA5"/>
    <w:rsid w:val="00D5458D"/>
    <w:rsid w:val="00D55563"/>
    <w:rsid w:val="00D56409"/>
    <w:rsid w:val="00D572F8"/>
    <w:rsid w:val="00D57DE8"/>
    <w:rsid w:val="00D60A33"/>
    <w:rsid w:val="00D619BF"/>
    <w:rsid w:val="00D61EEA"/>
    <w:rsid w:val="00D61F7C"/>
    <w:rsid w:val="00D6237A"/>
    <w:rsid w:val="00D6464E"/>
    <w:rsid w:val="00D66294"/>
    <w:rsid w:val="00D665CB"/>
    <w:rsid w:val="00D7304C"/>
    <w:rsid w:val="00D743A2"/>
    <w:rsid w:val="00D74C13"/>
    <w:rsid w:val="00D75549"/>
    <w:rsid w:val="00D76881"/>
    <w:rsid w:val="00D77469"/>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2E30"/>
    <w:rsid w:val="00DD547F"/>
    <w:rsid w:val="00DE0DA7"/>
    <w:rsid w:val="00DE1E20"/>
    <w:rsid w:val="00DE3524"/>
    <w:rsid w:val="00DE3C2E"/>
    <w:rsid w:val="00DE5FE1"/>
    <w:rsid w:val="00DF2F63"/>
    <w:rsid w:val="00DF4098"/>
    <w:rsid w:val="00DF55E1"/>
    <w:rsid w:val="00E00EC5"/>
    <w:rsid w:val="00E02271"/>
    <w:rsid w:val="00E10288"/>
    <w:rsid w:val="00E10962"/>
    <w:rsid w:val="00E10F2E"/>
    <w:rsid w:val="00E10FB4"/>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1AE7"/>
    <w:rsid w:val="00E52DD9"/>
    <w:rsid w:val="00E56332"/>
    <w:rsid w:val="00E57A8D"/>
    <w:rsid w:val="00E6164D"/>
    <w:rsid w:val="00E63A00"/>
    <w:rsid w:val="00E67F3B"/>
    <w:rsid w:val="00E7027E"/>
    <w:rsid w:val="00E80581"/>
    <w:rsid w:val="00E86164"/>
    <w:rsid w:val="00E92537"/>
    <w:rsid w:val="00E93261"/>
    <w:rsid w:val="00E9356E"/>
    <w:rsid w:val="00E93707"/>
    <w:rsid w:val="00E93ED7"/>
    <w:rsid w:val="00EA143B"/>
    <w:rsid w:val="00EA3389"/>
    <w:rsid w:val="00EA5374"/>
    <w:rsid w:val="00EA5F20"/>
    <w:rsid w:val="00EA7804"/>
    <w:rsid w:val="00EB30C1"/>
    <w:rsid w:val="00EB6488"/>
    <w:rsid w:val="00EC2523"/>
    <w:rsid w:val="00EC689C"/>
    <w:rsid w:val="00ED03E9"/>
    <w:rsid w:val="00ED20B9"/>
    <w:rsid w:val="00ED2667"/>
    <w:rsid w:val="00ED65CF"/>
    <w:rsid w:val="00ED709E"/>
    <w:rsid w:val="00EE0492"/>
    <w:rsid w:val="00EE06A6"/>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5B08"/>
    <w:rsid w:val="00F27355"/>
    <w:rsid w:val="00F273C1"/>
    <w:rsid w:val="00F30A67"/>
    <w:rsid w:val="00F32B52"/>
    <w:rsid w:val="00F33270"/>
    <w:rsid w:val="00F36A63"/>
    <w:rsid w:val="00F36D72"/>
    <w:rsid w:val="00F40A79"/>
    <w:rsid w:val="00F41333"/>
    <w:rsid w:val="00F41D0F"/>
    <w:rsid w:val="00F44888"/>
    <w:rsid w:val="00F450C8"/>
    <w:rsid w:val="00F46E8B"/>
    <w:rsid w:val="00F47BEB"/>
    <w:rsid w:val="00F50279"/>
    <w:rsid w:val="00F53B27"/>
    <w:rsid w:val="00F56F2E"/>
    <w:rsid w:val="00F610FC"/>
    <w:rsid w:val="00F61EAC"/>
    <w:rsid w:val="00F63659"/>
    <w:rsid w:val="00F644D5"/>
    <w:rsid w:val="00F64F49"/>
    <w:rsid w:val="00F64F91"/>
    <w:rsid w:val="00F658ED"/>
    <w:rsid w:val="00F65963"/>
    <w:rsid w:val="00F67E5C"/>
    <w:rsid w:val="00F71CC6"/>
    <w:rsid w:val="00F7735D"/>
    <w:rsid w:val="00F80886"/>
    <w:rsid w:val="00F8514F"/>
    <w:rsid w:val="00F8597F"/>
    <w:rsid w:val="00F87C72"/>
    <w:rsid w:val="00F9024F"/>
    <w:rsid w:val="00F941E8"/>
    <w:rsid w:val="00F9434D"/>
    <w:rsid w:val="00F950D7"/>
    <w:rsid w:val="00F95425"/>
    <w:rsid w:val="00FA2706"/>
    <w:rsid w:val="00FA7A74"/>
    <w:rsid w:val="00FB167B"/>
    <w:rsid w:val="00FB4D26"/>
    <w:rsid w:val="00FB6000"/>
    <w:rsid w:val="00FB6151"/>
    <w:rsid w:val="00FB686F"/>
    <w:rsid w:val="00FC0A18"/>
    <w:rsid w:val="00FC125F"/>
    <w:rsid w:val="00FC40A7"/>
    <w:rsid w:val="00FD04CD"/>
    <w:rsid w:val="00FD1E8E"/>
    <w:rsid w:val="00FD22EF"/>
    <w:rsid w:val="00FD26DE"/>
    <w:rsid w:val="00FD2734"/>
    <w:rsid w:val="00FD2AC7"/>
    <w:rsid w:val="00FD4C0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EndnoteText">
    <w:name w:val="endnote text"/>
    <w:basedOn w:val="Normal"/>
    <w:link w:val="EndnoteTextChar"/>
    <w:uiPriority w:val="99"/>
    <w:semiHidden/>
    <w:unhideWhenUsed/>
    <w:rsid w:val="000546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4637"/>
    <w:rPr>
      <w:sz w:val="20"/>
      <w:szCs w:val="20"/>
    </w:rPr>
  </w:style>
  <w:style w:type="character" w:styleId="EndnoteReference">
    <w:name w:val="endnote reference"/>
    <w:basedOn w:val="DefaultParagraphFont"/>
    <w:uiPriority w:val="99"/>
    <w:semiHidden/>
    <w:unhideWhenUsed/>
    <w:rsid w:val="00054637"/>
    <w:rPr>
      <w:vertAlign w:val="superscript"/>
    </w:rPr>
  </w:style>
  <w:style w:type="paragraph" w:styleId="FootnoteText">
    <w:name w:val="footnote text"/>
    <w:basedOn w:val="Normal"/>
    <w:link w:val="FootnoteTextChar"/>
    <w:uiPriority w:val="99"/>
    <w:semiHidden/>
    <w:unhideWhenUsed/>
    <w:rsid w:val="0005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637"/>
    <w:rPr>
      <w:sz w:val="20"/>
      <w:szCs w:val="20"/>
    </w:rPr>
  </w:style>
  <w:style w:type="character" w:styleId="FootnoteReference">
    <w:name w:val="footnote reference"/>
    <w:basedOn w:val="DefaultParagraphFont"/>
    <w:uiPriority w:val="99"/>
    <w:semiHidden/>
    <w:unhideWhenUsed/>
    <w:rsid w:val="00054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D855-31C4-45F4-91FF-767F9BF8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33</cp:revision>
  <cp:lastPrinted>2019-04-12T10:13:00Z</cp:lastPrinted>
  <dcterms:created xsi:type="dcterms:W3CDTF">2019-10-29T09:05:00Z</dcterms:created>
  <dcterms:modified xsi:type="dcterms:W3CDTF">2019-11-01T12:05:00Z</dcterms:modified>
</cp:coreProperties>
</file>