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91A4A" w14:textId="51CC96C5" w:rsidR="00020EF3" w:rsidRDefault="00BC2F87" w:rsidP="00DF3D61">
      <w:pPr>
        <w:spacing w:after="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 xml:space="preserve">                                                                                                                                                                                                                                                                                                                                                                                                                                                                                                                                                                                                                                                                                                                                                                                                                                                                                                                                                                                                                                                                            </w:t>
      </w:r>
      <w:r w:rsidR="00144F6B">
        <w:rPr>
          <w:rFonts w:ascii="Times New Roman" w:hAnsi="Times New Roman" w:cs="Times New Roman"/>
          <w:sz w:val="24"/>
          <w:szCs w:val="24"/>
          <w:lang w:val="en-US"/>
        </w:rPr>
        <w:t>LUKE DANZVARA</w:t>
      </w:r>
    </w:p>
    <w:p w14:paraId="177A0FE4" w14:textId="164EF69C" w:rsidR="00144F6B" w:rsidRDefault="00144F6B" w:rsidP="00DF3D61">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4033E444" w14:textId="7EF0B81A" w:rsidR="00144F6B" w:rsidRDefault="00144F6B" w:rsidP="00DF3D61">
      <w:pPr>
        <w:spacing w:after="0"/>
        <w:rPr>
          <w:rFonts w:ascii="Times New Roman" w:hAnsi="Times New Roman" w:cs="Times New Roman"/>
          <w:sz w:val="24"/>
          <w:szCs w:val="24"/>
          <w:lang w:val="en-US"/>
        </w:rPr>
      </w:pPr>
      <w:r>
        <w:rPr>
          <w:rFonts w:ascii="Times New Roman" w:hAnsi="Times New Roman" w:cs="Times New Roman"/>
          <w:sz w:val="24"/>
          <w:szCs w:val="24"/>
          <w:lang w:val="en-US"/>
        </w:rPr>
        <w:t>FARAI MUCHENA</w:t>
      </w:r>
    </w:p>
    <w:p w14:paraId="73D3C9B5" w14:textId="46C29AA1" w:rsidR="00144F6B" w:rsidRDefault="00144F6B" w:rsidP="00DF3D61">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3018D3D3" w14:textId="74EF448F" w:rsidR="00144F6B" w:rsidRDefault="00144F6B" w:rsidP="00DF3D61">
      <w:pPr>
        <w:spacing w:after="0"/>
        <w:rPr>
          <w:rFonts w:ascii="Times New Roman" w:hAnsi="Times New Roman" w:cs="Times New Roman"/>
          <w:sz w:val="24"/>
          <w:szCs w:val="24"/>
          <w:lang w:val="en-US"/>
        </w:rPr>
      </w:pPr>
      <w:r>
        <w:rPr>
          <w:rFonts w:ascii="Times New Roman" w:hAnsi="Times New Roman" w:cs="Times New Roman"/>
          <w:sz w:val="24"/>
          <w:szCs w:val="24"/>
          <w:lang w:val="en-US"/>
        </w:rPr>
        <w:t>PERCY TAKAVARASA</w:t>
      </w:r>
    </w:p>
    <w:p w14:paraId="1A2622C1" w14:textId="06E8184F" w:rsidR="00144F6B" w:rsidRDefault="00144F6B" w:rsidP="00DF3D61">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6EB94719" w14:textId="762DFB3C" w:rsidR="00144F6B" w:rsidRDefault="00144F6B" w:rsidP="00DF3D61">
      <w:pPr>
        <w:spacing w:after="0"/>
        <w:rPr>
          <w:rFonts w:ascii="Times New Roman" w:hAnsi="Times New Roman" w:cs="Times New Roman"/>
          <w:sz w:val="24"/>
          <w:szCs w:val="24"/>
          <w:lang w:val="en-US"/>
        </w:rPr>
      </w:pPr>
      <w:r>
        <w:rPr>
          <w:rFonts w:ascii="Times New Roman" w:hAnsi="Times New Roman" w:cs="Times New Roman"/>
          <w:sz w:val="24"/>
          <w:szCs w:val="24"/>
          <w:lang w:val="en-US"/>
        </w:rPr>
        <w:t>STELLAH MUSHIRI</w:t>
      </w:r>
    </w:p>
    <w:p w14:paraId="5D0C15D8" w14:textId="7C7FB78A" w:rsidR="00144F6B" w:rsidRDefault="00144F6B" w:rsidP="00DF3D61">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32808AA7" w14:textId="15A6C769" w:rsidR="00144F6B" w:rsidRDefault="00144F6B" w:rsidP="00DF3D61">
      <w:pPr>
        <w:spacing w:after="0"/>
        <w:rPr>
          <w:rFonts w:ascii="Times New Roman" w:hAnsi="Times New Roman" w:cs="Times New Roman"/>
          <w:sz w:val="24"/>
          <w:szCs w:val="24"/>
          <w:lang w:val="en-US"/>
        </w:rPr>
      </w:pPr>
      <w:r>
        <w:rPr>
          <w:rFonts w:ascii="Times New Roman" w:hAnsi="Times New Roman" w:cs="Times New Roman"/>
          <w:sz w:val="24"/>
          <w:szCs w:val="24"/>
          <w:lang w:val="en-US"/>
        </w:rPr>
        <w:t>NYARADZO MGODI</w:t>
      </w:r>
    </w:p>
    <w:p w14:paraId="3A3CC004" w14:textId="357E99E0" w:rsidR="00144F6B" w:rsidRDefault="00144F6B" w:rsidP="00DF3D61">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74764F77" w14:textId="1DAFBDE6" w:rsidR="00144F6B" w:rsidRDefault="00144F6B" w:rsidP="00DF3D61">
      <w:pPr>
        <w:spacing w:after="0"/>
        <w:rPr>
          <w:rFonts w:ascii="Times New Roman" w:hAnsi="Times New Roman" w:cs="Times New Roman"/>
          <w:sz w:val="24"/>
          <w:szCs w:val="24"/>
          <w:lang w:val="en-US"/>
        </w:rPr>
      </w:pPr>
      <w:r>
        <w:rPr>
          <w:rFonts w:ascii="Times New Roman" w:hAnsi="Times New Roman" w:cs="Times New Roman"/>
          <w:sz w:val="24"/>
          <w:szCs w:val="24"/>
          <w:lang w:val="en-US"/>
        </w:rPr>
        <w:t>PATIENCE MANENE</w:t>
      </w:r>
    </w:p>
    <w:p w14:paraId="7A14DBAB" w14:textId="41EA166A" w:rsidR="00144F6B" w:rsidRDefault="00144F6B" w:rsidP="00DF3D61">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134A68F7" w14:textId="7C34C471" w:rsidR="00144F6B" w:rsidRDefault="00144F6B" w:rsidP="00DF3D61">
      <w:pPr>
        <w:spacing w:after="0"/>
        <w:rPr>
          <w:rFonts w:ascii="Times New Roman" w:hAnsi="Times New Roman" w:cs="Times New Roman"/>
          <w:sz w:val="24"/>
          <w:szCs w:val="24"/>
          <w:lang w:val="en-US"/>
        </w:rPr>
      </w:pPr>
      <w:r>
        <w:rPr>
          <w:rFonts w:ascii="Times New Roman" w:hAnsi="Times New Roman" w:cs="Times New Roman"/>
          <w:sz w:val="24"/>
          <w:szCs w:val="24"/>
          <w:lang w:val="en-US"/>
        </w:rPr>
        <w:t>GETRUDE DAKA</w:t>
      </w:r>
    </w:p>
    <w:p w14:paraId="0F610F1A" w14:textId="0BA76E48" w:rsidR="00144F6B" w:rsidRDefault="00144F6B" w:rsidP="00DF3D61">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6128B516" w14:textId="7184C8FC" w:rsidR="00144F6B" w:rsidRDefault="00144F6B" w:rsidP="00DF3D61">
      <w:pPr>
        <w:spacing w:after="0"/>
        <w:rPr>
          <w:rFonts w:ascii="Times New Roman" w:hAnsi="Times New Roman" w:cs="Times New Roman"/>
          <w:sz w:val="24"/>
          <w:szCs w:val="24"/>
          <w:lang w:val="en-US"/>
        </w:rPr>
      </w:pPr>
      <w:r>
        <w:rPr>
          <w:rFonts w:ascii="Times New Roman" w:hAnsi="Times New Roman" w:cs="Times New Roman"/>
          <w:sz w:val="24"/>
          <w:szCs w:val="24"/>
          <w:lang w:val="en-US"/>
        </w:rPr>
        <w:t>WALTER MUDZINGWA</w:t>
      </w:r>
    </w:p>
    <w:p w14:paraId="0E1F72F2" w14:textId="6F0B73A7" w:rsidR="00144F6B" w:rsidRDefault="00144F6B" w:rsidP="00DF3D61">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2D0DA425" w14:textId="456A8E22" w:rsidR="00144F6B" w:rsidRDefault="00144F6B" w:rsidP="00DF3D61">
      <w:pPr>
        <w:spacing w:after="0"/>
        <w:rPr>
          <w:rFonts w:ascii="Times New Roman" w:hAnsi="Times New Roman" w:cs="Times New Roman"/>
          <w:sz w:val="24"/>
          <w:szCs w:val="24"/>
          <w:lang w:val="en-US"/>
        </w:rPr>
      </w:pPr>
      <w:r>
        <w:rPr>
          <w:rFonts w:ascii="Times New Roman" w:hAnsi="Times New Roman" w:cs="Times New Roman"/>
          <w:sz w:val="24"/>
          <w:szCs w:val="24"/>
          <w:lang w:val="en-US"/>
        </w:rPr>
        <w:t>ANDREW DAKA</w:t>
      </w:r>
    </w:p>
    <w:p w14:paraId="23DB8040" w14:textId="6C76C8F5" w:rsidR="00144F6B" w:rsidRDefault="00144F6B" w:rsidP="00DF3D61">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4F991207" w14:textId="7738404A" w:rsidR="00144F6B" w:rsidRDefault="00144F6B" w:rsidP="00DF3D61">
      <w:pPr>
        <w:spacing w:after="0"/>
        <w:rPr>
          <w:rFonts w:ascii="Times New Roman" w:hAnsi="Times New Roman" w:cs="Times New Roman"/>
          <w:sz w:val="24"/>
          <w:szCs w:val="24"/>
          <w:lang w:val="en-US"/>
        </w:rPr>
      </w:pPr>
      <w:r>
        <w:rPr>
          <w:rFonts w:ascii="Times New Roman" w:hAnsi="Times New Roman" w:cs="Times New Roman"/>
          <w:sz w:val="24"/>
          <w:szCs w:val="24"/>
          <w:lang w:val="en-US"/>
        </w:rPr>
        <w:t>SARUDZAI DANZVARA</w:t>
      </w:r>
    </w:p>
    <w:p w14:paraId="44075F7A" w14:textId="052FEF00" w:rsidR="00144F6B" w:rsidRDefault="00144F6B" w:rsidP="00DF3D61">
      <w:pPr>
        <w:spacing w:after="0"/>
        <w:rPr>
          <w:rFonts w:ascii="Times New Roman" w:hAnsi="Times New Roman" w:cs="Times New Roman"/>
          <w:sz w:val="24"/>
          <w:szCs w:val="24"/>
          <w:lang w:val="en-US"/>
        </w:rPr>
      </w:pPr>
      <w:r>
        <w:rPr>
          <w:rFonts w:ascii="Times New Roman" w:hAnsi="Times New Roman" w:cs="Times New Roman"/>
          <w:sz w:val="24"/>
          <w:szCs w:val="24"/>
          <w:lang w:val="en-US"/>
        </w:rPr>
        <w:t>versus</w:t>
      </w:r>
    </w:p>
    <w:p w14:paraId="366DD943" w14:textId="611AED95" w:rsidR="00144F6B" w:rsidRDefault="00144F6B" w:rsidP="00DF3D61">
      <w:pPr>
        <w:spacing w:after="0"/>
        <w:rPr>
          <w:rFonts w:ascii="Times New Roman" w:hAnsi="Times New Roman" w:cs="Times New Roman"/>
          <w:sz w:val="24"/>
          <w:szCs w:val="24"/>
          <w:lang w:val="en-US"/>
        </w:rPr>
      </w:pPr>
      <w:r>
        <w:rPr>
          <w:rFonts w:ascii="Times New Roman" w:hAnsi="Times New Roman" w:cs="Times New Roman"/>
          <w:sz w:val="24"/>
          <w:szCs w:val="24"/>
          <w:lang w:val="en-US"/>
        </w:rPr>
        <w:t>CITY OF HARARE</w:t>
      </w:r>
    </w:p>
    <w:p w14:paraId="2758E89C" w14:textId="2FD65E88" w:rsidR="00144F6B" w:rsidRDefault="00144F6B" w:rsidP="00DF3D61">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2C4CAAA5" w14:textId="4DF56118" w:rsidR="00144F6B" w:rsidRDefault="00144F6B" w:rsidP="00DF3D61">
      <w:pPr>
        <w:spacing w:after="0"/>
        <w:rPr>
          <w:rFonts w:ascii="Times New Roman" w:hAnsi="Times New Roman" w:cs="Times New Roman"/>
          <w:sz w:val="24"/>
          <w:szCs w:val="24"/>
          <w:lang w:val="en-US"/>
        </w:rPr>
      </w:pPr>
      <w:r>
        <w:rPr>
          <w:rFonts w:ascii="Times New Roman" w:hAnsi="Times New Roman" w:cs="Times New Roman"/>
          <w:sz w:val="24"/>
          <w:szCs w:val="24"/>
          <w:lang w:val="en-US"/>
        </w:rPr>
        <w:t>ZIMBABWE ASSEMBLIES OF GOD</w:t>
      </w:r>
    </w:p>
    <w:p w14:paraId="599ABFD1" w14:textId="20BD968F" w:rsidR="00144F6B" w:rsidRDefault="00144F6B" w:rsidP="00DF3D61">
      <w:pPr>
        <w:spacing w:after="0"/>
        <w:rPr>
          <w:rFonts w:ascii="Times New Roman" w:hAnsi="Times New Roman" w:cs="Times New Roman"/>
          <w:sz w:val="24"/>
          <w:szCs w:val="24"/>
          <w:lang w:val="en-US"/>
        </w:rPr>
      </w:pPr>
    </w:p>
    <w:p w14:paraId="2445B96D" w14:textId="21E75D65" w:rsidR="00144F6B" w:rsidRDefault="00144F6B" w:rsidP="00DF3D61">
      <w:pPr>
        <w:spacing w:after="0"/>
        <w:rPr>
          <w:rFonts w:ascii="Times New Roman" w:hAnsi="Times New Roman" w:cs="Times New Roman"/>
          <w:sz w:val="24"/>
          <w:szCs w:val="24"/>
          <w:lang w:val="en-US"/>
        </w:rPr>
      </w:pPr>
    </w:p>
    <w:p w14:paraId="43F6BA84" w14:textId="617CBE57" w:rsidR="00144F6B" w:rsidRDefault="00144F6B" w:rsidP="00DF3D61">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099EFB81" w14:textId="34B8C59E" w:rsidR="00144F6B" w:rsidRDefault="00144F6B" w:rsidP="00DF3D61">
      <w:pPr>
        <w:spacing w:after="0"/>
        <w:rPr>
          <w:rFonts w:ascii="Times New Roman" w:hAnsi="Times New Roman" w:cs="Times New Roman"/>
          <w:sz w:val="24"/>
          <w:szCs w:val="24"/>
          <w:lang w:val="en-US"/>
        </w:rPr>
      </w:pPr>
      <w:r>
        <w:rPr>
          <w:rFonts w:ascii="Times New Roman" w:hAnsi="Times New Roman" w:cs="Times New Roman"/>
          <w:sz w:val="24"/>
          <w:szCs w:val="24"/>
          <w:lang w:val="en-US"/>
        </w:rPr>
        <w:t>CHITAPI J</w:t>
      </w:r>
    </w:p>
    <w:p w14:paraId="2F820009" w14:textId="56A4C8B9" w:rsidR="00144F6B" w:rsidRDefault="00144F6B" w:rsidP="00DF3D61">
      <w:pPr>
        <w:spacing w:after="0"/>
        <w:rPr>
          <w:rFonts w:ascii="Times New Roman" w:hAnsi="Times New Roman" w:cs="Times New Roman"/>
          <w:sz w:val="24"/>
          <w:szCs w:val="24"/>
          <w:lang w:val="en-US"/>
        </w:rPr>
      </w:pPr>
      <w:r>
        <w:rPr>
          <w:rFonts w:ascii="Times New Roman" w:hAnsi="Times New Roman" w:cs="Times New Roman"/>
          <w:sz w:val="24"/>
          <w:szCs w:val="24"/>
          <w:lang w:val="en-US"/>
        </w:rPr>
        <w:t>HARARE,</w:t>
      </w:r>
      <w:r w:rsidR="00DF3D61">
        <w:rPr>
          <w:rFonts w:ascii="Times New Roman" w:hAnsi="Times New Roman" w:cs="Times New Roman"/>
          <w:sz w:val="24"/>
          <w:szCs w:val="24"/>
          <w:lang w:val="en-US"/>
        </w:rPr>
        <w:t xml:space="preserve"> 10, 16 an</w:t>
      </w:r>
      <w:r w:rsidR="001025BC">
        <w:rPr>
          <w:rFonts w:ascii="Times New Roman" w:hAnsi="Times New Roman" w:cs="Times New Roman"/>
          <w:sz w:val="24"/>
          <w:szCs w:val="24"/>
          <w:lang w:val="en-US"/>
        </w:rPr>
        <w:t xml:space="preserve">d 23 </w:t>
      </w:r>
      <w:r w:rsidR="00DF3D61">
        <w:rPr>
          <w:rFonts w:ascii="Times New Roman" w:hAnsi="Times New Roman" w:cs="Times New Roman"/>
          <w:sz w:val="24"/>
          <w:szCs w:val="24"/>
          <w:lang w:val="en-US"/>
        </w:rPr>
        <w:t>November 2022</w:t>
      </w:r>
    </w:p>
    <w:p w14:paraId="2A7ABEDD" w14:textId="41F8DEF4" w:rsidR="00DF3D61" w:rsidRDefault="00DF3D61" w:rsidP="00DF3D61">
      <w:pPr>
        <w:spacing w:after="0"/>
        <w:rPr>
          <w:rFonts w:ascii="Times New Roman" w:hAnsi="Times New Roman" w:cs="Times New Roman"/>
          <w:sz w:val="24"/>
          <w:szCs w:val="24"/>
          <w:lang w:val="en-US"/>
        </w:rPr>
      </w:pPr>
    </w:p>
    <w:p w14:paraId="038E191A" w14:textId="7D65A17B" w:rsidR="00DF3D61" w:rsidRDefault="00DF3D61" w:rsidP="00DF3D61">
      <w:pPr>
        <w:spacing w:after="0"/>
        <w:rPr>
          <w:rFonts w:ascii="Times New Roman" w:hAnsi="Times New Roman" w:cs="Times New Roman"/>
          <w:sz w:val="24"/>
          <w:szCs w:val="24"/>
          <w:lang w:val="en-US"/>
        </w:rPr>
      </w:pPr>
    </w:p>
    <w:p w14:paraId="3EF0DDE0" w14:textId="3A7C119C" w:rsidR="00DF3D61" w:rsidRPr="00DF3D61" w:rsidRDefault="00DF3D61" w:rsidP="00DF3D61">
      <w:pPr>
        <w:spacing w:after="0"/>
        <w:rPr>
          <w:rFonts w:ascii="Times New Roman" w:hAnsi="Times New Roman" w:cs="Times New Roman"/>
          <w:b/>
          <w:bCs/>
          <w:sz w:val="24"/>
          <w:szCs w:val="24"/>
          <w:lang w:val="en-US"/>
        </w:rPr>
      </w:pPr>
      <w:r w:rsidRPr="00DF3D61">
        <w:rPr>
          <w:rFonts w:ascii="Times New Roman" w:hAnsi="Times New Roman" w:cs="Times New Roman"/>
          <w:b/>
          <w:bCs/>
          <w:sz w:val="24"/>
          <w:szCs w:val="24"/>
          <w:lang w:val="en-US"/>
        </w:rPr>
        <w:t>Opposed Application</w:t>
      </w:r>
    </w:p>
    <w:p w14:paraId="44BC5E72" w14:textId="09800DEA" w:rsidR="00DF3D61" w:rsidRDefault="00DF3D61" w:rsidP="00DF3D61">
      <w:pPr>
        <w:spacing w:after="0"/>
        <w:rPr>
          <w:rFonts w:ascii="Times New Roman" w:hAnsi="Times New Roman" w:cs="Times New Roman"/>
          <w:sz w:val="24"/>
          <w:szCs w:val="24"/>
          <w:lang w:val="en-US"/>
        </w:rPr>
      </w:pPr>
    </w:p>
    <w:p w14:paraId="10A27CF6" w14:textId="44A0B0A0" w:rsidR="00DF3D61" w:rsidRDefault="00DF3D61" w:rsidP="00DF3D61">
      <w:pPr>
        <w:spacing w:after="0"/>
        <w:rPr>
          <w:rFonts w:ascii="Times New Roman" w:hAnsi="Times New Roman" w:cs="Times New Roman"/>
          <w:sz w:val="24"/>
          <w:szCs w:val="24"/>
          <w:lang w:val="en-US"/>
        </w:rPr>
      </w:pPr>
    </w:p>
    <w:p w14:paraId="63A4B9FF" w14:textId="41805D9A" w:rsidR="00DF3D61" w:rsidRDefault="00DF3D61" w:rsidP="00DF3D61">
      <w:pPr>
        <w:spacing w:after="0"/>
        <w:rPr>
          <w:rFonts w:ascii="Times New Roman" w:hAnsi="Times New Roman" w:cs="Times New Roman"/>
          <w:sz w:val="24"/>
          <w:szCs w:val="24"/>
          <w:lang w:val="en-US"/>
        </w:rPr>
      </w:pPr>
    </w:p>
    <w:p w14:paraId="7580C859" w14:textId="0165A380" w:rsidR="00DF3D61" w:rsidRDefault="00DF3D61" w:rsidP="00DF3D61">
      <w:pPr>
        <w:spacing w:after="0"/>
        <w:rPr>
          <w:rFonts w:ascii="Times New Roman" w:hAnsi="Times New Roman" w:cs="Times New Roman"/>
          <w:sz w:val="24"/>
          <w:szCs w:val="24"/>
          <w:lang w:val="en-US"/>
        </w:rPr>
      </w:pPr>
      <w:r w:rsidRPr="00DF3D61">
        <w:rPr>
          <w:rFonts w:ascii="Times New Roman" w:hAnsi="Times New Roman" w:cs="Times New Roman"/>
          <w:i/>
          <w:iCs/>
          <w:sz w:val="24"/>
          <w:szCs w:val="24"/>
          <w:lang w:val="en-US"/>
        </w:rPr>
        <w:t>N T</w:t>
      </w:r>
      <w:r w:rsidR="007C2E91">
        <w:rPr>
          <w:rFonts w:ascii="Times New Roman" w:hAnsi="Times New Roman" w:cs="Times New Roman"/>
          <w:i/>
          <w:iCs/>
          <w:sz w:val="24"/>
          <w:szCs w:val="24"/>
          <w:lang w:val="en-US"/>
        </w:rPr>
        <w:t>onho</w:t>
      </w:r>
      <w:r w:rsidRPr="00DF3D61">
        <w:rPr>
          <w:rFonts w:ascii="Times New Roman" w:hAnsi="Times New Roman" w:cs="Times New Roman"/>
          <w:i/>
          <w:iCs/>
          <w:sz w:val="24"/>
          <w:szCs w:val="24"/>
          <w:lang w:val="en-US"/>
        </w:rPr>
        <w:t>dzai</w:t>
      </w:r>
      <w:r>
        <w:rPr>
          <w:rFonts w:ascii="Times New Roman" w:hAnsi="Times New Roman" w:cs="Times New Roman"/>
          <w:sz w:val="24"/>
          <w:szCs w:val="24"/>
          <w:lang w:val="en-US"/>
        </w:rPr>
        <w:t xml:space="preserve"> with </w:t>
      </w:r>
      <w:r w:rsidRPr="00DF3D61">
        <w:rPr>
          <w:rFonts w:ascii="Times New Roman" w:hAnsi="Times New Roman" w:cs="Times New Roman"/>
          <w:i/>
          <w:iCs/>
          <w:sz w:val="24"/>
          <w:szCs w:val="24"/>
          <w:lang w:val="en-US"/>
        </w:rPr>
        <w:t>G Giya</w:t>
      </w:r>
      <w:r>
        <w:rPr>
          <w:rFonts w:ascii="Times New Roman" w:hAnsi="Times New Roman" w:cs="Times New Roman"/>
          <w:sz w:val="24"/>
          <w:szCs w:val="24"/>
          <w:lang w:val="en-US"/>
        </w:rPr>
        <w:t>, for the applicants</w:t>
      </w:r>
    </w:p>
    <w:p w14:paraId="5BF737D0" w14:textId="12C34BEA" w:rsidR="00DF3D61" w:rsidRDefault="00DF3D61" w:rsidP="00DF3D61">
      <w:pPr>
        <w:spacing w:after="0"/>
        <w:rPr>
          <w:rFonts w:ascii="Times New Roman" w:hAnsi="Times New Roman" w:cs="Times New Roman"/>
          <w:sz w:val="24"/>
          <w:szCs w:val="24"/>
          <w:lang w:val="en-US"/>
        </w:rPr>
      </w:pPr>
      <w:r w:rsidRPr="00DF3D61">
        <w:rPr>
          <w:rFonts w:ascii="Times New Roman" w:hAnsi="Times New Roman" w:cs="Times New Roman"/>
          <w:i/>
          <w:iCs/>
          <w:sz w:val="24"/>
          <w:szCs w:val="24"/>
          <w:lang w:val="en-US"/>
        </w:rPr>
        <w:t>N Mang</w:t>
      </w:r>
      <w:r w:rsidR="007C2E91">
        <w:rPr>
          <w:rFonts w:ascii="Times New Roman" w:hAnsi="Times New Roman" w:cs="Times New Roman"/>
          <w:i/>
          <w:iCs/>
          <w:sz w:val="24"/>
          <w:szCs w:val="24"/>
          <w:lang w:val="en-US"/>
        </w:rPr>
        <w:t>oi</w:t>
      </w:r>
      <w:r>
        <w:rPr>
          <w:rFonts w:ascii="Times New Roman" w:hAnsi="Times New Roman" w:cs="Times New Roman"/>
          <w:sz w:val="24"/>
          <w:szCs w:val="24"/>
          <w:lang w:val="en-US"/>
        </w:rPr>
        <w:t>, for the second respondents</w:t>
      </w:r>
    </w:p>
    <w:p w14:paraId="69441DC8" w14:textId="75377053" w:rsidR="007C2E91" w:rsidRDefault="007C2E91" w:rsidP="00DF3D61">
      <w:pPr>
        <w:spacing w:after="0"/>
        <w:rPr>
          <w:rFonts w:ascii="Times New Roman" w:hAnsi="Times New Roman" w:cs="Times New Roman"/>
          <w:sz w:val="24"/>
          <w:szCs w:val="24"/>
          <w:lang w:val="en-US"/>
        </w:rPr>
      </w:pPr>
    </w:p>
    <w:p w14:paraId="6ADD04DB" w14:textId="3C102432" w:rsidR="007C2E91" w:rsidRDefault="007C2E91" w:rsidP="00DF3D61">
      <w:pPr>
        <w:spacing w:after="0"/>
        <w:rPr>
          <w:rFonts w:ascii="Times New Roman" w:hAnsi="Times New Roman" w:cs="Times New Roman"/>
          <w:sz w:val="24"/>
          <w:szCs w:val="24"/>
          <w:lang w:val="en-US"/>
        </w:rPr>
      </w:pPr>
    </w:p>
    <w:p w14:paraId="52495586" w14:textId="5887244C" w:rsidR="007C2E91" w:rsidRDefault="007C2E91" w:rsidP="007C2E9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E323EC">
        <w:rPr>
          <w:rFonts w:ascii="Times New Roman" w:hAnsi="Times New Roman" w:cs="Times New Roman"/>
          <w:b/>
          <w:bCs/>
          <w:sz w:val="24"/>
          <w:szCs w:val="24"/>
          <w:lang w:val="en-US"/>
        </w:rPr>
        <w:t>CHITAPI J:</w:t>
      </w:r>
      <w:r>
        <w:rPr>
          <w:rFonts w:ascii="Times New Roman" w:hAnsi="Times New Roman" w:cs="Times New Roman"/>
          <w:sz w:val="24"/>
          <w:szCs w:val="24"/>
          <w:lang w:val="en-US"/>
        </w:rPr>
        <w:tab/>
        <w:t xml:space="preserve">This matter was filed consequent upon my judgment involving the same parties as herein cited which I delivered referenced HH 530-22 in case no. HC 1540/21 on 3 August 2022.  The Minister of Local Government, Public Works and National Housing had been a party in case no. HC 1540/21.  However, no relief was claimed from him and he is not cited in the current proceedings.  Just to recap, in case no. HC 5140/21, the applicants had </w:t>
      </w:r>
      <w:r>
        <w:rPr>
          <w:rFonts w:ascii="Times New Roman" w:hAnsi="Times New Roman" w:cs="Times New Roman"/>
          <w:sz w:val="24"/>
          <w:szCs w:val="24"/>
          <w:lang w:val="en-US"/>
        </w:rPr>
        <w:lastRenderedPageBreak/>
        <w:t xml:space="preserve">pursuant to filing the said application, been granted under case no. HC 9690/21 by </w:t>
      </w:r>
      <w:r w:rsidRPr="001025BC">
        <w:rPr>
          <w:rFonts w:ascii="Times New Roman" w:hAnsi="Times New Roman" w:cs="Times New Roman"/>
          <w:smallCaps/>
          <w:sz w:val="24"/>
          <w:szCs w:val="24"/>
          <w:lang w:val="en-US"/>
        </w:rPr>
        <w:t>Munangati</w:t>
      </w:r>
      <w:r>
        <w:rPr>
          <w:rFonts w:ascii="Times New Roman" w:hAnsi="Times New Roman" w:cs="Times New Roman"/>
          <w:sz w:val="24"/>
          <w:szCs w:val="24"/>
          <w:lang w:val="en-US"/>
        </w:rPr>
        <w:t>-</w:t>
      </w:r>
      <w:r w:rsidRPr="001025BC">
        <w:rPr>
          <w:rFonts w:ascii="Times New Roman" w:hAnsi="Times New Roman" w:cs="Times New Roman"/>
          <w:smallCaps/>
          <w:sz w:val="24"/>
          <w:szCs w:val="24"/>
          <w:lang w:val="en-US"/>
        </w:rPr>
        <w:t>Manongwa</w:t>
      </w:r>
      <w:r>
        <w:rPr>
          <w:rFonts w:ascii="Times New Roman" w:hAnsi="Times New Roman" w:cs="Times New Roman"/>
          <w:sz w:val="24"/>
          <w:szCs w:val="24"/>
          <w:lang w:val="en-US"/>
        </w:rPr>
        <w:t xml:space="preserve"> J, on 1 April 2021 an order of condonation to file a review application against the respondents named in the order who included the first and second respondent herein.</w:t>
      </w:r>
    </w:p>
    <w:p w14:paraId="53885C50" w14:textId="5ED76BE7" w:rsidR="007C2E91" w:rsidRDefault="007C2E91" w:rsidP="007C2E9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applicants filed the review </w:t>
      </w:r>
      <w:r w:rsidR="001025BC">
        <w:rPr>
          <w:rFonts w:ascii="Times New Roman" w:hAnsi="Times New Roman" w:cs="Times New Roman"/>
          <w:sz w:val="24"/>
          <w:szCs w:val="24"/>
          <w:lang w:val="en-US"/>
        </w:rPr>
        <w:t xml:space="preserve">application under case No </w:t>
      </w:r>
      <w:r>
        <w:rPr>
          <w:rFonts w:ascii="Times New Roman" w:hAnsi="Times New Roman" w:cs="Times New Roman"/>
          <w:sz w:val="24"/>
          <w:szCs w:val="24"/>
          <w:lang w:val="en-US"/>
        </w:rPr>
        <w:t>HC 5140/21 as per the order in case no. HC 9690/19.  I heard the review application and struck the application off the roll for procedural errors which could not be condoned.  The order of the court in case no. HC 9690/19 had directed that the application for review be filed within 10 days of the order.  The st</w:t>
      </w:r>
      <w:r w:rsidR="000C0CA9">
        <w:rPr>
          <w:rFonts w:ascii="Times New Roman" w:hAnsi="Times New Roman" w:cs="Times New Roman"/>
          <w:sz w:val="24"/>
          <w:szCs w:val="24"/>
          <w:lang w:val="en-US"/>
        </w:rPr>
        <w:t>r</w:t>
      </w:r>
      <w:r>
        <w:rPr>
          <w:rFonts w:ascii="Times New Roman" w:hAnsi="Times New Roman" w:cs="Times New Roman"/>
          <w:sz w:val="24"/>
          <w:szCs w:val="24"/>
          <w:lang w:val="en-US"/>
        </w:rPr>
        <w:t xml:space="preserve">iking </w:t>
      </w:r>
      <w:r w:rsidR="001025BC">
        <w:rPr>
          <w:rFonts w:ascii="Times New Roman" w:hAnsi="Times New Roman" w:cs="Times New Roman"/>
          <w:sz w:val="24"/>
          <w:szCs w:val="24"/>
          <w:lang w:val="en-US"/>
        </w:rPr>
        <w:t xml:space="preserve">off </w:t>
      </w:r>
      <w:r>
        <w:rPr>
          <w:rFonts w:ascii="Times New Roman" w:hAnsi="Times New Roman" w:cs="Times New Roman"/>
          <w:sz w:val="24"/>
          <w:szCs w:val="24"/>
          <w:lang w:val="en-US"/>
        </w:rPr>
        <w:t xml:space="preserve">of the matter from </w:t>
      </w:r>
      <w:r w:rsidR="000C0CA9">
        <w:rPr>
          <w:rFonts w:ascii="Times New Roman" w:hAnsi="Times New Roman" w:cs="Times New Roman"/>
          <w:sz w:val="24"/>
          <w:szCs w:val="24"/>
          <w:lang w:val="en-US"/>
        </w:rPr>
        <w:t>the roll meant that in order to be able to file a fresh review application, the applicants had to seek condonation afresh.</w:t>
      </w:r>
      <w:r w:rsidR="001025BC">
        <w:rPr>
          <w:rFonts w:ascii="Times New Roman" w:hAnsi="Times New Roman" w:cs="Times New Roman"/>
          <w:sz w:val="24"/>
          <w:szCs w:val="24"/>
          <w:lang w:val="en-US"/>
        </w:rPr>
        <w:t xml:space="preserve">  They have done so in this application.</w:t>
      </w:r>
    </w:p>
    <w:p w14:paraId="30B1D5AF" w14:textId="06D0C1D1" w:rsidR="000C0CA9" w:rsidRDefault="000C0CA9" w:rsidP="007C2E9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facts of the matter are set out in judgment HH 530/22.  I repeat them herein in summary.  The applicants and the second respondent own properties in the same neighbourhood of Bannockburn, Mount Pleasant, Harare as follows:</w:t>
      </w:r>
    </w:p>
    <w:p w14:paraId="11A82B3F" w14:textId="090B572B" w:rsidR="000C0CA9" w:rsidRDefault="000C0CA9" w:rsidP="000C0CA9">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First and tenths applicant – Stand 950</w:t>
      </w:r>
    </w:p>
    <w:p w14:paraId="131BC8A4" w14:textId="381B54AB" w:rsidR="000C0CA9" w:rsidRDefault="000C0CA9" w:rsidP="000C0CA9">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Second applicant – Stand 947</w:t>
      </w:r>
    </w:p>
    <w:p w14:paraId="0B8BEE4E" w14:textId="3C01880A" w:rsidR="000C0CA9" w:rsidRDefault="000C0CA9" w:rsidP="000C0CA9">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Third applicant – Stand 949</w:t>
      </w:r>
    </w:p>
    <w:p w14:paraId="21CCC61F" w14:textId="0FF9DD48" w:rsidR="000C0CA9" w:rsidRDefault="000C0CA9" w:rsidP="000C0CA9">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Fourth applicant – Stand 939</w:t>
      </w:r>
    </w:p>
    <w:p w14:paraId="109AEA3B" w14:textId="40880703" w:rsidR="000C0CA9" w:rsidRDefault="000C0CA9" w:rsidP="000C0CA9">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Fifth applicant – Stand 931</w:t>
      </w:r>
    </w:p>
    <w:p w14:paraId="3D81E4F8" w14:textId="38ECA50D" w:rsidR="000C0CA9" w:rsidRDefault="000C0CA9" w:rsidP="000C0CA9">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Sixth applicant – Stand 913</w:t>
      </w:r>
    </w:p>
    <w:p w14:paraId="6984B265" w14:textId="7DD3E94D" w:rsidR="000C0CA9" w:rsidRDefault="000C0CA9" w:rsidP="000C0CA9">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Seventh and Ninth applicant – Stand 945</w:t>
      </w:r>
    </w:p>
    <w:p w14:paraId="45AA33D2" w14:textId="1A74BB0E" w:rsidR="000C0CA9" w:rsidRDefault="000C0CA9" w:rsidP="000C0CA9">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Eight applicant – Stand number not stated</w:t>
      </w:r>
    </w:p>
    <w:p w14:paraId="0B38B93E" w14:textId="2770FE45" w:rsidR="000C0CA9" w:rsidRDefault="000C0CA9" w:rsidP="000C0CA9">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Second respondent – Stand 946</w:t>
      </w:r>
    </w:p>
    <w:p w14:paraId="34D77003" w14:textId="4B39FD60" w:rsidR="000C0CA9" w:rsidRDefault="000C0CA9" w:rsidP="000C0CA9">
      <w:pPr>
        <w:spacing w:after="0" w:line="360" w:lineRule="auto"/>
        <w:ind w:firstLine="720"/>
        <w:jc w:val="both"/>
        <w:rPr>
          <w:rFonts w:ascii="Times New Roman" w:hAnsi="Times New Roman" w:cs="Times New Roman"/>
          <w:sz w:val="24"/>
          <w:szCs w:val="24"/>
          <w:lang w:val="en-US"/>
        </w:rPr>
      </w:pPr>
      <w:r w:rsidRPr="000C0CA9">
        <w:rPr>
          <w:rFonts w:ascii="Times New Roman" w:hAnsi="Times New Roman" w:cs="Times New Roman"/>
          <w:sz w:val="24"/>
          <w:szCs w:val="24"/>
          <w:lang w:val="en-US"/>
        </w:rPr>
        <w:t xml:space="preserve">The stands are contiguous to each other.  The applicants and the second respondent are neighbours in terms of </w:t>
      </w:r>
      <w:r>
        <w:rPr>
          <w:rFonts w:ascii="Times New Roman" w:hAnsi="Times New Roman" w:cs="Times New Roman"/>
          <w:sz w:val="24"/>
          <w:szCs w:val="24"/>
          <w:lang w:val="en-US"/>
        </w:rPr>
        <w:t xml:space="preserve">the situation of their stands.  The second respondent holds a permit to construct a church on stand 946.  The applicants do not find the church acceptable as </w:t>
      </w:r>
      <w:r w:rsidR="001025BC">
        <w:rPr>
          <w:rFonts w:ascii="Times New Roman" w:hAnsi="Times New Roman" w:cs="Times New Roman"/>
          <w:sz w:val="24"/>
          <w:szCs w:val="24"/>
          <w:lang w:val="en-US"/>
        </w:rPr>
        <w:t xml:space="preserve">they consider that </w:t>
      </w:r>
      <w:r>
        <w:rPr>
          <w:rFonts w:ascii="Times New Roman" w:hAnsi="Times New Roman" w:cs="Times New Roman"/>
          <w:sz w:val="24"/>
          <w:szCs w:val="24"/>
          <w:lang w:val="en-US"/>
        </w:rPr>
        <w:t xml:space="preserve">it will disturb their rights of privacy among their </w:t>
      </w:r>
      <w:r w:rsidR="001025BC">
        <w:rPr>
          <w:rFonts w:ascii="Times New Roman" w:hAnsi="Times New Roman" w:cs="Times New Roman"/>
          <w:sz w:val="24"/>
          <w:szCs w:val="24"/>
          <w:lang w:val="en-US"/>
        </w:rPr>
        <w:t xml:space="preserve">other </w:t>
      </w:r>
      <w:r>
        <w:rPr>
          <w:rFonts w:ascii="Times New Roman" w:hAnsi="Times New Roman" w:cs="Times New Roman"/>
          <w:sz w:val="24"/>
          <w:szCs w:val="24"/>
          <w:lang w:val="en-US"/>
        </w:rPr>
        <w:t xml:space="preserve">complaints.  </w:t>
      </w:r>
    </w:p>
    <w:p w14:paraId="1F5CA408" w14:textId="4040290E" w:rsidR="000C0CA9" w:rsidRDefault="000C0CA9" w:rsidP="000C0CA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applicant</w:t>
      </w:r>
      <w:r w:rsidR="001025BC">
        <w:rPr>
          <w:rFonts w:ascii="Times New Roman" w:hAnsi="Times New Roman" w:cs="Times New Roman"/>
          <w:sz w:val="24"/>
          <w:szCs w:val="24"/>
          <w:lang w:val="en-US"/>
        </w:rPr>
        <w:t>s</w:t>
      </w:r>
      <w:r>
        <w:rPr>
          <w:rFonts w:ascii="Times New Roman" w:hAnsi="Times New Roman" w:cs="Times New Roman"/>
          <w:sz w:val="24"/>
          <w:szCs w:val="24"/>
          <w:lang w:val="en-US"/>
        </w:rPr>
        <w:t xml:space="preserve"> if granted condonation intend to challenge the issuance to the second respondent of the permit to construct a church on stand 946 on the principal basis that the process </w:t>
      </w:r>
      <w:r w:rsidR="001025BC">
        <w:rPr>
          <w:rFonts w:ascii="Times New Roman" w:hAnsi="Times New Roman" w:cs="Times New Roman"/>
          <w:sz w:val="24"/>
          <w:szCs w:val="24"/>
          <w:lang w:val="en-US"/>
        </w:rPr>
        <w:t xml:space="preserve">to issue the permit </w:t>
      </w:r>
      <w:r>
        <w:rPr>
          <w:rFonts w:ascii="Times New Roman" w:hAnsi="Times New Roman" w:cs="Times New Roman"/>
          <w:sz w:val="24"/>
          <w:szCs w:val="24"/>
          <w:lang w:val="en-US"/>
        </w:rPr>
        <w:t xml:space="preserve">was legally flawed.  They aver that they were not served with written notification of the proposed application for change of use.  They wish to argue that the application was not published </w:t>
      </w:r>
      <w:r w:rsidR="001025BC">
        <w:rPr>
          <w:rFonts w:ascii="Times New Roman" w:hAnsi="Times New Roman" w:cs="Times New Roman"/>
          <w:sz w:val="24"/>
          <w:szCs w:val="24"/>
          <w:lang w:val="en-US"/>
        </w:rPr>
        <w:t>i</w:t>
      </w:r>
      <w:r>
        <w:rPr>
          <w:rFonts w:ascii="Times New Roman" w:hAnsi="Times New Roman" w:cs="Times New Roman"/>
          <w:sz w:val="24"/>
          <w:szCs w:val="24"/>
          <w:lang w:val="en-US"/>
        </w:rPr>
        <w:t xml:space="preserve">n the Government Gazette as required by the law.  They intend to argued that they </w:t>
      </w:r>
      <w:r w:rsidR="001025BC">
        <w:rPr>
          <w:rFonts w:ascii="Times New Roman" w:hAnsi="Times New Roman" w:cs="Times New Roman"/>
          <w:sz w:val="24"/>
          <w:szCs w:val="24"/>
          <w:lang w:val="en-US"/>
        </w:rPr>
        <w:t>need</w:t>
      </w:r>
      <w:r>
        <w:rPr>
          <w:rFonts w:ascii="Times New Roman" w:hAnsi="Times New Roman" w:cs="Times New Roman"/>
          <w:sz w:val="24"/>
          <w:szCs w:val="24"/>
          <w:lang w:val="en-US"/>
        </w:rPr>
        <w:t xml:space="preserve"> peace, tranquility and quietness in the area which is zoned for </w:t>
      </w:r>
      <w:r>
        <w:rPr>
          <w:rFonts w:ascii="Times New Roman" w:hAnsi="Times New Roman" w:cs="Times New Roman"/>
          <w:sz w:val="24"/>
          <w:szCs w:val="24"/>
          <w:lang w:val="en-US"/>
        </w:rPr>
        <w:lastRenderedPageBreak/>
        <w:t>residential use by individuals and not organi</w:t>
      </w:r>
      <w:r w:rsidR="00E5469E">
        <w:rPr>
          <w:rFonts w:ascii="Times New Roman" w:hAnsi="Times New Roman" w:cs="Times New Roman"/>
          <w:sz w:val="24"/>
          <w:szCs w:val="24"/>
          <w:lang w:val="en-US"/>
        </w:rPr>
        <w:t>z</w:t>
      </w:r>
      <w:r>
        <w:rPr>
          <w:rFonts w:ascii="Times New Roman" w:hAnsi="Times New Roman" w:cs="Times New Roman"/>
          <w:sz w:val="24"/>
          <w:szCs w:val="24"/>
          <w:lang w:val="en-US"/>
        </w:rPr>
        <w:t xml:space="preserve">ations let alone those which congregate people like churches, shops bars and </w:t>
      </w:r>
      <w:r w:rsidR="00FE27E4">
        <w:rPr>
          <w:rFonts w:ascii="Times New Roman" w:hAnsi="Times New Roman" w:cs="Times New Roman"/>
          <w:sz w:val="24"/>
          <w:szCs w:val="24"/>
          <w:lang w:val="en-US"/>
        </w:rPr>
        <w:t>like businesses.</w:t>
      </w:r>
    </w:p>
    <w:p w14:paraId="3727D2DA" w14:textId="7E4CD1D0" w:rsidR="00FE27E4" w:rsidRDefault="00FE27E4" w:rsidP="000C0CA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dealing with an application for condonation of failure to comply with rules of court, the case of </w:t>
      </w:r>
      <w:r w:rsidRPr="0016388C">
        <w:rPr>
          <w:rFonts w:ascii="Times New Roman" w:hAnsi="Times New Roman" w:cs="Times New Roman"/>
          <w:i/>
          <w:iCs/>
          <w:sz w:val="24"/>
          <w:szCs w:val="24"/>
          <w:lang w:val="en-US"/>
        </w:rPr>
        <w:t>Read</w:t>
      </w:r>
      <w:r>
        <w:rPr>
          <w:rFonts w:ascii="Times New Roman" w:hAnsi="Times New Roman" w:cs="Times New Roman"/>
          <w:sz w:val="24"/>
          <w:szCs w:val="24"/>
          <w:lang w:val="en-US"/>
        </w:rPr>
        <w:t xml:space="preserve"> v </w:t>
      </w:r>
      <w:r w:rsidRPr="0016388C">
        <w:rPr>
          <w:rFonts w:ascii="Times New Roman" w:hAnsi="Times New Roman" w:cs="Times New Roman"/>
          <w:i/>
          <w:iCs/>
          <w:sz w:val="24"/>
          <w:szCs w:val="24"/>
          <w:lang w:val="en-US"/>
        </w:rPr>
        <w:t>Gardener and Anor</w:t>
      </w:r>
      <w:r>
        <w:rPr>
          <w:rFonts w:ascii="Times New Roman" w:hAnsi="Times New Roman" w:cs="Times New Roman"/>
          <w:sz w:val="24"/>
          <w:szCs w:val="24"/>
          <w:lang w:val="en-US"/>
        </w:rPr>
        <w:t xml:space="preserve"> SC 70</w:t>
      </w:r>
      <w:r w:rsidR="0016388C">
        <w:rPr>
          <w:rFonts w:ascii="Times New Roman" w:hAnsi="Times New Roman" w:cs="Times New Roman"/>
          <w:sz w:val="24"/>
          <w:szCs w:val="24"/>
          <w:lang w:val="en-US"/>
        </w:rPr>
        <w:t>/</w:t>
      </w:r>
      <w:r>
        <w:rPr>
          <w:rFonts w:ascii="Times New Roman" w:hAnsi="Times New Roman" w:cs="Times New Roman"/>
          <w:sz w:val="24"/>
          <w:szCs w:val="24"/>
          <w:lang w:val="en-US"/>
        </w:rPr>
        <w:t xml:space="preserve">2019 quoted by applicant’s counsel in heads of argument being a judgment </w:t>
      </w:r>
      <w:r w:rsidR="001025BC">
        <w:rPr>
          <w:rFonts w:ascii="Times New Roman" w:hAnsi="Times New Roman" w:cs="Times New Roman"/>
          <w:sz w:val="24"/>
          <w:szCs w:val="24"/>
          <w:lang w:val="en-US"/>
        </w:rPr>
        <w:t xml:space="preserve">of </w:t>
      </w:r>
      <w:r w:rsidRPr="00FE27E4">
        <w:rPr>
          <w:rFonts w:ascii="Times New Roman" w:hAnsi="Times New Roman" w:cs="Times New Roman"/>
          <w:smallCaps/>
          <w:sz w:val="24"/>
          <w:szCs w:val="24"/>
          <w:lang w:val="en-US"/>
        </w:rPr>
        <w:t>Patel JA</w:t>
      </w:r>
      <w:r>
        <w:rPr>
          <w:rFonts w:ascii="Times New Roman" w:hAnsi="Times New Roman" w:cs="Times New Roman"/>
          <w:sz w:val="24"/>
          <w:szCs w:val="24"/>
          <w:lang w:val="en-US"/>
        </w:rPr>
        <w:t xml:space="preserve"> (as he then was) is useful authority.  The learned Judge listed the factors to be considered cumulatively and not individually</w:t>
      </w:r>
      <w:r w:rsidR="00D23785">
        <w:rPr>
          <w:rFonts w:ascii="Times New Roman" w:hAnsi="Times New Roman" w:cs="Times New Roman"/>
          <w:sz w:val="24"/>
          <w:szCs w:val="24"/>
          <w:lang w:val="en-US"/>
        </w:rPr>
        <w:t xml:space="preserve"> by the court in dealing with such an application</w:t>
      </w:r>
      <w:r>
        <w:rPr>
          <w:rFonts w:ascii="Times New Roman" w:hAnsi="Times New Roman" w:cs="Times New Roman"/>
          <w:sz w:val="24"/>
          <w:szCs w:val="24"/>
          <w:lang w:val="en-US"/>
        </w:rPr>
        <w:t>.  The learned stated at p 4-5 of the cyclostyled judgment:</w:t>
      </w:r>
    </w:p>
    <w:p w14:paraId="36452D94" w14:textId="63594CD2" w:rsidR="00FE27E4" w:rsidRPr="00DD6C8D" w:rsidRDefault="00FE27E4" w:rsidP="00DD6C8D">
      <w:pPr>
        <w:spacing w:after="0" w:line="240" w:lineRule="auto"/>
        <w:ind w:left="720"/>
        <w:jc w:val="both"/>
        <w:rPr>
          <w:rFonts w:ascii="Times New Roman" w:hAnsi="Times New Roman" w:cs="Times New Roman"/>
          <w:lang w:val="en-US"/>
        </w:rPr>
      </w:pPr>
      <w:r>
        <w:rPr>
          <w:rFonts w:ascii="Times New Roman" w:hAnsi="Times New Roman" w:cs="Times New Roman"/>
          <w:sz w:val="24"/>
          <w:szCs w:val="24"/>
          <w:lang w:val="en-US"/>
        </w:rPr>
        <w:t>“</w:t>
      </w:r>
      <w:r w:rsidRPr="00DD6C8D">
        <w:rPr>
          <w:rFonts w:ascii="Times New Roman" w:hAnsi="Times New Roman" w:cs="Times New Roman"/>
          <w:lang w:val="en-US"/>
        </w:rPr>
        <w:t>The factors to be considered in an application for the condonation of any failure to comply with the rules of court are well established.  They are simply exp</w:t>
      </w:r>
      <w:r w:rsidR="00D23785">
        <w:rPr>
          <w:rFonts w:ascii="Times New Roman" w:hAnsi="Times New Roman" w:cs="Times New Roman"/>
          <w:lang w:val="en-US"/>
        </w:rPr>
        <w:t>ou</w:t>
      </w:r>
      <w:r w:rsidRPr="00DD6C8D">
        <w:rPr>
          <w:rFonts w:ascii="Times New Roman" w:hAnsi="Times New Roman" w:cs="Times New Roman"/>
          <w:lang w:val="en-US"/>
        </w:rPr>
        <w:t>nded in several decisions of the court in which the salient criteria are identified.  The</w:t>
      </w:r>
      <w:r w:rsidR="00412AA1" w:rsidRPr="00DD6C8D">
        <w:rPr>
          <w:rFonts w:ascii="Times New Roman" w:hAnsi="Times New Roman" w:cs="Times New Roman"/>
          <w:lang w:val="en-US"/>
        </w:rPr>
        <w:t>y include the following:</w:t>
      </w:r>
    </w:p>
    <w:p w14:paraId="2DA3B3D9" w14:textId="36DE71ED" w:rsidR="00412AA1" w:rsidRPr="00DD6C8D" w:rsidRDefault="00412AA1" w:rsidP="00DD6C8D">
      <w:pPr>
        <w:pStyle w:val="ListParagraph"/>
        <w:numPr>
          <w:ilvl w:val="0"/>
          <w:numId w:val="2"/>
        </w:numPr>
        <w:spacing w:after="0" w:line="240" w:lineRule="auto"/>
        <w:jc w:val="both"/>
        <w:rPr>
          <w:rFonts w:ascii="Times New Roman" w:hAnsi="Times New Roman" w:cs="Times New Roman"/>
          <w:lang w:val="en-US"/>
        </w:rPr>
      </w:pPr>
      <w:r w:rsidRPr="00DD6C8D">
        <w:rPr>
          <w:rFonts w:ascii="Times New Roman" w:hAnsi="Times New Roman" w:cs="Times New Roman"/>
          <w:lang w:val="en-US"/>
        </w:rPr>
        <w:t>the extent of the delay involved or non-compliance in question</w:t>
      </w:r>
    </w:p>
    <w:p w14:paraId="0EC572CF" w14:textId="3D46B33F" w:rsidR="00412AA1" w:rsidRPr="00DD6C8D" w:rsidRDefault="00412AA1" w:rsidP="00DD6C8D">
      <w:pPr>
        <w:pStyle w:val="ListParagraph"/>
        <w:numPr>
          <w:ilvl w:val="0"/>
          <w:numId w:val="2"/>
        </w:numPr>
        <w:spacing w:after="0" w:line="240" w:lineRule="auto"/>
        <w:jc w:val="both"/>
        <w:rPr>
          <w:rFonts w:ascii="Times New Roman" w:hAnsi="Times New Roman" w:cs="Times New Roman"/>
          <w:lang w:val="en-US"/>
        </w:rPr>
      </w:pPr>
      <w:r w:rsidRPr="00DD6C8D">
        <w:rPr>
          <w:rFonts w:ascii="Times New Roman" w:hAnsi="Times New Roman" w:cs="Times New Roman"/>
          <w:lang w:val="en-US"/>
        </w:rPr>
        <w:t>the reasonableness of the explanation for the delay or non-compliance</w:t>
      </w:r>
    </w:p>
    <w:p w14:paraId="5C575C4A" w14:textId="01E79E7F" w:rsidR="00412AA1" w:rsidRPr="00DD6C8D" w:rsidRDefault="00412AA1" w:rsidP="00DD6C8D">
      <w:pPr>
        <w:pStyle w:val="ListParagraph"/>
        <w:numPr>
          <w:ilvl w:val="0"/>
          <w:numId w:val="2"/>
        </w:numPr>
        <w:spacing w:after="0" w:line="240" w:lineRule="auto"/>
        <w:jc w:val="both"/>
        <w:rPr>
          <w:rFonts w:ascii="Times New Roman" w:hAnsi="Times New Roman" w:cs="Times New Roman"/>
          <w:lang w:val="en-US"/>
        </w:rPr>
      </w:pPr>
      <w:r w:rsidRPr="00DD6C8D">
        <w:rPr>
          <w:rFonts w:ascii="Times New Roman" w:hAnsi="Times New Roman" w:cs="Times New Roman"/>
          <w:lang w:val="en-US"/>
        </w:rPr>
        <w:t>prospects of success should the application be granted</w:t>
      </w:r>
    </w:p>
    <w:p w14:paraId="2DB82AAE" w14:textId="32D4DF8A" w:rsidR="00412AA1" w:rsidRPr="00DD6C8D" w:rsidRDefault="00412AA1" w:rsidP="00DD6C8D">
      <w:pPr>
        <w:pStyle w:val="ListParagraph"/>
        <w:numPr>
          <w:ilvl w:val="0"/>
          <w:numId w:val="2"/>
        </w:numPr>
        <w:spacing w:after="0" w:line="240" w:lineRule="auto"/>
        <w:jc w:val="both"/>
        <w:rPr>
          <w:rFonts w:ascii="Times New Roman" w:hAnsi="Times New Roman" w:cs="Times New Roman"/>
          <w:lang w:val="en-US"/>
        </w:rPr>
      </w:pPr>
      <w:r w:rsidRPr="00DD6C8D">
        <w:rPr>
          <w:rFonts w:ascii="Times New Roman" w:hAnsi="Times New Roman" w:cs="Times New Roman"/>
          <w:lang w:val="en-US"/>
        </w:rPr>
        <w:t xml:space="preserve">the possible </w:t>
      </w:r>
      <w:r w:rsidR="00D23785" w:rsidRPr="00DD6C8D">
        <w:rPr>
          <w:rFonts w:ascii="Times New Roman" w:hAnsi="Times New Roman" w:cs="Times New Roman"/>
          <w:lang w:val="en-US"/>
        </w:rPr>
        <w:t>prejudice to</w:t>
      </w:r>
      <w:r w:rsidRPr="00DD6C8D">
        <w:rPr>
          <w:rFonts w:ascii="Times New Roman" w:hAnsi="Times New Roman" w:cs="Times New Roman"/>
          <w:lang w:val="en-US"/>
        </w:rPr>
        <w:t xml:space="preserve"> the other party </w:t>
      </w:r>
    </w:p>
    <w:p w14:paraId="082F023D" w14:textId="51A3F72F" w:rsidR="00412AA1" w:rsidRPr="00DD6C8D" w:rsidRDefault="00412AA1" w:rsidP="00DD6C8D">
      <w:pPr>
        <w:pStyle w:val="ListParagraph"/>
        <w:numPr>
          <w:ilvl w:val="0"/>
          <w:numId w:val="2"/>
        </w:numPr>
        <w:spacing w:after="0" w:line="240" w:lineRule="auto"/>
        <w:jc w:val="both"/>
        <w:rPr>
          <w:rFonts w:ascii="Times New Roman" w:hAnsi="Times New Roman" w:cs="Times New Roman"/>
          <w:lang w:val="en-US"/>
        </w:rPr>
      </w:pPr>
      <w:r w:rsidRPr="00DD6C8D">
        <w:rPr>
          <w:rFonts w:ascii="Times New Roman" w:hAnsi="Times New Roman" w:cs="Times New Roman"/>
          <w:lang w:val="en-US"/>
        </w:rPr>
        <w:t>the need for finality to litigation</w:t>
      </w:r>
    </w:p>
    <w:p w14:paraId="1A4EAE61" w14:textId="7A47C5A0" w:rsidR="00412AA1" w:rsidRPr="00DD6C8D" w:rsidRDefault="00412AA1" w:rsidP="00DD6C8D">
      <w:pPr>
        <w:pStyle w:val="ListParagraph"/>
        <w:numPr>
          <w:ilvl w:val="0"/>
          <w:numId w:val="2"/>
        </w:numPr>
        <w:spacing w:after="0" w:line="240" w:lineRule="auto"/>
        <w:jc w:val="both"/>
        <w:rPr>
          <w:rFonts w:ascii="Times New Roman" w:hAnsi="Times New Roman" w:cs="Times New Roman"/>
          <w:lang w:val="en-US"/>
        </w:rPr>
      </w:pPr>
      <w:r w:rsidRPr="00DD6C8D">
        <w:rPr>
          <w:rFonts w:ascii="Times New Roman" w:hAnsi="Times New Roman" w:cs="Times New Roman"/>
          <w:lang w:val="en-US"/>
        </w:rPr>
        <w:t>the importance of the case</w:t>
      </w:r>
    </w:p>
    <w:p w14:paraId="2E75881B" w14:textId="4275219A" w:rsidR="00412AA1" w:rsidRPr="00DD6C8D" w:rsidRDefault="00412AA1" w:rsidP="00DD6C8D">
      <w:pPr>
        <w:pStyle w:val="ListParagraph"/>
        <w:numPr>
          <w:ilvl w:val="0"/>
          <w:numId w:val="2"/>
        </w:numPr>
        <w:spacing w:after="0" w:line="240" w:lineRule="auto"/>
        <w:jc w:val="both"/>
        <w:rPr>
          <w:rFonts w:ascii="Times New Roman" w:hAnsi="Times New Roman" w:cs="Times New Roman"/>
          <w:lang w:val="en-US"/>
        </w:rPr>
      </w:pPr>
      <w:r w:rsidRPr="00DD6C8D">
        <w:rPr>
          <w:rFonts w:ascii="Times New Roman" w:hAnsi="Times New Roman" w:cs="Times New Roman"/>
          <w:lang w:val="en-US"/>
        </w:rPr>
        <w:t xml:space="preserve">the convenience of the court </w:t>
      </w:r>
    </w:p>
    <w:p w14:paraId="2296D61B" w14:textId="451BE84E" w:rsidR="00412AA1" w:rsidRDefault="00412AA1" w:rsidP="00DD6C8D">
      <w:pPr>
        <w:pStyle w:val="ListParagraph"/>
        <w:numPr>
          <w:ilvl w:val="0"/>
          <w:numId w:val="2"/>
        </w:numPr>
        <w:spacing w:after="0" w:line="240" w:lineRule="auto"/>
        <w:jc w:val="both"/>
        <w:rPr>
          <w:rFonts w:ascii="Times New Roman" w:hAnsi="Times New Roman" w:cs="Times New Roman"/>
          <w:lang w:val="en-US"/>
        </w:rPr>
      </w:pPr>
      <w:r w:rsidRPr="00DD6C8D">
        <w:rPr>
          <w:rFonts w:ascii="Times New Roman" w:hAnsi="Times New Roman" w:cs="Times New Roman"/>
          <w:lang w:val="en-US"/>
        </w:rPr>
        <w:t>the avoidance of delays in the administration of justice</w:t>
      </w:r>
      <w:r w:rsidR="00DD6C8D" w:rsidRPr="00DD6C8D">
        <w:rPr>
          <w:rFonts w:ascii="Times New Roman" w:hAnsi="Times New Roman" w:cs="Times New Roman"/>
          <w:lang w:val="en-US"/>
        </w:rPr>
        <w:t>.”</w:t>
      </w:r>
    </w:p>
    <w:p w14:paraId="5AABD578" w14:textId="77777777" w:rsidR="00DD6C8D" w:rsidRPr="00DD6C8D" w:rsidRDefault="00DD6C8D" w:rsidP="00DD6C8D">
      <w:pPr>
        <w:pStyle w:val="ListParagraph"/>
        <w:spacing w:after="0" w:line="240" w:lineRule="auto"/>
        <w:ind w:left="1440"/>
        <w:jc w:val="both"/>
        <w:rPr>
          <w:rFonts w:ascii="Times New Roman" w:hAnsi="Times New Roman" w:cs="Times New Roman"/>
          <w:lang w:val="en-US"/>
        </w:rPr>
      </w:pPr>
    </w:p>
    <w:p w14:paraId="73DA8B42" w14:textId="7D8A34F2" w:rsidR="00412AA1" w:rsidRDefault="00412AA1" w:rsidP="00412AA1">
      <w:pPr>
        <w:spacing w:after="0" w:line="360" w:lineRule="auto"/>
        <w:ind w:left="1080"/>
        <w:jc w:val="both"/>
        <w:rPr>
          <w:rFonts w:ascii="Times New Roman" w:hAnsi="Times New Roman" w:cs="Times New Roman"/>
          <w:sz w:val="24"/>
          <w:szCs w:val="24"/>
          <w:lang w:val="en-US"/>
        </w:rPr>
      </w:pPr>
      <w:r w:rsidRPr="00412AA1">
        <w:rPr>
          <w:rFonts w:ascii="Times New Roman" w:hAnsi="Times New Roman" w:cs="Times New Roman"/>
          <w:sz w:val="24"/>
          <w:szCs w:val="24"/>
          <w:lang w:val="en-US"/>
        </w:rPr>
        <w:t xml:space="preserve">See </w:t>
      </w:r>
      <w:r w:rsidRPr="00412AA1">
        <w:rPr>
          <w:rFonts w:ascii="Times New Roman" w:hAnsi="Times New Roman" w:cs="Times New Roman"/>
          <w:i/>
          <w:iCs/>
          <w:sz w:val="24"/>
          <w:szCs w:val="24"/>
          <w:lang w:val="en-US"/>
        </w:rPr>
        <w:t>Forestry Commission</w:t>
      </w:r>
      <w:r w:rsidRPr="00412AA1">
        <w:rPr>
          <w:rFonts w:ascii="Times New Roman" w:hAnsi="Times New Roman" w:cs="Times New Roman"/>
          <w:sz w:val="24"/>
          <w:szCs w:val="24"/>
          <w:lang w:val="en-US"/>
        </w:rPr>
        <w:t xml:space="preserve"> v </w:t>
      </w:r>
      <w:r w:rsidRPr="00412AA1">
        <w:rPr>
          <w:rFonts w:ascii="Times New Roman" w:hAnsi="Times New Roman" w:cs="Times New Roman"/>
          <w:i/>
          <w:iCs/>
          <w:sz w:val="24"/>
          <w:szCs w:val="24"/>
          <w:lang w:val="en-US"/>
        </w:rPr>
        <w:t>Moyo</w:t>
      </w:r>
      <w:r w:rsidRPr="00412AA1">
        <w:rPr>
          <w:rFonts w:ascii="Times New Roman" w:hAnsi="Times New Roman" w:cs="Times New Roman"/>
          <w:sz w:val="24"/>
          <w:szCs w:val="24"/>
          <w:lang w:val="en-US"/>
        </w:rPr>
        <w:t xml:space="preserve"> 1997(1) ZLR 254(S); </w:t>
      </w:r>
      <w:r w:rsidRPr="00412AA1">
        <w:rPr>
          <w:rFonts w:ascii="Times New Roman" w:hAnsi="Times New Roman" w:cs="Times New Roman"/>
          <w:i/>
          <w:iCs/>
          <w:sz w:val="24"/>
          <w:szCs w:val="24"/>
          <w:lang w:val="en-US"/>
        </w:rPr>
        <w:t>Maheya</w:t>
      </w:r>
      <w:r w:rsidRPr="00412AA1">
        <w:rPr>
          <w:rFonts w:ascii="Times New Roman" w:hAnsi="Times New Roman" w:cs="Times New Roman"/>
          <w:sz w:val="24"/>
          <w:szCs w:val="24"/>
          <w:lang w:val="en-US"/>
        </w:rPr>
        <w:t xml:space="preserve"> v </w:t>
      </w:r>
      <w:r w:rsidRPr="00412AA1">
        <w:rPr>
          <w:rFonts w:ascii="Times New Roman" w:hAnsi="Times New Roman" w:cs="Times New Roman"/>
          <w:i/>
          <w:iCs/>
          <w:sz w:val="24"/>
          <w:szCs w:val="24"/>
          <w:lang w:val="en-US"/>
        </w:rPr>
        <w:t>Independent African Church</w:t>
      </w:r>
      <w:r w:rsidRPr="00412AA1">
        <w:rPr>
          <w:rFonts w:ascii="Times New Roman" w:hAnsi="Times New Roman" w:cs="Times New Roman"/>
          <w:sz w:val="24"/>
          <w:szCs w:val="24"/>
          <w:lang w:val="en-US"/>
        </w:rPr>
        <w:t xml:space="preserve"> SC 58/07; </w:t>
      </w:r>
      <w:r w:rsidRPr="00412AA1">
        <w:rPr>
          <w:rFonts w:ascii="Times New Roman" w:hAnsi="Times New Roman" w:cs="Times New Roman"/>
          <w:i/>
          <w:iCs/>
          <w:sz w:val="24"/>
          <w:szCs w:val="24"/>
          <w:lang w:val="en-US"/>
        </w:rPr>
        <w:t>Paul Gary Friendship</w:t>
      </w:r>
      <w:r w:rsidRPr="00412AA1">
        <w:rPr>
          <w:rFonts w:ascii="Times New Roman" w:hAnsi="Times New Roman" w:cs="Times New Roman"/>
          <w:sz w:val="24"/>
          <w:szCs w:val="24"/>
          <w:lang w:val="en-US"/>
        </w:rPr>
        <w:t xml:space="preserve"> v </w:t>
      </w:r>
      <w:r w:rsidRPr="00412AA1">
        <w:rPr>
          <w:rFonts w:ascii="Times New Roman" w:hAnsi="Times New Roman" w:cs="Times New Roman"/>
          <w:i/>
          <w:iCs/>
          <w:sz w:val="24"/>
          <w:szCs w:val="24"/>
          <w:lang w:val="en-US"/>
        </w:rPr>
        <w:t>Cargo Carriers Limited &amp; Anor</w:t>
      </w:r>
      <w:r w:rsidRPr="00412AA1">
        <w:rPr>
          <w:rFonts w:ascii="Times New Roman" w:hAnsi="Times New Roman" w:cs="Times New Roman"/>
          <w:sz w:val="24"/>
          <w:szCs w:val="24"/>
          <w:lang w:val="en-US"/>
        </w:rPr>
        <w:t xml:space="preserve"> </w:t>
      </w:r>
      <w:r>
        <w:rPr>
          <w:rFonts w:ascii="Times New Roman" w:hAnsi="Times New Roman" w:cs="Times New Roman"/>
          <w:sz w:val="24"/>
          <w:szCs w:val="24"/>
          <w:lang w:val="en-US"/>
        </w:rPr>
        <w:t>S</w:t>
      </w:r>
      <w:r w:rsidRPr="00412AA1">
        <w:rPr>
          <w:rFonts w:ascii="Times New Roman" w:hAnsi="Times New Roman" w:cs="Times New Roman"/>
          <w:sz w:val="24"/>
          <w:szCs w:val="24"/>
          <w:lang w:val="en-US"/>
        </w:rPr>
        <w:t>C 1/13.</w:t>
      </w:r>
    </w:p>
    <w:p w14:paraId="3A1E32FB" w14:textId="3F0AD7E0" w:rsidR="00412AA1" w:rsidRDefault="00412AA1" w:rsidP="00DD6C8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was observed in the latter case, the list is not exhaustive.  See also </w:t>
      </w:r>
      <w:r w:rsidRPr="00DD6C8D">
        <w:rPr>
          <w:rFonts w:ascii="Times New Roman" w:hAnsi="Times New Roman" w:cs="Times New Roman"/>
          <w:i/>
          <w:iCs/>
          <w:sz w:val="24"/>
          <w:szCs w:val="24"/>
          <w:lang w:val="en-US"/>
        </w:rPr>
        <w:t>Chimeza and Anor</w:t>
      </w:r>
      <w:r>
        <w:rPr>
          <w:rFonts w:ascii="Times New Roman" w:hAnsi="Times New Roman" w:cs="Times New Roman"/>
          <w:sz w:val="24"/>
          <w:szCs w:val="24"/>
          <w:lang w:val="en-US"/>
        </w:rPr>
        <w:t xml:space="preserve"> v </w:t>
      </w:r>
      <w:r w:rsidRPr="00DD6C8D">
        <w:rPr>
          <w:rFonts w:ascii="Times New Roman" w:hAnsi="Times New Roman" w:cs="Times New Roman"/>
          <w:i/>
          <w:iCs/>
          <w:sz w:val="24"/>
          <w:szCs w:val="24"/>
          <w:lang w:val="en-US"/>
        </w:rPr>
        <w:t>Mangwana and Others</w:t>
      </w:r>
      <w:r>
        <w:rPr>
          <w:rFonts w:ascii="Times New Roman" w:hAnsi="Times New Roman" w:cs="Times New Roman"/>
          <w:sz w:val="24"/>
          <w:szCs w:val="24"/>
          <w:lang w:val="en-US"/>
        </w:rPr>
        <w:t xml:space="preserve"> HH 186/17 wherein </w:t>
      </w:r>
      <w:r w:rsidRPr="00DD6C8D">
        <w:rPr>
          <w:rFonts w:ascii="Times New Roman" w:hAnsi="Times New Roman" w:cs="Times New Roman"/>
          <w:smallCaps/>
          <w:sz w:val="24"/>
          <w:szCs w:val="24"/>
          <w:lang w:val="en-US"/>
        </w:rPr>
        <w:t>Dube J</w:t>
      </w:r>
      <w:r w:rsidR="00DD6C8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 noted the need to consider the factors cumulatively </w:t>
      </w:r>
      <w:r w:rsidR="00DD6C8D">
        <w:rPr>
          <w:rFonts w:ascii="Times New Roman" w:hAnsi="Times New Roman" w:cs="Times New Roman"/>
          <w:sz w:val="24"/>
          <w:szCs w:val="24"/>
          <w:lang w:val="en-US"/>
        </w:rPr>
        <w:t>to achieve fairness between the parties.</w:t>
      </w:r>
    </w:p>
    <w:p w14:paraId="1E088D09" w14:textId="0B4E8D63" w:rsidR="00DD6C8D" w:rsidRDefault="00DD6C8D" w:rsidP="00DD6C8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first respondent did not</w:t>
      </w:r>
      <w:r w:rsidR="00D23785">
        <w:rPr>
          <w:rFonts w:ascii="Times New Roman" w:hAnsi="Times New Roman" w:cs="Times New Roman"/>
          <w:sz w:val="24"/>
          <w:szCs w:val="24"/>
          <w:lang w:val="en-US"/>
        </w:rPr>
        <w:t xml:space="preserve"> op</w:t>
      </w:r>
      <w:r>
        <w:rPr>
          <w:rFonts w:ascii="Times New Roman" w:hAnsi="Times New Roman" w:cs="Times New Roman"/>
          <w:sz w:val="24"/>
          <w:szCs w:val="24"/>
          <w:lang w:val="en-US"/>
        </w:rPr>
        <w:t>pose this application.  The applicants explained the delay</w:t>
      </w:r>
      <w:r w:rsidR="00D23785">
        <w:rPr>
          <w:rFonts w:ascii="Times New Roman" w:hAnsi="Times New Roman" w:cs="Times New Roman"/>
          <w:sz w:val="24"/>
          <w:szCs w:val="24"/>
          <w:lang w:val="en-US"/>
        </w:rPr>
        <w:t xml:space="preserve"> in filing this application</w:t>
      </w:r>
      <w:r>
        <w:rPr>
          <w:rFonts w:ascii="Times New Roman" w:hAnsi="Times New Roman" w:cs="Times New Roman"/>
          <w:sz w:val="24"/>
          <w:szCs w:val="24"/>
          <w:lang w:val="en-US"/>
        </w:rPr>
        <w:t xml:space="preserve"> on the basis that after filing he initial application and it being heard on 20 July </w:t>
      </w:r>
      <w:r w:rsidR="00D23785">
        <w:rPr>
          <w:rFonts w:ascii="Times New Roman" w:hAnsi="Times New Roman" w:cs="Times New Roman"/>
          <w:sz w:val="24"/>
          <w:szCs w:val="24"/>
          <w:lang w:val="en-US"/>
        </w:rPr>
        <w:t>2021 judgment</w:t>
      </w:r>
      <w:r>
        <w:rPr>
          <w:rFonts w:ascii="Times New Roman" w:hAnsi="Times New Roman" w:cs="Times New Roman"/>
          <w:sz w:val="24"/>
          <w:szCs w:val="24"/>
          <w:lang w:val="en-US"/>
        </w:rPr>
        <w:t xml:space="preserve"> was delivered on 3 August 2022.  They averred that they then only became aware of the need to file a fresh application whereafter they filed the current condonation application on 24 August 2022.  They explain</w:t>
      </w:r>
      <w:r w:rsidR="00D23785">
        <w:rPr>
          <w:rFonts w:ascii="Times New Roman" w:hAnsi="Times New Roman" w:cs="Times New Roman"/>
          <w:sz w:val="24"/>
          <w:szCs w:val="24"/>
          <w:lang w:val="en-US"/>
        </w:rPr>
        <w:t>ed</w:t>
      </w:r>
      <w:r>
        <w:rPr>
          <w:rFonts w:ascii="Times New Roman" w:hAnsi="Times New Roman" w:cs="Times New Roman"/>
          <w:sz w:val="24"/>
          <w:szCs w:val="24"/>
          <w:lang w:val="en-US"/>
        </w:rPr>
        <w:t xml:space="preserve"> the delay from 3 August to 24 August 2022 on the basis that as the judgment was delivered just before the Heroes Holidays other applicants had travelled </w:t>
      </w:r>
      <w:r w:rsidR="00D23785">
        <w:rPr>
          <w:rFonts w:ascii="Times New Roman" w:hAnsi="Times New Roman" w:cs="Times New Roman"/>
          <w:sz w:val="24"/>
          <w:szCs w:val="24"/>
          <w:lang w:val="en-US"/>
        </w:rPr>
        <w:t xml:space="preserve">out of Harare </w:t>
      </w:r>
      <w:r>
        <w:rPr>
          <w:rFonts w:ascii="Times New Roman" w:hAnsi="Times New Roman" w:cs="Times New Roman"/>
          <w:sz w:val="24"/>
          <w:szCs w:val="24"/>
          <w:lang w:val="en-US"/>
        </w:rPr>
        <w:t xml:space="preserve">and the applicants could not come together until after the holidays to discuss </w:t>
      </w:r>
      <w:r w:rsidR="00D23785">
        <w:rPr>
          <w:rFonts w:ascii="Times New Roman" w:hAnsi="Times New Roman" w:cs="Times New Roman"/>
          <w:sz w:val="24"/>
          <w:szCs w:val="24"/>
          <w:lang w:val="en-US"/>
        </w:rPr>
        <w:t xml:space="preserve">their options </w:t>
      </w:r>
      <w:r>
        <w:rPr>
          <w:rFonts w:ascii="Times New Roman" w:hAnsi="Times New Roman" w:cs="Times New Roman"/>
          <w:sz w:val="24"/>
          <w:szCs w:val="24"/>
          <w:lang w:val="en-US"/>
        </w:rPr>
        <w:t>with legal practitioners and prepare this application.  They averred that they instructed legal practitioners to draft the papers on 19 August 2022.</w:t>
      </w:r>
    </w:p>
    <w:p w14:paraId="70BA7E17" w14:textId="32B5EC0E" w:rsidR="00DD6C8D" w:rsidRDefault="00DD6C8D" w:rsidP="00DD6C8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second respondent averred that the permit had been issued in 2011 and that the applicants had claimed to know about the permit.  It submitted that the delay had to be reckoned from that date and that therefore the delay was 11 years to 26 August 2022 when this </w:t>
      </w:r>
      <w:r>
        <w:rPr>
          <w:rFonts w:ascii="Times New Roman" w:hAnsi="Times New Roman" w:cs="Times New Roman"/>
          <w:sz w:val="24"/>
          <w:szCs w:val="24"/>
          <w:lang w:val="en-US"/>
        </w:rPr>
        <w:lastRenderedPageBreak/>
        <w:t xml:space="preserve">application was filed.  It was contended that the applicant had also filed an application for review </w:t>
      </w:r>
      <w:r w:rsidR="00D23785">
        <w:rPr>
          <w:rFonts w:ascii="Times New Roman" w:hAnsi="Times New Roman" w:cs="Times New Roman"/>
          <w:sz w:val="24"/>
          <w:szCs w:val="24"/>
          <w:lang w:val="en-US"/>
        </w:rPr>
        <w:t>to</w:t>
      </w:r>
      <w:r>
        <w:rPr>
          <w:rFonts w:ascii="Times New Roman" w:hAnsi="Times New Roman" w:cs="Times New Roman"/>
          <w:sz w:val="24"/>
          <w:szCs w:val="24"/>
          <w:lang w:val="en-US"/>
        </w:rPr>
        <w:t xml:space="preserve"> the Administrative Court in case no. HC 2229/19 but had withdrawn the application.  It appears to me that the court clearly condoned the delay and events that occurred prior to the condonation granted by </w:t>
      </w:r>
      <w:r w:rsidRPr="00DD6C8D">
        <w:rPr>
          <w:rFonts w:ascii="Times New Roman" w:hAnsi="Times New Roman" w:cs="Times New Roman"/>
          <w:smallCaps/>
          <w:sz w:val="24"/>
          <w:szCs w:val="24"/>
          <w:lang w:val="en-US"/>
        </w:rPr>
        <w:t>Munangati-Manongwa J</w:t>
      </w:r>
      <w:r>
        <w:rPr>
          <w:rFonts w:ascii="Times New Roman" w:hAnsi="Times New Roman" w:cs="Times New Roman"/>
          <w:sz w:val="24"/>
          <w:szCs w:val="24"/>
          <w:lang w:val="en-US"/>
        </w:rPr>
        <w:t>.  Th</w:t>
      </w:r>
      <w:r w:rsidR="00D23785">
        <w:rPr>
          <w:rFonts w:ascii="Times New Roman" w:hAnsi="Times New Roman" w:cs="Times New Roman"/>
          <w:sz w:val="24"/>
          <w:szCs w:val="24"/>
          <w:lang w:val="en-US"/>
        </w:rPr>
        <w:t>e</w:t>
      </w:r>
      <w:r>
        <w:rPr>
          <w:rFonts w:ascii="Times New Roman" w:hAnsi="Times New Roman" w:cs="Times New Roman"/>
          <w:sz w:val="24"/>
          <w:szCs w:val="24"/>
          <w:lang w:val="en-US"/>
        </w:rPr>
        <w:t xml:space="preserve"> second respondent’s counsel submitted that because the order of condonation by </w:t>
      </w:r>
      <w:r w:rsidRPr="00DD6C8D">
        <w:rPr>
          <w:rFonts w:ascii="Times New Roman" w:hAnsi="Times New Roman" w:cs="Times New Roman"/>
          <w:smallCaps/>
          <w:sz w:val="24"/>
          <w:szCs w:val="24"/>
          <w:lang w:val="en-US"/>
        </w:rPr>
        <w:t>Munangati-Manongwa J</w:t>
      </w:r>
      <w:r>
        <w:rPr>
          <w:rFonts w:ascii="Times New Roman" w:hAnsi="Times New Roman" w:cs="Times New Roman"/>
          <w:sz w:val="24"/>
          <w:szCs w:val="24"/>
          <w:lang w:val="en-US"/>
        </w:rPr>
        <w:t xml:space="preserve"> had lapsed by virtue of the striking off from the roll of the review application HC 5140/21 filed consequent on the condonation, the applicants had to be considered as not having complied with the order because the striking off from the roll of application HC 5140/21 rendered it a nullity and that a nullity begets a nullity.  The argument is ingenious.  Even if technically correct and I</w:t>
      </w:r>
      <w:r w:rsidR="006A0AB0">
        <w:rPr>
          <w:rFonts w:ascii="Times New Roman" w:hAnsi="Times New Roman" w:cs="Times New Roman"/>
          <w:sz w:val="24"/>
          <w:szCs w:val="24"/>
          <w:lang w:val="en-US"/>
        </w:rPr>
        <w:t xml:space="preserve"> make no determination on the correctness </w:t>
      </w:r>
      <w:r w:rsidR="00D23785">
        <w:rPr>
          <w:rFonts w:ascii="Times New Roman" w:hAnsi="Times New Roman" w:cs="Times New Roman"/>
          <w:sz w:val="24"/>
          <w:szCs w:val="24"/>
          <w:lang w:val="en-US"/>
        </w:rPr>
        <w:t>thereof, my</w:t>
      </w:r>
      <w:r w:rsidR="006A0AB0">
        <w:rPr>
          <w:rFonts w:ascii="Times New Roman" w:hAnsi="Times New Roman" w:cs="Times New Roman"/>
          <w:sz w:val="24"/>
          <w:szCs w:val="24"/>
          <w:lang w:val="en-US"/>
        </w:rPr>
        <w:t xml:space="preserve"> view is that the applicants did not sit on their laurels following the grant of the condonation.  They filed an application for review which, however, did not succeed.  The delay even if reckoned from the date of the condonation is accompanied by a reasonable explanation that the applicants acted on the order.  It cannot be gainsaid that the applicant remained active in pursuing their cause and continue to do so.  I also find that the explanation of the delay between 3 August 2022 when case no. HC 5140/21 was struck off the roll and the filing of this application was reasonable.  It was not denied by the second respondent that the judgment was delivered at a time when the Heroes Holiday was a day or two before the weekend which was followed by the Heroes Holiday which was on 8 August 2022.  That applicants had travelled for the holiday is probable.</w:t>
      </w:r>
    </w:p>
    <w:p w14:paraId="0CFBB90E" w14:textId="3B6B5A9B" w:rsidR="006A0AB0" w:rsidRDefault="006A0AB0" w:rsidP="00DD6C8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Therefore, in my judgment if the delay is reckoned from the date of the condonation order in case no. HC 9690/19, the parties agreed that the delay would be 15 months and 19 days to the filing of the application.  If such calculation be applied whilst</w:t>
      </w:r>
      <w:r w:rsidR="00D23785">
        <w:rPr>
          <w:rFonts w:ascii="Times New Roman" w:hAnsi="Times New Roman" w:cs="Times New Roman"/>
          <w:sz w:val="24"/>
          <w:szCs w:val="24"/>
          <w:lang w:val="en-US"/>
        </w:rPr>
        <w:t>,</w:t>
      </w:r>
      <w:r>
        <w:rPr>
          <w:rFonts w:ascii="Times New Roman" w:hAnsi="Times New Roman" w:cs="Times New Roman"/>
          <w:sz w:val="24"/>
          <w:szCs w:val="24"/>
          <w:lang w:val="en-US"/>
        </w:rPr>
        <w:t xml:space="preserve"> the period might appear to be an ordinate one, the applicant did not ignore the order.  If anything, it is in fact the applicant’s legal practitioners who were ignorant of the procedural law and filed a defective application.  It was not argued that this was a proper case to impute the ignorance of the legal practitioners upon the applicant.</w:t>
      </w:r>
    </w:p>
    <w:p w14:paraId="66F57FF7" w14:textId="43ECCDCD" w:rsidR="006A0AB0" w:rsidRDefault="006A0AB0" w:rsidP="00DD6C8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relation to the importance of the case, the applicants averred that the permit which they seek its setting aside on review was granted without the input of the applicants who did not desire to have a church as a neighbour.  They posited that the church would disturb them and would disturb the neighbourhood’s tranquil with all night services, sermons using microphones and speakers causing noise, weekend services and other activities which would disturb the peace in the neighbourhood.  The second respondent did not in the opposing affidavit deny that the case was of importance.  It only </w:t>
      </w:r>
      <w:r w:rsidR="00723865">
        <w:rPr>
          <w:rFonts w:ascii="Times New Roman" w:hAnsi="Times New Roman" w:cs="Times New Roman"/>
          <w:sz w:val="24"/>
          <w:szCs w:val="24"/>
          <w:lang w:val="en-US"/>
        </w:rPr>
        <w:t xml:space="preserve">averred </w:t>
      </w:r>
      <w:r w:rsidR="00D23785">
        <w:rPr>
          <w:rFonts w:ascii="Times New Roman" w:hAnsi="Times New Roman" w:cs="Times New Roman"/>
          <w:sz w:val="24"/>
          <w:szCs w:val="24"/>
          <w:lang w:val="en-US"/>
        </w:rPr>
        <w:t>i</w:t>
      </w:r>
      <w:r w:rsidR="00723865">
        <w:rPr>
          <w:rFonts w:ascii="Times New Roman" w:hAnsi="Times New Roman" w:cs="Times New Roman"/>
          <w:sz w:val="24"/>
          <w:szCs w:val="24"/>
          <w:lang w:val="en-US"/>
        </w:rPr>
        <w:t xml:space="preserve">n that regard that due process </w:t>
      </w:r>
      <w:r w:rsidR="00723865">
        <w:rPr>
          <w:rFonts w:ascii="Times New Roman" w:hAnsi="Times New Roman" w:cs="Times New Roman"/>
          <w:sz w:val="24"/>
          <w:szCs w:val="24"/>
          <w:lang w:val="en-US"/>
        </w:rPr>
        <w:lastRenderedPageBreak/>
        <w:t>had been followed and that the existence of the church would not infringe on the applicants’ rights to dignity.  In my judgment the dispute is of importance</w:t>
      </w:r>
      <w:r w:rsidR="00D23785">
        <w:rPr>
          <w:rFonts w:ascii="Times New Roman" w:hAnsi="Times New Roman" w:cs="Times New Roman"/>
          <w:sz w:val="24"/>
          <w:szCs w:val="24"/>
          <w:lang w:val="en-US"/>
        </w:rPr>
        <w:t>.</w:t>
      </w:r>
      <w:r w:rsidR="00723865">
        <w:rPr>
          <w:rFonts w:ascii="Times New Roman" w:hAnsi="Times New Roman" w:cs="Times New Roman"/>
          <w:sz w:val="24"/>
          <w:szCs w:val="24"/>
          <w:lang w:val="en-US"/>
        </w:rPr>
        <w:t xml:space="preserve"> </w:t>
      </w:r>
      <w:r w:rsidR="00D23785">
        <w:rPr>
          <w:rFonts w:ascii="Times New Roman" w:hAnsi="Times New Roman" w:cs="Times New Roman"/>
          <w:sz w:val="24"/>
          <w:szCs w:val="24"/>
          <w:lang w:val="en-US"/>
        </w:rPr>
        <w:t xml:space="preserve"> I</w:t>
      </w:r>
      <w:r w:rsidR="00723865">
        <w:rPr>
          <w:rFonts w:ascii="Times New Roman" w:hAnsi="Times New Roman" w:cs="Times New Roman"/>
          <w:sz w:val="24"/>
          <w:szCs w:val="24"/>
          <w:lang w:val="en-US"/>
        </w:rPr>
        <w:t>t revolves upon a town planning issue which ought to have been dealt with in terms of legislated law.  The law must be shown to have been followed.</w:t>
      </w:r>
    </w:p>
    <w:p w14:paraId="54CBF351" w14:textId="0C13DE12" w:rsidR="00723865" w:rsidRDefault="00723865" w:rsidP="00DD6C8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 prospects of success on review, there was sustained argument on that issue.  I must, however, be careful not to </w:t>
      </w:r>
      <w:r w:rsidR="00D23785">
        <w:rPr>
          <w:rFonts w:ascii="Times New Roman" w:hAnsi="Times New Roman" w:cs="Times New Roman"/>
          <w:sz w:val="24"/>
          <w:szCs w:val="24"/>
          <w:lang w:val="en-US"/>
        </w:rPr>
        <w:t>fetter</w:t>
      </w:r>
      <w:r>
        <w:rPr>
          <w:rFonts w:ascii="Times New Roman" w:hAnsi="Times New Roman" w:cs="Times New Roman"/>
          <w:sz w:val="24"/>
          <w:szCs w:val="24"/>
          <w:lang w:val="en-US"/>
        </w:rPr>
        <w:t xml:space="preserve"> or compromise the review application to be filed should condonation be </w:t>
      </w:r>
      <w:r w:rsidR="00D23785">
        <w:rPr>
          <w:rFonts w:ascii="Times New Roman" w:hAnsi="Times New Roman" w:cs="Times New Roman"/>
          <w:sz w:val="24"/>
          <w:szCs w:val="24"/>
          <w:lang w:val="en-US"/>
        </w:rPr>
        <w:t xml:space="preserve">granted by </w:t>
      </w:r>
      <w:r>
        <w:rPr>
          <w:rFonts w:ascii="Times New Roman" w:hAnsi="Times New Roman" w:cs="Times New Roman"/>
          <w:sz w:val="24"/>
          <w:szCs w:val="24"/>
          <w:lang w:val="en-US"/>
        </w:rPr>
        <w:t xml:space="preserve">determining the veracity of the defences proferred by the applicants.  It should be kept in mind that the court previously granted condonation.  Condonation would have been granted upon a consideration of the same factors which the law provides as necessary to take into account.  Certainly it would be ludicrous to ask the same court to make a different finding on the issue of prospects of success of the applicant in the proposed rescission </w:t>
      </w:r>
      <w:r w:rsidR="00D23785">
        <w:rPr>
          <w:rFonts w:ascii="Times New Roman" w:hAnsi="Times New Roman" w:cs="Times New Roman"/>
          <w:sz w:val="24"/>
          <w:szCs w:val="24"/>
          <w:lang w:val="en-US"/>
        </w:rPr>
        <w:t xml:space="preserve">application </w:t>
      </w:r>
      <w:r>
        <w:rPr>
          <w:rFonts w:ascii="Times New Roman" w:hAnsi="Times New Roman" w:cs="Times New Roman"/>
          <w:sz w:val="24"/>
          <w:szCs w:val="24"/>
          <w:lang w:val="en-US"/>
        </w:rPr>
        <w:t>in the absence of new facts that impact on prospects of success having arisen.  That issue was settled.</w:t>
      </w:r>
    </w:p>
    <w:p w14:paraId="69DB42F9" w14:textId="713B1E85" w:rsidR="00723865" w:rsidRDefault="00723865" w:rsidP="00DD6C8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applicant’s case is based upon the alleged irregularity of how the first and second respondents dealt with the process of giving interested parties </w:t>
      </w:r>
      <w:r w:rsidR="00D23785">
        <w:rPr>
          <w:rFonts w:ascii="Times New Roman" w:hAnsi="Times New Roman" w:cs="Times New Roman"/>
          <w:sz w:val="24"/>
          <w:szCs w:val="24"/>
          <w:lang w:val="en-US"/>
        </w:rPr>
        <w:t xml:space="preserve">notice </w:t>
      </w:r>
      <w:r>
        <w:rPr>
          <w:rFonts w:ascii="Times New Roman" w:hAnsi="Times New Roman" w:cs="Times New Roman"/>
          <w:sz w:val="24"/>
          <w:szCs w:val="24"/>
          <w:lang w:val="en-US"/>
        </w:rPr>
        <w:t xml:space="preserve">as defined in the Regional Town and Country Planning Act for them to file any objection to the issuance of a permit for change of use of Stand 946 aforesaid from residential to a church.  In particular the applicants seek </w:t>
      </w:r>
      <w:r w:rsidR="00AA050B">
        <w:rPr>
          <w:rFonts w:ascii="Times New Roman" w:hAnsi="Times New Roman" w:cs="Times New Roman"/>
          <w:sz w:val="24"/>
          <w:szCs w:val="24"/>
          <w:lang w:val="en-US"/>
        </w:rPr>
        <w:t xml:space="preserve">to argue that apart from their not having been given by the second respondent’s notification of the intention to apply for a permit for change of use, the notice was </w:t>
      </w:r>
      <w:r w:rsidR="00D23785">
        <w:rPr>
          <w:rFonts w:ascii="Times New Roman" w:hAnsi="Times New Roman" w:cs="Times New Roman"/>
          <w:sz w:val="24"/>
          <w:szCs w:val="24"/>
          <w:lang w:val="en-US"/>
        </w:rPr>
        <w:t xml:space="preserve">not shown to have been </w:t>
      </w:r>
      <w:r w:rsidR="00AA050B">
        <w:rPr>
          <w:rFonts w:ascii="Times New Roman" w:hAnsi="Times New Roman" w:cs="Times New Roman"/>
          <w:sz w:val="24"/>
          <w:szCs w:val="24"/>
          <w:lang w:val="en-US"/>
        </w:rPr>
        <w:t xml:space="preserve">delivered by registered post nor was there publication made in the Government Gazette.  The applicants averred that the publication of the notice in the Herald Newspaper did not comply with the requirement that notice should be published in a newspaper that circulates in the area.  They averred that the Herald Newspaper did not circulate in the area in issue.  In relation to the validity of the postal service, the second respondents counsel conceded that service of the notice by registered post could not be said to have been proved after considering the judgment of this court in </w:t>
      </w:r>
      <w:r w:rsidR="00AA050B" w:rsidRPr="00AA050B">
        <w:rPr>
          <w:rFonts w:ascii="Times New Roman" w:hAnsi="Times New Roman" w:cs="Times New Roman"/>
          <w:i/>
          <w:iCs/>
          <w:sz w:val="24"/>
          <w:szCs w:val="24"/>
          <w:lang w:val="en-US"/>
        </w:rPr>
        <w:t xml:space="preserve">Nyakudya </w:t>
      </w:r>
      <w:r w:rsidR="00AA050B">
        <w:rPr>
          <w:rFonts w:ascii="Times New Roman" w:hAnsi="Times New Roman" w:cs="Times New Roman"/>
          <w:sz w:val="24"/>
          <w:szCs w:val="24"/>
          <w:lang w:val="en-US"/>
        </w:rPr>
        <w:t xml:space="preserve">v </w:t>
      </w:r>
      <w:r w:rsidR="00AA050B" w:rsidRPr="00AA050B">
        <w:rPr>
          <w:rFonts w:ascii="Times New Roman" w:hAnsi="Times New Roman" w:cs="Times New Roman"/>
          <w:i/>
          <w:iCs/>
          <w:sz w:val="24"/>
          <w:szCs w:val="24"/>
          <w:lang w:val="en-US"/>
        </w:rPr>
        <w:t>Vibranium Resources (Pvt) Ltd</w:t>
      </w:r>
      <w:r w:rsidR="00AA050B">
        <w:rPr>
          <w:rFonts w:ascii="Times New Roman" w:hAnsi="Times New Roman" w:cs="Times New Roman"/>
          <w:sz w:val="24"/>
          <w:szCs w:val="24"/>
          <w:lang w:val="en-US"/>
        </w:rPr>
        <w:t xml:space="preserve"> which sets out the mode of providing service of documents and process by registered post.</w:t>
      </w:r>
    </w:p>
    <w:p w14:paraId="1E7A834F" w14:textId="08E16214" w:rsidR="00AA050B" w:rsidRDefault="00AA050B" w:rsidP="00DD6C8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Counsel also addressed the issue of whether in terms of s 26(3) of the Regional Country and Planning Act it would be compliant with the provisions of the Act not to publish the notice in the Government Gazette and only publish it in the newspaper as was done in this case.  Counsel filed supplementary heads of argument dealing with the interpretation of s 26(3)(4) of the Regional Town and Country Act which requires that where the owner of a property seeks a permit for change of use of the property, the owner should inter-alia give public notice of the </w:t>
      </w:r>
      <w:r>
        <w:rPr>
          <w:rFonts w:ascii="Times New Roman" w:hAnsi="Times New Roman" w:cs="Times New Roman"/>
          <w:sz w:val="24"/>
          <w:szCs w:val="24"/>
          <w:lang w:val="en-US"/>
        </w:rPr>
        <w:lastRenderedPageBreak/>
        <w:t>application.  The second respondent averred that it published the notice in the Herald Newspaper.  The applicant averred that the section in question required that the notice ought to also have been published in the Government Gazette.  The parties joined issue on the interpretation.  Section 26(3)(4) reads:</w:t>
      </w:r>
    </w:p>
    <w:p w14:paraId="497C513D" w14:textId="656FD167" w:rsidR="00657D6D" w:rsidRDefault="00657D6D" w:rsidP="00657D6D">
      <w:pPr>
        <w:spacing w:after="0" w:line="240" w:lineRule="auto"/>
        <w:ind w:left="720"/>
        <w:jc w:val="both"/>
        <w:rPr>
          <w:rFonts w:ascii="Times New Roman" w:hAnsi="Times New Roman" w:cs="Times New Roman"/>
          <w:lang w:val="en-US"/>
        </w:rPr>
      </w:pPr>
      <w:r>
        <w:rPr>
          <w:rFonts w:ascii="Times New Roman" w:hAnsi="Times New Roman" w:cs="Times New Roman"/>
          <w:sz w:val="24"/>
          <w:szCs w:val="24"/>
          <w:lang w:val="en-US"/>
        </w:rPr>
        <w:t>“</w:t>
      </w:r>
      <w:r w:rsidRPr="00657D6D">
        <w:rPr>
          <w:rFonts w:ascii="Times New Roman" w:hAnsi="Times New Roman" w:cs="Times New Roman"/>
          <w:lang w:val="en-US"/>
        </w:rPr>
        <w:t>The local planning authority shall require the applicant at his own expense, to give public notice of the application and to serve notice of the application on every owner of property adjacent to the land to which the application relates and such owners as the local planning authority may direct and to submit proof that such notice has been given.”</w:t>
      </w:r>
    </w:p>
    <w:p w14:paraId="2A6AFCC5" w14:textId="77777777" w:rsidR="00657D6D" w:rsidRDefault="00657D6D" w:rsidP="00657D6D">
      <w:pPr>
        <w:spacing w:after="0" w:line="240" w:lineRule="auto"/>
        <w:ind w:left="720"/>
        <w:jc w:val="both"/>
        <w:rPr>
          <w:rFonts w:ascii="Times New Roman" w:hAnsi="Times New Roman" w:cs="Times New Roman"/>
          <w:sz w:val="24"/>
          <w:szCs w:val="24"/>
          <w:lang w:val="en-US"/>
        </w:rPr>
      </w:pPr>
    </w:p>
    <w:p w14:paraId="15EA4EB4" w14:textId="144A79BD" w:rsidR="00657D6D" w:rsidRDefault="00657D6D" w:rsidP="00657D6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second </w:t>
      </w:r>
      <w:r w:rsidR="00AA2E87">
        <w:rPr>
          <w:rFonts w:ascii="Times New Roman" w:hAnsi="Times New Roman" w:cs="Times New Roman"/>
          <w:sz w:val="24"/>
          <w:szCs w:val="24"/>
          <w:lang w:val="en-US"/>
        </w:rPr>
        <w:t xml:space="preserve">respondent </w:t>
      </w:r>
      <w:r>
        <w:rPr>
          <w:rFonts w:ascii="Times New Roman" w:hAnsi="Times New Roman" w:cs="Times New Roman"/>
          <w:sz w:val="24"/>
          <w:szCs w:val="24"/>
          <w:lang w:val="en-US"/>
        </w:rPr>
        <w:t>submitted that the section was permissive of publication in the local newspaper only without publication in the Government Gazette.  The applicant contended that the section permitted publication as peremptory in the Government Gazette with option to additionally publish the notice in a local newspaper.  The parties filed additional heads of argument on the point of departure in interpretation.  I considered the heads of argument and oral submissions and came to the conclusion that the matter of the correct interpretation is reasonably arguable.  I have my position on it.  I will not say it.  The court hearing the review application should I grant condonation shall answer that.  It suffices for purposes of considering prospect of success that the view I have formed is that the argument</w:t>
      </w:r>
      <w:r w:rsidR="00AA2E87">
        <w:rPr>
          <w:rFonts w:ascii="Times New Roman" w:hAnsi="Times New Roman" w:cs="Times New Roman"/>
          <w:sz w:val="24"/>
          <w:szCs w:val="24"/>
          <w:lang w:val="en-US"/>
        </w:rPr>
        <w:t>s</w:t>
      </w:r>
      <w:r>
        <w:rPr>
          <w:rFonts w:ascii="Times New Roman" w:hAnsi="Times New Roman" w:cs="Times New Roman"/>
          <w:sz w:val="24"/>
          <w:szCs w:val="24"/>
          <w:lang w:val="en-US"/>
        </w:rPr>
        <w:t xml:space="preserve"> raised </w:t>
      </w:r>
      <w:r w:rsidR="00AA2E87">
        <w:rPr>
          <w:rFonts w:ascii="Times New Roman" w:hAnsi="Times New Roman" w:cs="Times New Roman"/>
          <w:sz w:val="24"/>
          <w:szCs w:val="24"/>
          <w:lang w:val="en-US"/>
        </w:rPr>
        <w:t>are not</w:t>
      </w:r>
      <w:r>
        <w:rPr>
          <w:rFonts w:ascii="Times New Roman" w:hAnsi="Times New Roman" w:cs="Times New Roman"/>
          <w:sz w:val="24"/>
          <w:szCs w:val="24"/>
          <w:lang w:val="en-US"/>
        </w:rPr>
        <w:t xml:space="preserve"> frivolous.</w:t>
      </w:r>
    </w:p>
    <w:p w14:paraId="7359B84E" w14:textId="7E031C18" w:rsidR="00657D6D" w:rsidRDefault="00657D6D" w:rsidP="00657D6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relation to the convenience of the court and the need to have finality to litigation, the convenience of the court and the need for finality to litigation must in my view be considered against the backdrop of what the interests of justice dec</w:t>
      </w:r>
      <w:r w:rsidR="00AA2E87">
        <w:rPr>
          <w:rFonts w:ascii="Times New Roman" w:hAnsi="Times New Roman" w:cs="Times New Roman"/>
          <w:sz w:val="24"/>
          <w:szCs w:val="24"/>
          <w:lang w:val="en-US"/>
        </w:rPr>
        <w:t>tate</w:t>
      </w:r>
      <w:r>
        <w:rPr>
          <w:rFonts w:ascii="Times New Roman" w:hAnsi="Times New Roman" w:cs="Times New Roman"/>
          <w:sz w:val="24"/>
          <w:szCs w:val="24"/>
          <w:lang w:val="en-US"/>
        </w:rPr>
        <w:t xml:space="preserve"> in every case.  In the case of </w:t>
      </w:r>
      <w:r w:rsidRPr="000D23EF">
        <w:rPr>
          <w:rFonts w:ascii="Times New Roman" w:hAnsi="Times New Roman" w:cs="Times New Roman"/>
          <w:i/>
          <w:iCs/>
          <w:sz w:val="24"/>
          <w:szCs w:val="24"/>
          <w:lang w:val="en-US"/>
        </w:rPr>
        <w:t>Bessie</w:t>
      </w:r>
      <w:r>
        <w:rPr>
          <w:rFonts w:ascii="Times New Roman" w:hAnsi="Times New Roman" w:cs="Times New Roman"/>
          <w:sz w:val="24"/>
          <w:szCs w:val="24"/>
          <w:lang w:val="en-US"/>
        </w:rPr>
        <w:t xml:space="preserve"> v </w:t>
      </w:r>
      <w:r w:rsidRPr="000D23EF">
        <w:rPr>
          <w:rFonts w:ascii="Times New Roman" w:hAnsi="Times New Roman" w:cs="Times New Roman"/>
          <w:i/>
          <w:iCs/>
          <w:sz w:val="24"/>
          <w:szCs w:val="24"/>
          <w:lang w:val="en-US"/>
        </w:rPr>
        <w:t xml:space="preserve">Maheya </w:t>
      </w:r>
      <w:r>
        <w:rPr>
          <w:rFonts w:ascii="Times New Roman" w:hAnsi="Times New Roman" w:cs="Times New Roman"/>
          <w:sz w:val="24"/>
          <w:szCs w:val="24"/>
          <w:lang w:val="en-US"/>
        </w:rPr>
        <w:t xml:space="preserve">v Independent African Church SC 58/07, a judgment of Malaba JA (as he then was) the point is made that whether or not to grant condonation is a judicial discretion to be exercised judicially after </w:t>
      </w:r>
      <w:r w:rsidR="00AA2E87">
        <w:rPr>
          <w:rFonts w:ascii="Times New Roman" w:hAnsi="Times New Roman" w:cs="Times New Roman"/>
          <w:sz w:val="24"/>
          <w:szCs w:val="24"/>
          <w:lang w:val="en-US"/>
        </w:rPr>
        <w:t>tak</w:t>
      </w:r>
      <w:r>
        <w:rPr>
          <w:rFonts w:ascii="Times New Roman" w:hAnsi="Times New Roman" w:cs="Times New Roman"/>
          <w:sz w:val="24"/>
          <w:szCs w:val="24"/>
          <w:lang w:val="en-US"/>
        </w:rPr>
        <w:t xml:space="preserve">ing into account all pertinent facts bearing in mind that the </w:t>
      </w:r>
      <w:r w:rsidR="00D23785">
        <w:rPr>
          <w:rFonts w:ascii="Times New Roman" w:hAnsi="Times New Roman" w:cs="Times New Roman"/>
          <w:sz w:val="24"/>
          <w:szCs w:val="24"/>
          <w:lang w:val="en-US"/>
        </w:rPr>
        <w:t>court “</w:t>
      </w:r>
      <w:r w:rsidR="000D23EF">
        <w:rPr>
          <w:rFonts w:ascii="Times New Roman" w:hAnsi="Times New Roman" w:cs="Times New Roman"/>
          <w:sz w:val="24"/>
          <w:szCs w:val="24"/>
          <w:lang w:val="en-US"/>
        </w:rPr>
        <w:t xml:space="preserve">has to do justice” between the parties.  The same point is made in the case of </w:t>
      </w:r>
      <w:r w:rsidR="000D23EF" w:rsidRPr="000D23EF">
        <w:rPr>
          <w:rFonts w:ascii="Times New Roman" w:hAnsi="Times New Roman" w:cs="Times New Roman"/>
          <w:i/>
          <w:iCs/>
          <w:sz w:val="24"/>
          <w:szCs w:val="24"/>
          <w:lang w:val="en-US"/>
        </w:rPr>
        <w:t>Kodzwa</w:t>
      </w:r>
      <w:r w:rsidR="000D23EF">
        <w:rPr>
          <w:rFonts w:ascii="Times New Roman" w:hAnsi="Times New Roman" w:cs="Times New Roman"/>
          <w:sz w:val="24"/>
          <w:szCs w:val="24"/>
          <w:lang w:val="en-US"/>
        </w:rPr>
        <w:t xml:space="preserve"> v </w:t>
      </w:r>
      <w:r w:rsidR="000D23EF" w:rsidRPr="000D23EF">
        <w:rPr>
          <w:rFonts w:ascii="Times New Roman" w:hAnsi="Times New Roman" w:cs="Times New Roman"/>
          <w:i/>
          <w:iCs/>
          <w:sz w:val="24"/>
          <w:szCs w:val="24"/>
          <w:lang w:val="en-US"/>
        </w:rPr>
        <w:t>Secretary for Health and Anor</w:t>
      </w:r>
      <w:r w:rsidR="000D23EF">
        <w:rPr>
          <w:rFonts w:ascii="Times New Roman" w:hAnsi="Times New Roman" w:cs="Times New Roman"/>
          <w:sz w:val="24"/>
          <w:szCs w:val="24"/>
          <w:lang w:val="en-US"/>
        </w:rPr>
        <w:t xml:space="preserve"> 1999(1) ZLR 313(S) where inter-alia it is stated at p 315B, quoting Herbstein &amp; Van Winsen: </w:t>
      </w:r>
      <w:r w:rsidR="000D23EF" w:rsidRPr="000D23EF">
        <w:rPr>
          <w:rFonts w:ascii="Times New Roman" w:hAnsi="Times New Roman" w:cs="Times New Roman"/>
          <w:i/>
          <w:iCs/>
          <w:sz w:val="24"/>
          <w:szCs w:val="24"/>
          <w:lang w:val="en-US"/>
        </w:rPr>
        <w:t>The Civil Practice of the Supreme Court of South Africa 4</w:t>
      </w:r>
      <w:r w:rsidR="000D23EF" w:rsidRPr="000D23EF">
        <w:rPr>
          <w:rFonts w:ascii="Times New Roman" w:hAnsi="Times New Roman" w:cs="Times New Roman"/>
          <w:i/>
          <w:iCs/>
          <w:sz w:val="24"/>
          <w:szCs w:val="24"/>
          <w:vertAlign w:val="superscript"/>
          <w:lang w:val="en-US"/>
        </w:rPr>
        <w:t>th</w:t>
      </w:r>
      <w:r w:rsidR="000D23EF" w:rsidRPr="000D23EF">
        <w:rPr>
          <w:rFonts w:ascii="Times New Roman" w:hAnsi="Times New Roman" w:cs="Times New Roman"/>
          <w:i/>
          <w:iCs/>
          <w:sz w:val="24"/>
          <w:szCs w:val="24"/>
          <w:lang w:val="en-US"/>
        </w:rPr>
        <w:t xml:space="preserve"> Edition</w:t>
      </w:r>
      <w:r w:rsidR="000D23EF">
        <w:rPr>
          <w:rFonts w:ascii="Times New Roman" w:hAnsi="Times New Roman" w:cs="Times New Roman"/>
          <w:sz w:val="24"/>
          <w:szCs w:val="24"/>
          <w:lang w:val="en-US"/>
        </w:rPr>
        <w:t xml:space="preserve"> at p 897 concerning condonation of non-observance of court rules:</w:t>
      </w:r>
    </w:p>
    <w:p w14:paraId="246AD20C" w14:textId="60EC0C77" w:rsidR="000D23EF" w:rsidRDefault="000D23EF" w:rsidP="000D23EF">
      <w:pPr>
        <w:spacing w:after="0" w:line="240" w:lineRule="auto"/>
        <w:ind w:left="720"/>
        <w:jc w:val="both"/>
        <w:rPr>
          <w:rFonts w:ascii="Times New Roman" w:hAnsi="Times New Roman" w:cs="Times New Roman"/>
          <w:lang w:val="en-US"/>
        </w:rPr>
      </w:pPr>
      <w:r w:rsidRPr="000D23EF">
        <w:rPr>
          <w:rFonts w:ascii="Times New Roman" w:hAnsi="Times New Roman" w:cs="Times New Roman"/>
          <w:lang w:val="en-US"/>
        </w:rPr>
        <w:t>“… in determining whether sufficient cause has been shown, the basic principles is that the court has a discretion to be exercised judicially upon a consideration of all facts and in essence, it is a matter of fairness to both sides in which the court will endeavour to reach a conclusion that will be in the best interests of justice ….”</w:t>
      </w:r>
    </w:p>
    <w:p w14:paraId="5AA71B41" w14:textId="77777777" w:rsidR="000D23EF" w:rsidRPr="000D23EF" w:rsidRDefault="000D23EF" w:rsidP="000D23EF">
      <w:pPr>
        <w:spacing w:after="0" w:line="240" w:lineRule="auto"/>
        <w:ind w:left="720"/>
        <w:jc w:val="both"/>
        <w:rPr>
          <w:rFonts w:ascii="Times New Roman" w:hAnsi="Times New Roman" w:cs="Times New Roman"/>
          <w:lang w:val="en-US"/>
        </w:rPr>
      </w:pPr>
    </w:p>
    <w:p w14:paraId="07600E1D" w14:textId="6E0402A1" w:rsidR="000D23EF" w:rsidRDefault="000D23EF" w:rsidP="000D23E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follows that if what is in the best interests of justice is what is sought to be realized in such applications then the convenience of the court should be considered in the light of the fact that such convenience must not result in an injustice being suffered by either of parties.  Equally the need for finality to litigation must not overshadow the basic goal of the court which </w:t>
      </w:r>
      <w:r>
        <w:rPr>
          <w:rFonts w:ascii="Times New Roman" w:hAnsi="Times New Roman" w:cs="Times New Roman"/>
          <w:sz w:val="24"/>
          <w:szCs w:val="24"/>
          <w:lang w:val="en-US"/>
        </w:rPr>
        <w:lastRenderedPageBreak/>
        <w:t>is to do justice between the parties.  It is in any event a known principle of procedural law that rules of court are made for the court’s convenience and not for the convenience of the litigants.  The court in the exercise of its judicial discretion thus condones the non-observance of its rules to achieve the best interests of justice.</w:t>
      </w:r>
    </w:p>
    <w:p w14:paraId="2AE5BBBF" w14:textId="4B33862C" w:rsidR="000D23EF" w:rsidRDefault="000D23EF" w:rsidP="000D23E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Being so guided, I come to the conclusion that it is in the best interests of justice to grant condonation.  The delay has been satisfactorily explained.  There are reasonable prospects of succes</w:t>
      </w:r>
      <w:r w:rsidR="00B91654">
        <w:rPr>
          <w:rFonts w:ascii="Times New Roman" w:hAnsi="Times New Roman" w:cs="Times New Roman"/>
          <w:sz w:val="24"/>
          <w:szCs w:val="24"/>
          <w:lang w:val="en-US"/>
        </w:rPr>
        <w:t>s of the applicants’ proposed review application which has been prepared and is ready of filing upon the grant of condonation succeeding</w:t>
      </w:r>
      <w:r w:rsidR="00AA2E87">
        <w:rPr>
          <w:rFonts w:ascii="Times New Roman" w:hAnsi="Times New Roman" w:cs="Times New Roman"/>
          <w:sz w:val="24"/>
          <w:szCs w:val="24"/>
          <w:lang w:val="en-US"/>
        </w:rPr>
        <w:t xml:space="preserve">. </w:t>
      </w:r>
      <w:r w:rsidR="00B91654">
        <w:rPr>
          <w:rFonts w:ascii="Times New Roman" w:hAnsi="Times New Roman" w:cs="Times New Roman"/>
          <w:sz w:val="24"/>
          <w:szCs w:val="24"/>
          <w:lang w:val="en-US"/>
        </w:rPr>
        <w:t xml:space="preserve"> </w:t>
      </w:r>
      <w:r w:rsidR="00AA2E87">
        <w:rPr>
          <w:rFonts w:ascii="Times New Roman" w:hAnsi="Times New Roman" w:cs="Times New Roman"/>
          <w:sz w:val="24"/>
          <w:szCs w:val="24"/>
          <w:lang w:val="en-US"/>
        </w:rPr>
        <w:t>W</w:t>
      </w:r>
      <w:r w:rsidR="00B91654">
        <w:rPr>
          <w:rFonts w:ascii="Times New Roman" w:hAnsi="Times New Roman" w:cs="Times New Roman"/>
          <w:sz w:val="24"/>
          <w:szCs w:val="24"/>
          <w:lang w:val="en-US"/>
        </w:rPr>
        <w:t>hilst accepting that the second respondent has an interest in the finality of litigation, I have considered that the issue for determination is a matter of importance as it involves the exercise of the rights to enjoy property and to ensure that the rights are exercised in terms of legislated law.  A court of law does not condone a statutory violation in the absence of the violated statute giving the court the right to condone the violations involved.  The matter involves compliance with Town Planning law which if not followed may lead to chaos as land owners may willy-nilly change purpose</w:t>
      </w:r>
      <w:r w:rsidR="00AA2E87">
        <w:rPr>
          <w:rFonts w:ascii="Times New Roman" w:hAnsi="Times New Roman" w:cs="Times New Roman"/>
          <w:sz w:val="24"/>
          <w:szCs w:val="24"/>
          <w:lang w:val="en-US"/>
        </w:rPr>
        <w:t>s or wages</w:t>
      </w:r>
      <w:r w:rsidR="00B91654">
        <w:rPr>
          <w:rFonts w:ascii="Times New Roman" w:hAnsi="Times New Roman" w:cs="Times New Roman"/>
          <w:sz w:val="24"/>
          <w:szCs w:val="24"/>
          <w:lang w:val="en-US"/>
        </w:rPr>
        <w:t xml:space="preserve"> for which their properties are zoned without a lawful and transparent as required by the parent act being followed.  The convenience of the court has been considered and the decision reached that the court’s convenience by whatever name it can be described exists within the precincts of what the court is created for</w:t>
      </w:r>
      <w:r w:rsidR="00AA2E87">
        <w:rPr>
          <w:rFonts w:ascii="Times New Roman" w:hAnsi="Times New Roman" w:cs="Times New Roman"/>
          <w:sz w:val="24"/>
          <w:szCs w:val="24"/>
          <w:lang w:val="en-US"/>
        </w:rPr>
        <w:t xml:space="preserve"> which is</w:t>
      </w:r>
      <w:r w:rsidR="00B91654">
        <w:rPr>
          <w:rFonts w:ascii="Times New Roman" w:hAnsi="Times New Roman" w:cs="Times New Roman"/>
          <w:sz w:val="24"/>
          <w:szCs w:val="24"/>
          <w:lang w:val="en-US"/>
        </w:rPr>
        <w:t xml:space="preserve"> to ensure that the best interests of justice being paramount are protected and promoted.</w:t>
      </w:r>
    </w:p>
    <w:p w14:paraId="7300DFBC" w14:textId="4C1969FC" w:rsidR="00B91654" w:rsidRDefault="00B91654" w:rsidP="000D23E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the result, the following order shall issue:</w:t>
      </w:r>
    </w:p>
    <w:p w14:paraId="0603D100" w14:textId="2E69F0B2" w:rsidR="00B91654" w:rsidRPr="00B91654" w:rsidRDefault="00B91654" w:rsidP="00B91654">
      <w:pPr>
        <w:pStyle w:val="ListParagraph"/>
        <w:numPr>
          <w:ilvl w:val="0"/>
          <w:numId w:val="4"/>
        </w:numPr>
        <w:spacing w:after="0" w:line="360" w:lineRule="auto"/>
        <w:jc w:val="both"/>
        <w:rPr>
          <w:rFonts w:ascii="Times New Roman" w:hAnsi="Times New Roman" w:cs="Times New Roman"/>
          <w:sz w:val="24"/>
          <w:szCs w:val="24"/>
          <w:lang w:val="en-US"/>
        </w:rPr>
      </w:pPr>
      <w:r w:rsidRPr="00B91654">
        <w:rPr>
          <w:rFonts w:ascii="Times New Roman" w:hAnsi="Times New Roman" w:cs="Times New Roman"/>
          <w:sz w:val="24"/>
          <w:szCs w:val="24"/>
          <w:lang w:val="en-US"/>
        </w:rPr>
        <w:t>The application for condonation of late noting of review is granted.</w:t>
      </w:r>
    </w:p>
    <w:p w14:paraId="13054EF2" w14:textId="7DBB7522" w:rsidR="00B91654" w:rsidRDefault="00B91654" w:rsidP="00B91654">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(ii)</w:t>
      </w:r>
      <w:r>
        <w:rPr>
          <w:rFonts w:ascii="Times New Roman" w:hAnsi="Times New Roman" w:cs="Times New Roman"/>
          <w:sz w:val="24"/>
          <w:szCs w:val="24"/>
          <w:lang w:val="en-US"/>
        </w:rPr>
        <w:tab/>
        <w:t>The applicants are granted an extension of time of ten days within which to file their review application calculated from the date of this order.</w:t>
      </w:r>
    </w:p>
    <w:p w14:paraId="1B89A804" w14:textId="3640CE49" w:rsidR="00B91654" w:rsidRDefault="00B91654" w:rsidP="00B91654">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(iii) The costs of this application be and in the cause in the review application to be filed, provided that in the event that the applicant does not file the application as directed, then the applicant shall in that event pay the second respondent’s costs of the application.</w:t>
      </w:r>
    </w:p>
    <w:p w14:paraId="6FB86697" w14:textId="016E8974" w:rsidR="00B91654" w:rsidRDefault="00B91654" w:rsidP="00B91654">
      <w:pPr>
        <w:spacing w:after="0" w:line="360" w:lineRule="auto"/>
        <w:jc w:val="both"/>
        <w:rPr>
          <w:rFonts w:ascii="Times New Roman" w:hAnsi="Times New Roman" w:cs="Times New Roman"/>
          <w:sz w:val="24"/>
          <w:szCs w:val="24"/>
          <w:lang w:val="en-US"/>
        </w:rPr>
      </w:pPr>
    </w:p>
    <w:p w14:paraId="089BC740" w14:textId="5B37A280" w:rsidR="002765DC" w:rsidRDefault="002765DC" w:rsidP="00B91654">
      <w:pPr>
        <w:spacing w:after="0" w:line="360" w:lineRule="auto"/>
        <w:jc w:val="both"/>
        <w:rPr>
          <w:rFonts w:ascii="Times New Roman" w:hAnsi="Times New Roman" w:cs="Times New Roman"/>
          <w:sz w:val="24"/>
          <w:szCs w:val="24"/>
          <w:lang w:val="en-US"/>
        </w:rPr>
      </w:pPr>
    </w:p>
    <w:p w14:paraId="0061F7B3" w14:textId="77777777" w:rsidR="002765DC" w:rsidRDefault="002765DC" w:rsidP="00B91654">
      <w:pPr>
        <w:spacing w:after="0" w:line="360" w:lineRule="auto"/>
        <w:jc w:val="both"/>
        <w:rPr>
          <w:rFonts w:ascii="Times New Roman" w:hAnsi="Times New Roman" w:cs="Times New Roman"/>
          <w:sz w:val="24"/>
          <w:szCs w:val="24"/>
          <w:lang w:val="en-US"/>
        </w:rPr>
      </w:pPr>
    </w:p>
    <w:p w14:paraId="34B212FF" w14:textId="2E8F813A" w:rsidR="00B91654" w:rsidRDefault="00B91654" w:rsidP="00B91654">
      <w:pPr>
        <w:spacing w:after="0" w:line="360" w:lineRule="auto"/>
        <w:jc w:val="both"/>
        <w:rPr>
          <w:rFonts w:ascii="Times New Roman" w:hAnsi="Times New Roman" w:cs="Times New Roman"/>
          <w:sz w:val="24"/>
          <w:szCs w:val="24"/>
          <w:lang w:val="en-US"/>
        </w:rPr>
      </w:pPr>
    </w:p>
    <w:p w14:paraId="525D5793" w14:textId="6DDFF85C" w:rsidR="00B91654" w:rsidRDefault="00B91654" w:rsidP="002765DC">
      <w:pPr>
        <w:spacing w:after="0" w:line="240" w:lineRule="auto"/>
        <w:jc w:val="both"/>
        <w:rPr>
          <w:rFonts w:ascii="Times New Roman" w:hAnsi="Times New Roman" w:cs="Times New Roman"/>
          <w:sz w:val="24"/>
          <w:szCs w:val="24"/>
          <w:lang w:val="en-US"/>
        </w:rPr>
      </w:pPr>
      <w:r w:rsidRPr="002765DC">
        <w:rPr>
          <w:rFonts w:ascii="Times New Roman" w:hAnsi="Times New Roman" w:cs="Times New Roman"/>
          <w:i/>
          <w:iCs/>
          <w:sz w:val="24"/>
          <w:szCs w:val="24"/>
          <w:lang w:val="en-US"/>
        </w:rPr>
        <w:t>Ndlovu-Pratt</w:t>
      </w:r>
      <w:r>
        <w:rPr>
          <w:rFonts w:ascii="Times New Roman" w:hAnsi="Times New Roman" w:cs="Times New Roman"/>
          <w:sz w:val="24"/>
          <w:szCs w:val="24"/>
          <w:lang w:val="en-US"/>
        </w:rPr>
        <w:t>, applicant’s legal practitioners</w:t>
      </w:r>
    </w:p>
    <w:p w14:paraId="78139B82" w14:textId="3ED53042" w:rsidR="00412AA1" w:rsidRDefault="002765DC" w:rsidP="00FA2648">
      <w:pPr>
        <w:spacing w:after="0" w:line="360" w:lineRule="auto"/>
        <w:jc w:val="both"/>
        <w:rPr>
          <w:rFonts w:ascii="Times New Roman" w:hAnsi="Times New Roman" w:cs="Times New Roman"/>
          <w:sz w:val="24"/>
          <w:szCs w:val="24"/>
          <w:lang w:val="en-US"/>
        </w:rPr>
      </w:pPr>
      <w:r w:rsidRPr="002765DC">
        <w:rPr>
          <w:rFonts w:ascii="Times New Roman" w:hAnsi="Times New Roman" w:cs="Times New Roman"/>
          <w:i/>
          <w:iCs/>
          <w:sz w:val="24"/>
          <w:szCs w:val="24"/>
          <w:lang w:val="en-US"/>
        </w:rPr>
        <w:t>Matlaw</w:t>
      </w:r>
      <w:r>
        <w:rPr>
          <w:rFonts w:ascii="Times New Roman" w:hAnsi="Times New Roman" w:cs="Times New Roman"/>
          <w:sz w:val="24"/>
          <w:szCs w:val="24"/>
          <w:lang w:val="en-US"/>
        </w:rPr>
        <w:t>, second respondent’s legal practitioners</w:t>
      </w:r>
    </w:p>
    <w:p w14:paraId="5B972EAB" w14:textId="77777777" w:rsidR="00FE27E4" w:rsidRPr="000C0CA9" w:rsidRDefault="00FE27E4" w:rsidP="000C0CA9">
      <w:pPr>
        <w:spacing w:after="0" w:line="360" w:lineRule="auto"/>
        <w:ind w:firstLine="720"/>
        <w:jc w:val="both"/>
        <w:rPr>
          <w:rFonts w:ascii="Times New Roman" w:hAnsi="Times New Roman" w:cs="Times New Roman"/>
          <w:sz w:val="24"/>
          <w:szCs w:val="24"/>
          <w:lang w:val="en-US"/>
        </w:rPr>
      </w:pPr>
    </w:p>
    <w:sectPr w:rsidR="00FE27E4" w:rsidRPr="000C0CA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583AB" w14:textId="77777777" w:rsidR="00FE5B2B" w:rsidRDefault="00FE5B2B" w:rsidP="00E323EC">
      <w:pPr>
        <w:spacing w:after="0" w:line="240" w:lineRule="auto"/>
      </w:pPr>
      <w:r>
        <w:separator/>
      </w:r>
    </w:p>
  </w:endnote>
  <w:endnote w:type="continuationSeparator" w:id="0">
    <w:p w14:paraId="68443C99" w14:textId="77777777" w:rsidR="00FE5B2B" w:rsidRDefault="00FE5B2B" w:rsidP="00E32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238D3" w14:textId="77777777" w:rsidR="00FE5B2B" w:rsidRDefault="00FE5B2B" w:rsidP="00E323EC">
      <w:pPr>
        <w:spacing w:after="0" w:line="240" w:lineRule="auto"/>
      </w:pPr>
      <w:r>
        <w:separator/>
      </w:r>
    </w:p>
  </w:footnote>
  <w:footnote w:type="continuationSeparator" w:id="0">
    <w:p w14:paraId="0EE168B2" w14:textId="77777777" w:rsidR="00FE5B2B" w:rsidRDefault="00FE5B2B" w:rsidP="00E32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147784"/>
      <w:docPartObj>
        <w:docPartGallery w:val="Page Numbers (Top of Page)"/>
        <w:docPartUnique/>
      </w:docPartObj>
    </w:sdtPr>
    <w:sdtEndPr>
      <w:rPr>
        <w:noProof/>
      </w:rPr>
    </w:sdtEndPr>
    <w:sdtContent>
      <w:p w14:paraId="0C29D94D" w14:textId="72BF79D3" w:rsidR="00E323EC" w:rsidRDefault="00E323EC">
        <w:pPr>
          <w:pStyle w:val="Header"/>
          <w:jc w:val="right"/>
          <w:rPr>
            <w:noProof/>
          </w:rPr>
        </w:pPr>
        <w:r>
          <w:fldChar w:fldCharType="begin"/>
        </w:r>
        <w:r>
          <w:instrText xml:space="preserve"> PAGE   \* MERGEFORMAT </w:instrText>
        </w:r>
        <w:r>
          <w:fldChar w:fldCharType="separate"/>
        </w:r>
        <w:r w:rsidR="00CF4BF7">
          <w:rPr>
            <w:noProof/>
          </w:rPr>
          <w:t>1</w:t>
        </w:r>
        <w:r>
          <w:rPr>
            <w:noProof/>
          </w:rPr>
          <w:fldChar w:fldCharType="end"/>
        </w:r>
      </w:p>
      <w:p w14:paraId="67FE20EF" w14:textId="3D34F776" w:rsidR="00E323EC" w:rsidRDefault="00E323EC">
        <w:pPr>
          <w:pStyle w:val="Header"/>
          <w:jc w:val="right"/>
          <w:rPr>
            <w:noProof/>
          </w:rPr>
        </w:pPr>
        <w:r>
          <w:rPr>
            <w:noProof/>
          </w:rPr>
          <w:t xml:space="preserve">HH </w:t>
        </w:r>
        <w:r w:rsidR="00FA2648">
          <w:rPr>
            <w:noProof/>
          </w:rPr>
          <w:t>8</w:t>
        </w:r>
        <w:r w:rsidR="006129E6">
          <w:rPr>
            <w:noProof/>
          </w:rPr>
          <w:t>60</w:t>
        </w:r>
        <w:r>
          <w:rPr>
            <w:noProof/>
          </w:rPr>
          <w:t>-22</w:t>
        </w:r>
      </w:p>
      <w:p w14:paraId="47A32D45" w14:textId="0B65407A" w:rsidR="00E323EC" w:rsidRDefault="00E323EC">
        <w:pPr>
          <w:pStyle w:val="Header"/>
          <w:jc w:val="right"/>
        </w:pPr>
        <w:r>
          <w:rPr>
            <w:noProof/>
          </w:rPr>
          <w:t>HC 5656/22</w:t>
        </w:r>
      </w:p>
    </w:sdtContent>
  </w:sdt>
  <w:p w14:paraId="326B76DA" w14:textId="77777777" w:rsidR="00E323EC" w:rsidRDefault="00E323E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DEA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F4F4E30"/>
    <w:multiLevelType w:val="hybridMultilevel"/>
    <w:tmpl w:val="04F69426"/>
    <w:lvl w:ilvl="0" w:tplc="2A707AE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5C25458D"/>
    <w:multiLevelType w:val="hybridMultilevel"/>
    <w:tmpl w:val="EF2E3E1A"/>
    <w:lvl w:ilvl="0" w:tplc="9ED6EA7A">
      <w:start w:val="9"/>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62B46850"/>
    <w:multiLevelType w:val="hybridMultilevel"/>
    <w:tmpl w:val="44AE5E2C"/>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F6B"/>
    <w:rsid w:val="00020EF3"/>
    <w:rsid w:val="000C0CA9"/>
    <w:rsid w:val="000D23EF"/>
    <w:rsid w:val="001025BC"/>
    <w:rsid w:val="00144F6B"/>
    <w:rsid w:val="0016388C"/>
    <w:rsid w:val="002765DC"/>
    <w:rsid w:val="00412AA1"/>
    <w:rsid w:val="004A44B4"/>
    <w:rsid w:val="00590E96"/>
    <w:rsid w:val="006129E6"/>
    <w:rsid w:val="00657D6D"/>
    <w:rsid w:val="006A0AB0"/>
    <w:rsid w:val="00723865"/>
    <w:rsid w:val="007C2E91"/>
    <w:rsid w:val="00A23EE8"/>
    <w:rsid w:val="00AA050B"/>
    <w:rsid w:val="00AA2E87"/>
    <w:rsid w:val="00AA547E"/>
    <w:rsid w:val="00B91654"/>
    <w:rsid w:val="00BC2F87"/>
    <w:rsid w:val="00C15175"/>
    <w:rsid w:val="00CF4BF7"/>
    <w:rsid w:val="00D23785"/>
    <w:rsid w:val="00D466AB"/>
    <w:rsid w:val="00DD6C8D"/>
    <w:rsid w:val="00DF3D61"/>
    <w:rsid w:val="00E323EC"/>
    <w:rsid w:val="00E5469E"/>
    <w:rsid w:val="00FA2648"/>
    <w:rsid w:val="00FE27E4"/>
    <w:rsid w:val="00FE5B2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E314B"/>
  <w15:chartTrackingRefBased/>
  <w15:docId w15:val="{33F73413-07D2-4F60-932C-F92C319D1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CA9"/>
    <w:pPr>
      <w:ind w:left="720"/>
      <w:contextualSpacing/>
    </w:pPr>
  </w:style>
  <w:style w:type="paragraph" w:styleId="ListBullet">
    <w:name w:val="List Bullet"/>
    <w:basedOn w:val="Normal"/>
    <w:uiPriority w:val="99"/>
    <w:unhideWhenUsed/>
    <w:rsid w:val="00DD6C8D"/>
    <w:pPr>
      <w:numPr>
        <w:numId w:val="3"/>
      </w:numPr>
      <w:contextualSpacing/>
    </w:pPr>
  </w:style>
  <w:style w:type="paragraph" w:styleId="Header">
    <w:name w:val="header"/>
    <w:basedOn w:val="Normal"/>
    <w:link w:val="HeaderChar"/>
    <w:uiPriority w:val="99"/>
    <w:unhideWhenUsed/>
    <w:rsid w:val="00E32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3EC"/>
  </w:style>
  <w:style w:type="paragraph" w:styleId="Footer">
    <w:name w:val="footer"/>
    <w:basedOn w:val="Normal"/>
    <w:link w:val="FooterChar"/>
    <w:uiPriority w:val="99"/>
    <w:unhideWhenUsed/>
    <w:rsid w:val="00E32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2727</Words>
  <Characters>15548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2022-11-25T09:07:00Z</dcterms:created>
  <dcterms:modified xsi:type="dcterms:W3CDTF">2022-11-25T09:07:00Z</dcterms:modified>
</cp:coreProperties>
</file>