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B7" w:rsidRDefault="00D26009" w:rsidP="00495BAA">
      <w:pPr>
        <w:spacing w:line="240" w:lineRule="auto"/>
        <w:rPr>
          <w:rFonts w:cs="Tahoma"/>
          <w:b/>
          <w:bCs/>
          <w:szCs w:val="24"/>
          <w:lang w:val="en-US"/>
        </w:rPr>
      </w:pPr>
      <w:r w:rsidRPr="00304BB7">
        <w:rPr>
          <w:rFonts w:cs="Tahoma"/>
          <w:b/>
          <w:bCs/>
          <w:szCs w:val="24"/>
          <w:lang w:val="en-US"/>
        </w:rPr>
        <w:t xml:space="preserve">IN </w:t>
      </w:r>
      <w:r w:rsidR="00A3781D" w:rsidRPr="00304BB7">
        <w:rPr>
          <w:rFonts w:cs="Tahoma"/>
          <w:b/>
          <w:bCs/>
          <w:szCs w:val="24"/>
          <w:lang w:val="en-US"/>
        </w:rPr>
        <w:t xml:space="preserve">THE LABOUR COURT OF ZIMBABWE </w:t>
      </w:r>
      <w:r w:rsidR="00304BB7">
        <w:rPr>
          <w:rFonts w:cs="Tahoma"/>
          <w:b/>
          <w:bCs/>
          <w:szCs w:val="24"/>
          <w:lang w:val="en-US"/>
        </w:rPr>
        <w:t xml:space="preserve">        </w:t>
      </w:r>
      <w:r w:rsidR="00A3781D" w:rsidRPr="00304BB7">
        <w:rPr>
          <w:rFonts w:cs="Tahoma"/>
          <w:b/>
          <w:bCs/>
          <w:szCs w:val="24"/>
          <w:lang w:val="en-US"/>
        </w:rPr>
        <w:t>JUDGEMENT NO</w:t>
      </w:r>
      <w:r w:rsidR="006F3AA4">
        <w:rPr>
          <w:rFonts w:cs="Tahoma"/>
          <w:b/>
          <w:bCs/>
          <w:szCs w:val="24"/>
          <w:lang w:val="en-US"/>
        </w:rPr>
        <w:t xml:space="preserve"> LC/H/110/2020</w:t>
      </w:r>
    </w:p>
    <w:p w:rsidR="00D26009" w:rsidRDefault="006F3AA4" w:rsidP="00495BAA">
      <w:pPr>
        <w:spacing w:line="240" w:lineRule="auto"/>
        <w:rPr>
          <w:rFonts w:cs="Tahoma"/>
          <w:b/>
          <w:bCs/>
          <w:szCs w:val="24"/>
          <w:lang w:val="en-US"/>
        </w:rPr>
      </w:pPr>
      <w:r>
        <w:rPr>
          <w:rFonts w:cs="Tahoma"/>
          <w:b/>
          <w:bCs/>
          <w:szCs w:val="24"/>
          <w:lang w:val="en-US"/>
        </w:rPr>
        <w:t>HARARE, 25 FEBRUARY 2020</w:t>
      </w:r>
      <w:r w:rsidR="00304BB7">
        <w:rPr>
          <w:rFonts w:cs="Tahoma"/>
          <w:b/>
          <w:bCs/>
          <w:szCs w:val="24"/>
          <w:lang w:val="en-US"/>
        </w:rPr>
        <w:t xml:space="preserve"> </w:t>
      </w:r>
      <w:r w:rsidR="00A3781D" w:rsidRPr="00304BB7">
        <w:rPr>
          <w:rFonts w:cs="Tahoma"/>
          <w:b/>
          <w:bCs/>
          <w:szCs w:val="24"/>
          <w:lang w:val="en-US"/>
        </w:rPr>
        <w:t xml:space="preserve"> </w:t>
      </w:r>
      <w:r w:rsidR="00304BB7">
        <w:rPr>
          <w:rFonts w:cs="Tahoma"/>
          <w:b/>
          <w:bCs/>
          <w:szCs w:val="24"/>
          <w:lang w:val="en-US"/>
        </w:rPr>
        <w:t xml:space="preserve">    </w:t>
      </w:r>
      <w:r>
        <w:rPr>
          <w:rFonts w:cs="Tahoma"/>
          <w:b/>
          <w:bCs/>
          <w:szCs w:val="24"/>
          <w:lang w:val="en-US"/>
        </w:rPr>
        <w:t xml:space="preserve">                    </w:t>
      </w:r>
      <w:r w:rsidR="00304BB7">
        <w:rPr>
          <w:rFonts w:cs="Tahoma"/>
          <w:b/>
          <w:bCs/>
          <w:szCs w:val="24"/>
          <w:lang w:val="en-US"/>
        </w:rPr>
        <w:t>CASE NO LC/H/APP/486/19</w:t>
      </w:r>
    </w:p>
    <w:p w:rsidR="00495BAA" w:rsidRDefault="00495BAA" w:rsidP="00495BAA">
      <w:pPr>
        <w:spacing w:line="240" w:lineRule="auto"/>
        <w:rPr>
          <w:rFonts w:cs="Tahoma"/>
          <w:b/>
          <w:bCs/>
          <w:szCs w:val="24"/>
          <w:lang w:val="en-US"/>
        </w:rPr>
      </w:pPr>
      <w:r>
        <w:rPr>
          <w:rFonts w:cs="Tahoma"/>
          <w:b/>
          <w:bCs/>
          <w:szCs w:val="24"/>
          <w:lang w:val="en-US"/>
        </w:rPr>
        <w:t xml:space="preserve">AND </w:t>
      </w:r>
      <w:r w:rsidR="00380E1A">
        <w:rPr>
          <w:rFonts w:cs="Tahoma"/>
          <w:b/>
          <w:bCs/>
          <w:szCs w:val="24"/>
          <w:lang w:val="en-US"/>
        </w:rPr>
        <w:t>5 JUNE</w:t>
      </w:r>
      <w:r>
        <w:rPr>
          <w:rFonts w:cs="Tahoma"/>
          <w:b/>
          <w:bCs/>
          <w:szCs w:val="24"/>
          <w:lang w:val="en-US"/>
        </w:rPr>
        <w:t xml:space="preserve"> 2020</w:t>
      </w:r>
    </w:p>
    <w:p w:rsidR="001944B1" w:rsidRPr="001944B1" w:rsidRDefault="001944B1" w:rsidP="0074011A">
      <w:pPr>
        <w:rPr>
          <w:rFonts w:cs="Tahoma"/>
          <w:szCs w:val="24"/>
          <w:lang w:val="en-US"/>
        </w:rPr>
      </w:pPr>
      <w:r>
        <w:rPr>
          <w:rFonts w:cs="Tahoma"/>
          <w:szCs w:val="24"/>
          <w:lang w:val="en-US"/>
        </w:rPr>
        <w:t xml:space="preserve">In the matter </w:t>
      </w:r>
      <w:r w:rsidR="00A90F97">
        <w:rPr>
          <w:rFonts w:cs="Tahoma"/>
          <w:szCs w:val="24"/>
          <w:lang w:val="en-US"/>
        </w:rPr>
        <w:t>between:</w:t>
      </w:r>
      <w:r>
        <w:rPr>
          <w:rFonts w:cs="Tahoma"/>
          <w:szCs w:val="24"/>
          <w:lang w:val="en-US"/>
        </w:rPr>
        <w:t xml:space="preserve"> - </w:t>
      </w:r>
    </w:p>
    <w:p w:rsidR="00304BB7" w:rsidRDefault="001944B1" w:rsidP="0074011A">
      <w:pPr>
        <w:rPr>
          <w:rFonts w:cs="Tahoma"/>
          <w:b/>
          <w:bCs/>
          <w:szCs w:val="24"/>
          <w:lang w:val="en-US"/>
        </w:rPr>
      </w:pPr>
      <w:r>
        <w:rPr>
          <w:rFonts w:cs="Tahoma"/>
          <w:b/>
          <w:bCs/>
          <w:szCs w:val="24"/>
          <w:lang w:val="en-US"/>
        </w:rPr>
        <w:t xml:space="preserve">LOVEMORE KAMUKA </w:t>
      </w:r>
      <w:r w:rsidR="00C3296B">
        <w:rPr>
          <w:rFonts w:cs="Tahoma"/>
          <w:b/>
          <w:bCs/>
          <w:szCs w:val="24"/>
          <w:lang w:val="en-US"/>
        </w:rPr>
        <w:t xml:space="preserve">&amp; </w:t>
      </w:r>
      <w:r w:rsidR="00F14D59">
        <w:rPr>
          <w:rFonts w:cs="Tahoma"/>
          <w:b/>
          <w:bCs/>
          <w:szCs w:val="24"/>
          <w:lang w:val="en-US"/>
        </w:rPr>
        <w:t xml:space="preserve">ORS         </w:t>
      </w:r>
      <w:r w:rsidR="00C3296B">
        <w:rPr>
          <w:rFonts w:cs="Tahoma"/>
          <w:b/>
          <w:bCs/>
          <w:szCs w:val="24"/>
          <w:lang w:val="en-US"/>
        </w:rPr>
        <w:t xml:space="preserve">                            </w:t>
      </w:r>
      <w:r w:rsidR="00023241">
        <w:rPr>
          <w:rFonts w:cs="Tahoma"/>
          <w:b/>
          <w:bCs/>
          <w:szCs w:val="24"/>
          <w:lang w:val="en-US"/>
        </w:rPr>
        <w:t xml:space="preserve">    </w:t>
      </w:r>
      <w:r w:rsidR="00C3296B">
        <w:rPr>
          <w:rFonts w:cs="Tahoma"/>
          <w:b/>
          <w:bCs/>
          <w:szCs w:val="24"/>
          <w:lang w:val="en-US"/>
        </w:rPr>
        <w:t xml:space="preserve"> </w:t>
      </w:r>
      <w:r w:rsidR="00023241">
        <w:rPr>
          <w:rFonts w:cs="Tahoma"/>
          <w:b/>
          <w:bCs/>
          <w:szCs w:val="24"/>
          <w:lang w:val="en-US"/>
        </w:rPr>
        <w:t xml:space="preserve">   </w:t>
      </w:r>
      <w:r w:rsidR="00C3296B">
        <w:rPr>
          <w:rFonts w:cs="Tahoma"/>
          <w:b/>
          <w:bCs/>
          <w:szCs w:val="24"/>
          <w:lang w:val="en-US"/>
        </w:rPr>
        <w:t>A</w:t>
      </w:r>
      <w:r w:rsidR="00670CEB">
        <w:rPr>
          <w:rFonts w:cs="Tahoma"/>
          <w:b/>
          <w:bCs/>
          <w:szCs w:val="24"/>
          <w:lang w:val="en-US"/>
        </w:rPr>
        <w:t>pplicants</w:t>
      </w:r>
    </w:p>
    <w:p w:rsidR="00C3296B" w:rsidRPr="005D0537" w:rsidRDefault="005D0537" w:rsidP="0074011A">
      <w:pPr>
        <w:rPr>
          <w:rFonts w:cs="Tahoma"/>
          <w:bCs/>
          <w:szCs w:val="24"/>
          <w:lang w:val="en-US"/>
        </w:rPr>
      </w:pPr>
      <w:r>
        <w:rPr>
          <w:rFonts w:cs="Tahoma"/>
          <w:bCs/>
          <w:szCs w:val="24"/>
          <w:lang w:val="en-US"/>
        </w:rPr>
        <w:t>And</w:t>
      </w:r>
    </w:p>
    <w:p w:rsidR="004553AA" w:rsidRDefault="004553AA" w:rsidP="0074011A">
      <w:pPr>
        <w:rPr>
          <w:rFonts w:cs="Tahoma"/>
          <w:b/>
          <w:bCs/>
          <w:szCs w:val="24"/>
          <w:lang w:val="en-US"/>
        </w:rPr>
      </w:pPr>
      <w:r>
        <w:rPr>
          <w:rFonts w:cs="Tahoma"/>
          <w:b/>
          <w:bCs/>
          <w:szCs w:val="24"/>
          <w:lang w:val="en-US"/>
        </w:rPr>
        <w:t xml:space="preserve">NATIONAL RAILWAYS OF ZIMBABWE                    </w:t>
      </w:r>
      <w:r w:rsidR="00023241">
        <w:rPr>
          <w:rFonts w:cs="Tahoma"/>
          <w:b/>
          <w:bCs/>
          <w:szCs w:val="24"/>
          <w:lang w:val="en-US"/>
        </w:rPr>
        <w:t xml:space="preserve">       </w:t>
      </w:r>
      <w:r>
        <w:rPr>
          <w:rFonts w:cs="Tahoma"/>
          <w:b/>
          <w:bCs/>
          <w:szCs w:val="24"/>
          <w:lang w:val="en-US"/>
        </w:rPr>
        <w:t>R</w:t>
      </w:r>
      <w:r w:rsidR="00283225">
        <w:rPr>
          <w:rFonts w:cs="Tahoma"/>
          <w:b/>
          <w:bCs/>
          <w:szCs w:val="24"/>
          <w:lang w:val="en-US"/>
        </w:rPr>
        <w:t>espondent</w:t>
      </w:r>
    </w:p>
    <w:p w:rsidR="00C3296B" w:rsidRDefault="003C5B2C" w:rsidP="0074011A">
      <w:pPr>
        <w:rPr>
          <w:rFonts w:cs="Tahoma"/>
          <w:szCs w:val="24"/>
          <w:lang w:val="en-US"/>
        </w:rPr>
      </w:pPr>
      <w:r>
        <w:rPr>
          <w:rFonts w:cs="Tahoma"/>
          <w:szCs w:val="24"/>
          <w:lang w:val="en-US"/>
        </w:rPr>
        <w:t>Before Hove,</w:t>
      </w:r>
      <w:r w:rsidR="004553AA">
        <w:rPr>
          <w:rFonts w:cs="Tahoma"/>
          <w:b/>
          <w:bCs/>
          <w:szCs w:val="24"/>
          <w:lang w:val="en-US"/>
        </w:rPr>
        <w:t xml:space="preserve"> </w:t>
      </w:r>
      <w:proofErr w:type="spellStart"/>
      <w:r w:rsidR="00283225">
        <w:rPr>
          <w:rFonts w:cs="Tahoma"/>
          <w:szCs w:val="24"/>
          <w:lang w:val="en-US"/>
        </w:rPr>
        <w:t>Musariri</w:t>
      </w:r>
      <w:proofErr w:type="spellEnd"/>
      <w:r w:rsidR="00283225">
        <w:rPr>
          <w:rFonts w:cs="Tahoma"/>
          <w:szCs w:val="24"/>
          <w:lang w:val="en-US"/>
        </w:rPr>
        <w:t xml:space="preserve">, </w:t>
      </w:r>
      <w:proofErr w:type="spellStart"/>
      <w:r w:rsidR="00283225">
        <w:rPr>
          <w:rFonts w:cs="Tahoma"/>
          <w:szCs w:val="24"/>
          <w:lang w:val="en-US"/>
        </w:rPr>
        <w:t>Chivizhe</w:t>
      </w:r>
      <w:proofErr w:type="spellEnd"/>
      <w:r w:rsidR="00283225">
        <w:rPr>
          <w:rFonts w:cs="Tahoma"/>
          <w:szCs w:val="24"/>
          <w:lang w:val="en-US"/>
        </w:rPr>
        <w:t>, JJ</w:t>
      </w:r>
      <w:r w:rsidR="009275EB">
        <w:rPr>
          <w:rFonts w:cs="Tahoma"/>
          <w:szCs w:val="24"/>
          <w:lang w:val="en-US"/>
        </w:rPr>
        <w:t>J</w:t>
      </w:r>
    </w:p>
    <w:p w:rsidR="001F4643" w:rsidRDefault="00283225" w:rsidP="0074011A">
      <w:pPr>
        <w:rPr>
          <w:rFonts w:cs="Tahoma"/>
          <w:b/>
          <w:bCs/>
          <w:szCs w:val="24"/>
          <w:lang w:val="en-US"/>
        </w:rPr>
      </w:pPr>
      <w:r>
        <w:rPr>
          <w:rFonts w:cs="Tahoma"/>
          <w:b/>
          <w:bCs/>
          <w:szCs w:val="24"/>
          <w:lang w:val="en-US"/>
        </w:rPr>
        <w:t>For Applicant</w:t>
      </w:r>
      <w:r w:rsidR="00670CEB">
        <w:rPr>
          <w:rFonts w:cs="Tahoma"/>
          <w:b/>
          <w:bCs/>
          <w:szCs w:val="24"/>
          <w:lang w:val="en-US"/>
        </w:rPr>
        <w:t>s</w:t>
      </w:r>
      <w:r>
        <w:rPr>
          <w:rFonts w:cs="Tahoma"/>
          <w:b/>
          <w:bCs/>
          <w:szCs w:val="24"/>
          <w:lang w:val="en-US"/>
        </w:rPr>
        <w:t xml:space="preserve"> </w:t>
      </w:r>
      <w:r>
        <w:rPr>
          <w:rFonts w:cs="Tahoma"/>
          <w:b/>
          <w:bCs/>
          <w:szCs w:val="24"/>
          <w:lang w:val="en-US"/>
        </w:rPr>
        <w:tab/>
      </w:r>
      <w:r>
        <w:rPr>
          <w:rFonts w:cs="Tahoma"/>
          <w:b/>
          <w:bCs/>
          <w:szCs w:val="24"/>
          <w:lang w:val="en-US"/>
        </w:rPr>
        <w:tab/>
      </w:r>
      <w:proofErr w:type="spellStart"/>
      <w:r w:rsidR="003F31A6">
        <w:rPr>
          <w:rFonts w:cs="Tahoma"/>
          <w:b/>
          <w:bCs/>
          <w:szCs w:val="24"/>
          <w:lang w:val="en-US"/>
        </w:rPr>
        <w:t>Mr</w:t>
      </w:r>
      <w:proofErr w:type="spellEnd"/>
      <w:r w:rsidR="003F31A6">
        <w:rPr>
          <w:rFonts w:cs="Tahoma"/>
          <w:b/>
          <w:bCs/>
          <w:szCs w:val="24"/>
          <w:lang w:val="en-US"/>
        </w:rPr>
        <w:t xml:space="preserve"> E. E. </w:t>
      </w:r>
      <w:proofErr w:type="spellStart"/>
      <w:r w:rsidR="00F12D64">
        <w:rPr>
          <w:rFonts w:cs="Tahoma"/>
          <w:b/>
          <w:bCs/>
          <w:szCs w:val="24"/>
          <w:lang w:val="en-US"/>
        </w:rPr>
        <w:t>Mat</w:t>
      </w:r>
      <w:r w:rsidR="00481424">
        <w:rPr>
          <w:rFonts w:cs="Tahoma"/>
          <w:b/>
          <w:bCs/>
          <w:szCs w:val="24"/>
          <w:lang w:val="en-US"/>
        </w:rPr>
        <w:t>ika</w:t>
      </w:r>
      <w:proofErr w:type="spellEnd"/>
      <w:r w:rsidR="00670CEB">
        <w:rPr>
          <w:rFonts w:cs="Tahoma"/>
          <w:b/>
          <w:bCs/>
          <w:szCs w:val="24"/>
          <w:lang w:val="en-US"/>
        </w:rPr>
        <w:t xml:space="preserve"> (Legal Practitioner)</w:t>
      </w:r>
    </w:p>
    <w:p w:rsidR="00481424" w:rsidRDefault="00283225" w:rsidP="0074011A">
      <w:pPr>
        <w:rPr>
          <w:rFonts w:cs="Tahoma"/>
          <w:b/>
          <w:bCs/>
          <w:szCs w:val="24"/>
          <w:lang w:val="en-US"/>
        </w:rPr>
      </w:pPr>
      <w:r>
        <w:rPr>
          <w:rFonts w:cs="Tahoma"/>
          <w:b/>
          <w:bCs/>
          <w:szCs w:val="24"/>
          <w:lang w:val="en-US"/>
        </w:rPr>
        <w:t xml:space="preserve">For Respondent </w:t>
      </w:r>
      <w:r>
        <w:rPr>
          <w:rFonts w:cs="Tahoma"/>
          <w:b/>
          <w:bCs/>
          <w:szCs w:val="24"/>
          <w:lang w:val="en-US"/>
        </w:rPr>
        <w:tab/>
      </w:r>
      <w:r>
        <w:rPr>
          <w:rFonts w:cs="Tahoma"/>
          <w:b/>
          <w:bCs/>
          <w:szCs w:val="24"/>
          <w:lang w:val="en-US"/>
        </w:rPr>
        <w:tab/>
      </w:r>
      <w:proofErr w:type="spellStart"/>
      <w:r w:rsidR="00481424">
        <w:rPr>
          <w:rFonts w:cs="Tahoma"/>
          <w:b/>
          <w:bCs/>
          <w:szCs w:val="24"/>
          <w:lang w:val="en-US"/>
        </w:rPr>
        <w:t>Mr</w:t>
      </w:r>
      <w:proofErr w:type="spellEnd"/>
      <w:r w:rsidR="00481424">
        <w:rPr>
          <w:rFonts w:cs="Tahoma"/>
          <w:b/>
          <w:bCs/>
          <w:szCs w:val="24"/>
          <w:lang w:val="en-US"/>
        </w:rPr>
        <w:t xml:space="preserve"> A. </w:t>
      </w:r>
      <w:proofErr w:type="spellStart"/>
      <w:r w:rsidR="00AC7404">
        <w:rPr>
          <w:rFonts w:cs="Tahoma"/>
          <w:b/>
          <w:bCs/>
          <w:szCs w:val="24"/>
          <w:lang w:val="en-US"/>
        </w:rPr>
        <w:t>Muchadehama</w:t>
      </w:r>
      <w:proofErr w:type="spellEnd"/>
      <w:r w:rsidR="00670CEB">
        <w:rPr>
          <w:rFonts w:cs="Tahoma"/>
          <w:b/>
          <w:bCs/>
          <w:szCs w:val="24"/>
          <w:lang w:val="en-US"/>
        </w:rPr>
        <w:t xml:space="preserve"> (Legal Practitioner)</w:t>
      </w:r>
    </w:p>
    <w:p w:rsidR="00CF0E14" w:rsidRDefault="00CF0E14" w:rsidP="0074011A">
      <w:pPr>
        <w:rPr>
          <w:rFonts w:cs="Tahoma"/>
          <w:b/>
          <w:bCs/>
          <w:szCs w:val="24"/>
          <w:lang w:val="en-US"/>
        </w:rPr>
      </w:pPr>
    </w:p>
    <w:p w:rsidR="00AC7404" w:rsidRDefault="00CF0E14" w:rsidP="0074011A">
      <w:pPr>
        <w:rPr>
          <w:rFonts w:cs="Tahoma"/>
          <w:b/>
          <w:bCs/>
          <w:szCs w:val="24"/>
          <w:u w:val="single"/>
          <w:lang w:val="en-US"/>
        </w:rPr>
      </w:pPr>
      <w:r>
        <w:rPr>
          <w:rFonts w:cs="Tahoma"/>
          <w:b/>
          <w:bCs/>
          <w:szCs w:val="24"/>
          <w:lang w:val="en-US"/>
        </w:rPr>
        <w:t xml:space="preserve">                                                      </w:t>
      </w:r>
      <w:r w:rsidRPr="00CF0E14">
        <w:rPr>
          <w:rFonts w:cs="Tahoma"/>
          <w:b/>
          <w:bCs/>
          <w:szCs w:val="24"/>
          <w:u w:val="single"/>
          <w:lang w:val="en-US"/>
        </w:rPr>
        <w:t>RULING</w:t>
      </w:r>
    </w:p>
    <w:p w:rsidR="00CF0E14" w:rsidRDefault="00BF5BF2" w:rsidP="0074011A">
      <w:pPr>
        <w:rPr>
          <w:rFonts w:cs="Tahoma"/>
          <w:b/>
          <w:bCs/>
          <w:szCs w:val="24"/>
          <w:lang w:val="en-US"/>
        </w:rPr>
      </w:pPr>
      <w:r>
        <w:rPr>
          <w:rFonts w:cs="Tahoma"/>
          <w:b/>
          <w:bCs/>
          <w:szCs w:val="24"/>
          <w:lang w:val="en-US"/>
        </w:rPr>
        <w:t>CHIVIZHE, J:</w:t>
      </w:r>
    </w:p>
    <w:p w:rsidR="00B75578" w:rsidRDefault="00B75578" w:rsidP="00F67E31">
      <w:pPr>
        <w:ind w:firstLine="720"/>
        <w:rPr>
          <w:rFonts w:cs="Tahoma"/>
          <w:szCs w:val="24"/>
          <w:lang w:val="en-US"/>
        </w:rPr>
      </w:pPr>
      <w:r>
        <w:rPr>
          <w:rFonts w:cs="Tahoma"/>
          <w:szCs w:val="24"/>
          <w:lang w:val="en-US"/>
        </w:rPr>
        <w:t xml:space="preserve">The matter was placed </w:t>
      </w:r>
      <w:r w:rsidR="000F06B9">
        <w:rPr>
          <w:rFonts w:cs="Tahoma"/>
          <w:szCs w:val="24"/>
          <w:lang w:val="en-US"/>
        </w:rPr>
        <w:t xml:space="preserve">before us as an application for leave to appeal against a judgement </w:t>
      </w:r>
      <w:r w:rsidR="00F67E31">
        <w:rPr>
          <w:rFonts w:cs="Tahoma"/>
          <w:szCs w:val="24"/>
          <w:lang w:val="en-US"/>
        </w:rPr>
        <w:t>of this court handed down on 12 July 2019.</w:t>
      </w:r>
    </w:p>
    <w:p w:rsidR="00F67E31" w:rsidRDefault="00F67E31" w:rsidP="00F67E31">
      <w:pPr>
        <w:ind w:firstLine="720"/>
        <w:rPr>
          <w:rFonts w:cs="Tahoma"/>
          <w:szCs w:val="24"/>
          <w:lang w:val="en-US"/>
        </w:rPr>
      </w:pPr>
      <w:r>
        <w:rPr>
          <w:rFonts w:cs="Tahoma"/>
          <w:szCs w:val="24"/>
          <w:lang w:val="en-US"/>
        </w:rPr>
        <w:t xml:space="preserve">The </w:t>
      </w:r>
      <w:r w:rsidR="003D513A">
        <w:rPr>
          <w:rFonts w:cs="Tahoma"/>
          <w:szCs w:val="24"/>
          <w:lang w:val="en-US"/>
        </w:rPr>
        <w:t>brief facts of the matter are as follows. The Applicant</w:t>
      </w:r>
      <w:r w:rsidR="00283225">
        <w:rPr>
          <w:rFonts w:cs="Tahoma"/>
          <w:szCs w:val="24"/>
          <w:lang w:val="en-US"/>
        </w:rPr>
        <w:t>s</w:t>
      </w:r>
      <w:r w:rsidR="003D513A">
        <w:rPr>
          <w:rFonts w:cs="Tahoma"/>
          <w:szCs w:val="24"/>
          <w:lang w:val="en-US"/>
        </w:rPr>
        <w:t xml:space="preserve"> are former employees of the Respondent. On the 29</w:t>
      </w:r>
      <w:r w:rsidR="003D513A" w:rsidRPr="003D513A">
        <w:rPr>
          <w:rFonts w:cs="Tahoma"/>
          <w:szCs w:val="24"/>
          <w:vertAlign w:val="superscript"/>
          <w:lang w:val="en-US"/>
        </w:rPr>
        <w:t>th</w:t>
      </w:r>
      <w:r w:rsidR="003D513A">
        <w:rPr>
          <w:rFonts w:cs="Tahoma"/>
          <w:szCs w:val="24"/>
          <w:lang w:val="en-US"/>
        </w:rPr>
        <w:t xml:space="preserve"> of March 2016 in excess of 2000 employees </w:t>
      </w:r>
      <w:r w:rsidR="00406D10">
        <w:rPr>
          <w:rFonts w:cs="Tahoma"/>
          <w:szCs w:val="24"/>
          <w:lang w:val="en-US"/>
        </w:rPr>
        <w:t>of Respondent went on a collective job action in protest over the Respondent</w:t>
      </w:r>
      <w:r w:rsidR="00283225">
        <w:rPr>
          <w:rFonts w:cs="Tahoma"/>
          <w:szCs w:val="24"/>
          <w:lang w:val="en-US"/>
        </w:rPr>
        <w:t>’s</w:t>
      </w:r>
      <w:r w:rsidR="00406D10">
        <w:rPr>
          <w:rFonts w:cs="Tahoma"/>
          <w:szCs w:val="24"/>
          <w:lang w:val="en-US"/>
        </w:rPr>
        <w:t xml:space="preserve"> failure to pay their </w:t>
      </w:r>
      <w:proofErr w:type="spellStart"/>
      <w:r w:rsidR="00406D10">
        <w:rPr>
          <w:rFonts w:cs="Tahoma"/>
          <w:szCs w:val="24"/>
          <w:lang w:val="en-US"/>
        </w:rPr>
        <w:t>salarys</w:t>
      </w:r>
      <w:proofErr w:type="spellEnd"/>
      <w:r w:rsidR="00406D10">
        <w:rPr>
          <w:rFonts w:cs="Tahoma"/>
          <w:szCs w:val="24"/>
          <w:lang w:val="en-US"/>
        </w:rPr>
        <w:t xml:space="preserve"> and transport</w:t>
      </w:r>
      <w:r w:rsidR="001F33C9">
        <w:rPr>
          <w:rFonts w:cs="Tahoma"/>
          <w:szCs w:val="24"/>
          <w:lang w:val="en-US"/>
        </w:rPr>
        <w:t xml:space="preserve"> allowances. At the material time salaries had not </w:t>
      </w:r>
      <w:proofErr w:type="spellStart"/>
      <w:r w:rsidR="001F33C9">
        <w:rPr>
          <w:rFonts w:cs="Tahoma"/>
          <w:szCs w:val="24"/>
          <w:lang w:val="en-US"/>
        </w:rPr>
        <w:t>ben</w:t>
      </w:r>
      <w:proofErr w:type="spellEnd"/>
      <w:r w:rsidR="001F33C9">
        <w:rPr>
          <w:rFonts w:cs="Tahoma"/>
          <w:szCs w:val="24"/>
          <w:lang w:val="en-US"/>
        </w:rPr>
        <w:t xml:space="preserve"> paid for a period of 15 months and transport allowances for 5 months. The Applicant</w:t>
      </w:r>
      <w:r w:rsidR="00283225">
        <w:rPr>
          <w:rFonts w:cs="Tahoma"/>
          <w:szCs w:val="24"/>
          <w:lang w:val="en-US"/>
        </w:rPr>
        <w:t>s</w:t>
      </w:r>
      <w:r w:rsidR="001F33C9">
        <w:rPr>
          <w:rFonts w:cs="Tahoma"/>
          <w:szCs w:val="24"/>
          <w:lang w:val="en-US"/>
        </w:rPr>
        <w:t xml:space="preserve"> </w:t>
      </w:r>
      <w:r w:rsidR="00283225">
        <w:rPr>
          <w:rFonts w:cs="Tahoma"/>
          <w:szCs w:val="24"/>
          <w:lang w:val="en-US"/>
        </w:rPr>
        <w:t>who were</w:t>
      </w:r>
      <w:r w:rsidR="001F33C9">
        <w:rPr>
          <w:rFonts w:cs="Tahoma"/>
          <w:szCs w:val="24"/>
          <w:lang w:val="en-US"/>
        </w:rPr>
        <w:t xml:space="preserve"> before this court were part of the employees that went on </w:t>
      </w:r>
      <w:r w:rsidR="00283225">
        <w:rPr>
          <w:rFonts w:cs="Tahoma"/>
          <w:szCs w:val="24"/>
          <w:lang w:val="en-US"/>
        </w:rPr>
        <w:t>the</w:t>
      </w:r>
      <w:r w:rsidR="001F33C9">
        <w:rPr>
          <w:rFonts w:cs="Tahoma"/>
          <w:szCs w:val="24"/>
          <w:lang w:val="en-US"/>
        </w:rPr>
        <w:t xml:space="preserve"> collective job action. A </w:t>
      </w:r>
      <w:r w:rsidR="00661AA6">
        <w:rPr>
          <w:rFonts w:cs="Tahoma"/>
          <w:szCs w:val="24"/>
          <w:lang w:val="en-US"/>
        </w:rPr>
        <w:t xml:space="preserve">show cause order was issued by the Minister in terms of the </w:t>
      </w:r>
      <w:r w:rsidR="00661AA6" w:rsidRPr="00661AA6">
        <w:rPr>
          <w:rFonts w:cs="Tahoma"/>
          <w:b/>
          <w:bCs/>
          <w:szCs w:val="24"/>
          <w:lang w:val="en-US"/>
        </w:rPr>
        <w:t>Labour Act [Cap 28:01]</w:t>
      </w:r>
      <w:r w:rsidR="00661AA6">
        <w:rPr>
          <w:rFonts w:cs="Tahoma"/>
          <w:b/>
          <w:bCs/>
          <w:szCs w:val="24"/>
          <w:lang w:val="en-US"/>
        </w:rPr>
        <w:t xml:space="preserve"> </w:t>
      </w:r>
      <w:r w:rsidR="00661AA6">
        <w:rPr>
          <w:rFonts w:cs="Tahoma"/>
          <w:szCs w:val="24"/>
          <w:lang w:val="en-US"/>
        </w:rPr>
        <w:t xml:space="preserve">against </w:t>
      </w:r>
      <w:r w:rsidR="00DC7A6E">
        <w:rPr>
          <w:rFonts w:cs="Tahoma"/>
          <w:szCs w:val="24"/>
          <w:lang w:val="en-US"/>
        </w:rPr>
        <w:t xml:space="preserve">the Zimbabwe Railways Workers Union and 3 other named trade unions who were at the time calling for cessation of the collective job action. A subsequent application for a Disposal Order before this court was dismissed on the basis that the order having been sought against the trade unions instead of the </w:t>
      </w:r>
      <w:r w:rsidR="00DC7A6E">
        <w:rPr>
          <w:rFonts w:cs="Tahoma"/>
          <w:szCs w:val="24"/>
          <w:lang w:val="en-US"/>
        </w:rPr>
        <w:lastRenderedPageBreak/>
        <w:t xml:space="preserve">individual employees involved in the collective job action that order was not lawful. A second show cause </w:t>
      </w:r>
      <w:r w:rsidR="00283225">
        <w:rPr>
          <w:rFonts w:cs="Tahoma"/>
          <w:szCs w:val="24"/>
          <w:lang w:val="en-US"/>
        </w:rPr>
        <w:t>w</w:t>
      </w:r>
      <w:r w:rsidR="00DC7A6E">
        <w:rPr>
          <w:rFonts w:cs="Tahoma"/>
          <w:szCs w:val="24"/>
          <w:lang w:val="en-US"/>
        </w:rPr>
        <w:t>as later issued</w:t>
      </w:r>
      <w:r w:rsidR="00283225">
        <w:rPr>
          <w:rFonts w:cs="Tahoma"/>
          <w:szCs w:val="24"/>
          <w:lang w:val="en-US"/>
        </w:rPr>
        <w:t>.</w:t>
      </w:r>
      <w:r w:rsidR="00DC7A6E">
        <w:rPr>
          <w:rFonts w:cs="Tahoma"/>
          <w:szCs w:val="24"/>
          <w:lang w:val="en-US"/>
        </w:rPr>
        <w:t xml:space="preserve"> </w:t>
      </w:r>
      <w:r w:rsidR="00283225">
        <w:rPr>
          <w:rFonts w:cs="Tahoma"/>
          <w:szCs w:val="24"/>
          <w:lang w:val="en-US"/>
        </w:rPr>
        <w:t>After</w:t>
      </w:r>
      <w:r w:rsidR="00DC7A6E">
        <w:rPr>
          <w:rFonts w:cs="Tahoma"/>
          <w:szCs w:val="24"/>
          <w:lang w:val="en-US"/>
        </w:rPr>
        <w:t xml:space="preserve"> the hearing of </w:t>
      </w:r>
      <w:r w:rsidR="00283225">
        <w:rPr>
          <w:rFonts w:cs="Tahoma"/>
          <w:szCs w:val="24"/>
          <w:lang w:val="en-US"/>
        </w:rPr>
        <w:t>an</w:t>
      </w:r>
      <w:r w:rsidR="00DC7A6E">
        <w:rPr>
          <w:rFonts w:cs="Tahoma"/>
          <w:szCs w:val="24"/>
          <w:lang w:val="en-US"/>
        </w:rPr>
        <w:t xml:space="preserve"> application for a Disposal Order this court issued an order declaring the collective job action as unlawful and therefore to be terminated immediately</w:t>
      </w:r>
      <w:r w:rsidR="00601EF5">
        <w:rPr>
          <w:rFonts w:cs="Tahoma"/>
          <w:szCs w:val="24"/>
          <w:lang w:val="en-US"/>
        </w:rPr>
        <w:t xml:space="preserve">. The Respondent was authorized to deduct </w:t>
      </w:r>
      <w:proofErr w:type="spellStart"/>
      <w:r w:rsidR="00601EF5">
        <w:rPr>
          <w:rFonts w:cs="Tahoma"/>
          <w:szCs w:val="24"/>
          <w:lang w:val="en-US"/>
        </w:rPr>
        <w:t>salarys</w:t>
      </w:r>
      <w:proofErr w:type="spellEnd"/>
      <w:r w:rsidR="00601EF5">
        <w:rPr>
          <w:rFonts w:cs="Tahoma"/>
          <w:szCs w:val="24"/>
          <w:lang w:val="en-US"/>
        </w:rPr>
        <w:t xml:space="preserve"> for the Applicant</w:t>
      </w:r>
      <w:r w:rsidR="00283225">
        <w:rPr>
          <w:rFonts w:cs="Tahoma"/>
          <w:szCs w:val="24"/>
          <w:lang w:val="en-US"/>
        </w:rPr>
        <w:t>s</w:t>
      </w:r>
      <w:r w:rsidR="00601EF5">
        <w:rPr>
          <w:rFonts w:cs="Tahoma"/>
          <w:szCs w:val="24"/>
          <w:lang w:val="en-US"/>
        </w:rPr>
        <w:t xml:space="preserve"> for the period of the c</w:t>
      </w:r>
      <w:r w:rsidR="00283225">
        <w:rPr>
          <w:rFonts w:cs="Tahoma"/>
          <w:szCs w:val="24"/>
          <w:lang w:val="en-US"/>
        </w:rPr>
        <w:t xml:space="preserve">ollective job action. Applicants </w:t>
      </w:r>
      <w:r w:rsidR="00601EF5">
        <w:rPr>
          <w:rFonts w:cs="Tahoma"/>
          <w:szCs w:val="24"/>
          <w:lang w:val="en-US"/>
        </w:rPr>
        <w:t xml:space="preserve">who did not report for work within 48 hours of the disposal order were to be summarily dismissed. </w:t>
      </w:r>
      <w:r w:rsidR="00283225">
        <w:rPr>
          <w:rFonts w:cs="Tahoma"/>
          <w:szCs w:val="24"/>
          <w:lang w:val="en-US"/>
        </w:rPr>
        <w:t>H</w:t>
      </w:r>
      <w:r w:rsidR="00601EF5">
        <w:rPr>
          <w:rFonts w:cs="Tahoma"/>
          <w:szCs w:val="24"/>
          <w:lang w:val="en-US"/>
        </w:rPr>
        <w:t xml:space="preserve">aving reported for work </w:t>
      </w:r>
      <w:r w:rsidR="00283225">
        <w:rPr>
          <w:rFonts w:cs="Tahoma"/>
          <w:szCs w:val="24"/>
          <w:lang w:val="en-US"/>
        </w:rPr>
        <w:t xml:space="preserve">the Applicants </w:t>
      </w:r>
      <w:r w:rsidR="00601EF5">
        <w:rPr>
          <w:rFonts w:cs="Tahoma"/>
          <w:szCs w:val="24"/>
          <w:lang w:val="en-US"/>
        </w:rPr>
        <w:t>were served with suspension letter</w:t>
      </w:r>
      <w:r w:rsidR="00283225">
        <w:rPr>
          <w:rFonts w:cs="Tahoma"/>
          <w:szCs w:val="24"/>
          <w:lang w:val="en-US"/>
        </w:rPr>
        <w:t>s</w:t>
      </w:r>
      <w:r w:rsidR="00601EF5">
        <w:rPr>
          <w:rFonts w:cs="Tahoma"/>
          <w:szCs w:val="24"/>
          <w:lang w:val="en-US"/>
        </w:rPr>
        <w:t xml:space="preserve"> and notifications of hearings. The charges </w:t>
      </w:r>
      <w:r w:rsidR="00283225">
        <w:rPr>
          <w:rFonts w:cs="Tahoma"/>
          <w:szCs w:val="24"/>
          <w:lang w:val="en-US"/>
        </w:rPr>
        <w:t>levelled</w:t>
      </w:r>
      <w:r w:rsidR="00601EF5">
        <w:rPr>
          <w:rFonts w:cs="Tahoma"/>
          <w:szCs w:val="24"/>
          <w:lang w:val="en-US"/>
        </w:rPr>
        <w:t xml:space="preserve"> </w:t>
      </w:r>
      <w:r w:rsidR="00CF6401">
        <w:rPr>
          <w:rFonts w:cs="Tahoma"/>
          <w:szCs w:val="24"/>
          <w:lang w:val="en-US"/>
        </w:rPr>
        <w:t>related to</w:t>
      </w:r>
      <w:r w:rsidR="00601EF5">
        <w:rPr>
          <w:rFonts w:cs="Tahoma"/>
          <w:szCs w:val="24"/>
          <w:lang w:val="en-US"/>
        </w:rPr>
        <w:t xml:space="preserve"> absence from work during the pe</w:t>
      </w:r>
      <w:r w:rsidR="00CF6401">
        <w:rPr>
          <w:rFonts w:cs="Tahoma"/>
          <w:szCs w:val="24"/>
          <w:lang w:val="en-US"/>
        </w:rPr>
        <w:t>riod of collective job action. Some of t</w:t>
      </w:r>
      <w:r w:rsidR="00601EF5">
        <w:rPr>
          <w:rFonts w:cs="Tahoma"/>
          <w:szCs w:val="24"/>
          <w:lang w:val="en-US"/>
        </w:rPr>
        <w:t xml:space="preserve">he </w:t>
      </w:r>
      <w:r w:rsidR="00CF6401">
        <w:rPr>
          <w:rFonts w:cs="Tahoma"/>
          <w:szCs w:val="24"/>
          <w:lang w:val="en-US"/>
        </w:rPr>
        <w:t>Applicants</w:t>
      </w:r>
      <w:r w:rsidR="00601EF5">
        <w:rPr>
          <w:rFonts w:cs="Tahoma"/>
          <w:szCs w:val="24"/>
          <w:lang w:val="en-US"/>
        </w:rPr>
        <w:t xml:space="preserve"> were</w:t>
      </w:r>
      <w:r w:rsidR="00CF6401">
        <w:rPr>
          <w:rFonts w:cs="Tahoma"/>
          <w:szCs w:val="24"/>
          <w:lang w:val="en-US"/>
        </w:rPr>
        <w:t xml:space="preserve"> later</w:t>
      </w:r>
      <w:r w:rsidR="00601EF5">
        <w:rPr>
          <w:rFonts w:cs="Tahoma"/>
          <w:szCs w:val="24"/>
          <w:lang w:val="en-US"/>
        </w:rPr>
        <w:t xml:space="preserve"> arr</w:t>
      </w:r>
      <w:r w:rsidR="00CF6401">
        <w:rPr>
          <w:rFonts w:cs="Tahoma"/>
          <w:szCs w:val="24"/>
          <w:lang w:val="en-US"/>
        </w:rPr>
        <w:t>aigned for d</w:t>
      </w:r>
      <w:r w:rsidR="00601EF5">
        <w:rPr>
          <w:rFonts w:cs="Tahoma"/>
          <w:szCs w:val="24"/>
          <w:lang w:val="en-US"/>
        </w:rPr>
        <w:t>isciplinary hearing</w:t>
      </w:r>
      <w:r w:rsidR="00CF6401">
        <w:rPr>
          <w:rFonts w:cs="Tahoma"/>
          <w:szCs w:val="24"/>
          <w:lang w:val="en-US"/>
        </w:rPr>
        <w:t>s</w:t>
      </w:r>
      <w:r w:rsidR="00601EF5">
        <w:rPr>
          <w:rFonts w:cs="Tahoma"/>
          <w:szCs w:val="24"/>
          <w:lang w:val="en-US"/>
        </w:rPr>
        <w:t xml:space="preserve"> and were consequently </w:t>
      </w:r>
      <w:r w:rsidR="00E9115F">
        <w:rPr>
          <w:rFonts w:cs="Tahoma"/>
          <w:szCs w:val="24"/>
          <w:lang w:val="en-US"/>
        </w:rPr>
        <w:t>dismissed from employment. Thereafter they noted appeals to the General Manager</w:t>
      </w:r>
      <w:r w:rsidR="00D6638E">
        <w:rPr>
          <w:rFonts w:cs="Tahoma"/>
          <w:szCs w:val="24"/>
          <w:lang w:val="en-US"/>
        </w:rPr>
        <w:t xml:space="preserve">. </w:t>
      </w:r>
      <w:r w:rsidR="00CF6401">
        <w:rPr>
          <w:rFonts w:cs="Tahoma"/>
          <w:szCs w:val="24"/>
          <w:lang w:val="en-US"/>
        </w:rPr>
        <w:t>Of this group</w:t>
      </w:r>
      <w:r w:rsidR="00D6638E">
        <w:rPr>
          <w:rFonts w:cs="Tahoma"/>
          <w:szCs w:val="24"/>
          <w:lang w:val="en-US"/>
        </w:rPr>
        <w:t xml:space="preserve"> some </w:t>
      </w:r>
      <w:r w:rsidR="001C02D7">
        <w:rPr>
          <w:rFonts w:cs="Tahoma"/>
          <w:szCs w:val="24"/>
          <w:lang w:val="en-US"/>
        </w:rPr>
        <w:t xml:space="preserve">were advised of the outcome of their matters before the Disciplinary Committee </w:t>
      </w:r>
      <w:r w:rsidR="00455A27">
        <w:rPr>
          <w:rFonts w:cs="Tahoma"/>
          <w:szCs w:val="24"/>
          <w:lang w:val="en-US"/>
        </w:rPr>
        <w:t xml:space="preserve">but others were not advised. </w:t>
      </w:r>
      <w:r w:rsidR="002E3FD2">
        <w:rPr>
          <w:rFonts w:cs="Tahoma"/>
          <w:szCs w:val="24"/>
          <w:lang w:val="en-US"/>
        </w:rPr>
        <w:t xml:space="preserve">They referred their dispute under </w:t>
      </w:r>
      <w:r w:rsidR="002E3FD2">
        <w:rPr>
          <w:rFonts w:cs="Tahoma"/>
          <w:b/>
          <w:bCs/>
          <w:szCs w:val="24"/>
          <w:lang w:val="en-US"/>
        </w:rPr>
        <w:t xml:space="preserve">section 101 (6) </w:t>
      </w:r>
      <w:r w:rsidR="002E3FD2">
        <w:rPr>
          <w:rFonts w:cs="Tahoma"/>
          <w:szCs w:val="24"/>
          <w:lang w:val="en-US"/>
        </w:rPr>
        <w:t xml:space="preserve">of the </w:t>
      </w:r>
      <w:r w:rsidR="002E3FD2" w:rsidRPr="00CF6401">
        <w:rPr>
          <w:rFonts w:cs="Tahoma"/>
          <w:b/>
          <w:szCs w:val="24"/>
          <w:lang w:val="en-US"/>
        </w:rPr>
        <w:t>Act</w:t>
      </w:r>
      <w:r w:rsidR="002E3FD2">
        <w:rPr>
          <w:rFonts w:cs="Tahoma"/>
          <w:szCs w:val="24"/>
          <w:lang w:val="en-US"/>
        </w:rPr>
        <w:t xml:space="preserve"> to the Designated </w:t>
      </w:r>
      <w:r w:rsidR="00AF0D36">
        <w:rPr>
          <w:rFonts w:cs="Tahoma"/>
          <w:szCs w:val="24"/>
          <w:lang w:val="en-US"/>
        </w:rPr>
        <w:t xml:space="preserve">Agent on the basis that the Respondent had failed to conclude proceedings within the prescribed 30 days. </w:t>
      </w:r>
    </w:p>
    <w:p w:rsidR="00AF0D36" w:rsidRDefault="00AF0D36" w:rsidP="00F67E31">
      <w:pPr>
        <w:ind w:firstLine="720"/>
        <w:rPr>
          <w:rFonts w:cs="Tahoma"/>
          <w:szCs w:val="24"/>
          <w:lang w:val="en-US"/>
        </w:rPr>
      </w:pPr>
      <w:r>
        <w:rPr>
          <w:rFonts w:cs="Tahoma"/>
          <w:szCs w:val="24"/>
          <w:lang w:val="en-US"/>
        </w:rPr>
        <w:t xml:space="preserve">The Designated Agent in his ruling found that the hearings by the Respondent had been concluded outside the prescribed period. He directed the </w:t>
      </w:r>
      <w:r w:rsidR="00D57905">
        <w:rPr>
          <w:rFonts w:cs="Tahoma"/>
          <w:szCs w:val="24"/>
          <w:lang w:val="en-US"/>
        </w:rPr>
        <w:t>finalization</w:t>
      </w:r>
      <w:r>
        <w:rPr>
          <w:rFonts w:cs="Tahoma"/>
          <w:szCs w:val="24"/>
          <w:lang w:val="en-US"/>
        </w:rPr>
        <w:t xml:space="preserve"> of all matter no</w:t>
      </w:r>
      <w:r w:rsidR="00CF6401">
        <w:rPr>
          <w:rFonts w:cs="Tahoma"/>
          <w:szCs w:val="24"/>
          <w:lang w:val="en-US"/>
        </w:rPr>
        <w:t>t</w:t>
      </w:r>
      <w:r>
        <w:rPr>
          <w:rFonts w:cs="Tahoma"/>
          <w:szCs w:val="24"/>
          <w:lang w:val="en-US"/>
        </w:rPr>
        <w:t xml:space="preserve"> later than 31</w:t>
      </w:r>
      <w:r w:rsidR="00CF6401" w:rsidRPr="00CF6401">
        <w:rPr>
          <w:rFonts w:cs="Tahoma"/>
          <w:szCs w:val="24"/>
          <w:vertAlign w:val="superscript"/>
          <w:lang w:val="en-US"/>
        </w:rPr>
        <w:t>st</w:t>
      </w:r>
      <w:r>
        <w:rPr>
          <w:rFonts w:cs="Tahoma"/>
          <w:szCs w:val="24"/>
          <w:lang w:val="en-US"/>
        </w:rPr>
        <w:t xml:space="preserve"> January 2017.</w:t>
      </w:r>
      <w:r w:rsidR="00D57905">
        <w:rPr>
          <w:rFonts w:cs="Tahoma"/>
          <w:szCs w:val="24"/>
          <w:lang w:val="en-US"/>
        </w:rPr>
        <w:t xml:space="preserve"> All employees who would</w:t>
      </w:r>
      <w:r w:rsidR="00971AFC">
        <w:rPr>
          <w:rFonts w:cs="Tahoma"/>
          <w:szCs w:val="24"/>
          <w:lang w:val="en-US"/>
        </w:rPr>
        <w:t xml:space="preserve"> not have received outcomes after 31</w:t>
      </w:r>
      <w:r w:rsidR="00CF6401" w:rsidRPr="00CF6401">
        <w:rPr>
          <w:rFonts w:cs="Tahoma"/>
          <w:szCs w:val="24"/>
          <w:vertAlign w:val="superscript"/>
          <w:lang w:val="en-US"/>
        </w:rPr>
        <w:t>st</w:t>
      </w:r>
      <w:r w:rsidR="00971AFC">
        <w:rPr>
          <w:rFonts w:cs="Tahoma"/>
          <w:szCs w:val="24"/>
          <w:lang w:val="en-US"/>
        </w:rPr>
        <w:t xml:space="preserve"> January</w:t>
      </w:r>
      <w:r w:rsidR="00CF6401">
        <w:rPr>
          <w:rFonts w:cs="Tahoma"/>
          <w:szCs w:val="24"/>
          <w:lang w:val="en-US"/>
        </w:rPr>
        <w:t xml:space="preserve"> 2017</w:t>
      </w:r>
      <w:r w:rsidR="00D57905">
        <w:rPr>
          <w:rFonts w:cs="Tahoma"/>
          <w:szCs w:val="24"/>
          <w:lang w:val="en-US"/>
        </w:rPr>
        <w:t xml:space="preserve"> </w:t>
      </w:r>
      <w:r w:rsidR="000B78E8">
        <w:rPr>
          <w:rFonts w:cs="Tahoma"/>
          <w:szCs w:val="24"/>
          <w:lang w:val="en-US"/>
        </w:rPr>
        <w:t xml:space="preserve">would </w:t>
      </w:r>
      <w:r w:rsidR="00D57905">
        <w:rPr>
          <w:rFonts w:cs="Tahoma"/>
          <w:szCs w:val="24"/>
          <w:lang w:val="en-US"/>
        </w:rPr>
        <w:t xml:space="preserve">be deemed as reinstated </w:t>
      </w:r>
      <w:r w:rsidR="00CB4435">
        <w:rPr>
          <w:rFonts w:cs="Tahoma"/>
          <w:szCs w:val="24"/>
          <w:lang w:val="en-US"/>
        </w:rPr>
        <w:t xml:space="preserve">to </w:t>
      </w:r>
      <w:r w:rsidR="00971AFC">
        <w:rPr>
          <w:rFonts w:cs="Tahoma"/>
          <w:szCs w:val="24"/>
          <w:lang w:val="en-US"/>
        </w:rPr>
        <w:t>their original positions</w:t>
      </w:r>
      <w:r w:rsidR="000B78E8">
        <w:rPr>
          <w:rFonts w:cs="Tahoma"/>
          <w:szCs w:val="24"/>
          <w:lang w:val="en-US"/>
        </w:rPr>
        <w:t xml:space="preserve"> without loss of salary and benefits from the dates of suspension. </w:t>
      </w:r>
      <w:r w:rsidR="00CB7C0A">
        <w:rPr>
          <w:rFonts w:cs="Tahoma"/>
          <w:szCs w:val="24"/>
          <w:lang w:val="en-US"/>
        </w:rPr>
        <w:t>The Applicant</w:t>
      </w:r>
      <w:r w:rsidR="00CF6401">
        <w:rPr>
          <w:rFonts w:cs="Tahoma"/>
          <w:szCs w:val="24"/>
          <w:lang w:val="en-US"/>
        </w:rPr>
        <w:t>s</w:t>
      </w:r>
      <w:r w:rsidR="00CB7C0A">
        <w:rPr>
          <w:rFonts w:cs="Tahoma"/>
          <w:szCs w:val="24"/>
          <w:lang w:val="en-US"/>
        </w:rPr>
        <w:t xml:space="preserve"> did report for duty at their various stations but were advised of their dismissal from employment by Respondent. Aggrieved they noted an appeal as well as an application for review with this court. The court </w:t>
      </w:r>
      <w:r w:rsidR="00734EC4">
        <w:rPr>
          <w:rFonts w:cs="Tahoma"/>
          <w:szCs w:val="24"/>
          <w:lang w:val="en-US"/>
        </w:rPr>
        <w:t>heard the application for review first and handed down a judgement</w:t>
      </w:r>
      <w:r w:rsidR="00C94C6F">
        <w:rPr>
          <w:rFonts w:cs="Tahoma"/>
          <w:szCs w:val="24"/>
          <w:lang w:val="en-US"/>
        </w:rPr>
        <w:t xml:space="preserve"> under</w:t>
      </w:r>
      <w:r w:rsidR="00CF6401">
        <w:rPr>
          <w:rFonts w:cs="Tahoma"/>
          <w:szCs w:val="24"/>
          <w:lang w:val="en-US"/>
        </w:rPr>
        <w:t xml:space="preserve"> reference LC/H</w:t>
      </w:r>
      <w:r w:rsidR="00C94C6F">
        <w:rPr>
          <w:rFonts w:cs="Tahoma"/>
          <w:szCs w:val="24"/>
          <w:lang w:val="en-US"/>
        </w:rPr>
        <w:t>/239/2019</w:t>
      </w:r>
      <w:r w:rsidR="00734EC4">
        <w:rPr>
          <w:rFonts w:cs="Tahoma"/>
          <w:szCs w:val="24"/>
          <w:lang w:val="en-US"/>
        </w:rPr>
        <w:t xml:space="preserve">. It is against that </w:t>
      </w:r>
      <w:proofErr w:type="gramStart"/>
      <w:r w:rsidR="00734EC4">
        <w:rPr>
          <w:rFonts w:cs="Tahoma"/>
          <w:szCs w:val="24"/>
          <w:lang w:val="en-US"/>
        </w:rPr>
        <w:t>judgement the Applicant are</w:t>
      </w:r>
      <w:proofErr w:type="gramEnd"/>
      <w:r w:rsidR="00734EC4">
        <w:rPr>
          <w:rFonts w:cs="Tahoma"/>
          <w:szCs w:val="24"/>
          <w:lang w:val="en-US"/>
        </w:rPr>
        <w:t xml:space="preserve"> seeking leave to appeal from this court. </w:t>
      </w:r>
    </w:p>
    <w:p w:rsidR="00734EC4" w:rsidRDefault="00734EC4" w:rsidP="00F67E31">
      <w:pPr>
        <w:ind w:firstLine="720"/>
        <w:rPr>
          <w:rFonts w:cs="Tahoma"/>
          <w:szCs w:val="24"/>
          <w:lang w:val="en-US"/>
        </w:rPr>
      </w:pPr>
      <w:r>
        <w:rPr>
          <w:rFonts w:cs="Tahoma"/>
          <w:szCs w:val="24"/>
          <w:lang w:val="en-US"/>
        </w:rPr>
        <w:t>At the hearing of the application</w:t>
      </w:r>
      <w:r w:rsidR="00CF6401">
        <w:rPr>
          <w:rFonts w:cs="Tahoma"/>
          <w:szCs w:val="24"/>
          <w:lang w:val="en-US"/>
        </w:rPr>
        <w:t xml:space="preserve"> </w:t>
      </w:r>
      <w:proofErr w:type="spellStart"/>
      <w:r w:rsidR="00CF6401">
        <w:rPr>
          <w:rFonts w:cs="Tahoma"/>
          <w:szCs w:val="24"/>
          <w:lang w:val="en-US"/>
        </w:rPr>
        <w:t>Mr</w:t>
      </w:r>
      <w:proofErr w:type="spellEnd"/>
      <w:r w:rsidR="00CF6401">
        <w:rPr>
          <w:rFonts w:cs="Tahoma"/>
          <w:szCs w:val="24"/>
          <w:lang w:val="en-US"/>
        </w:rPr>
        <w:t xml:space="preserve"> </w:t>
      </w:r>
      <w:proofErr w:type="spellStart"/>
      <w:r w:rsidR="00CF6401">
        <w:rPr>
          <w:rFonts w:cs="Tahoma"/>
          <w:szCs w:val="24"/>
          <w:lang w:val="en-US"/>
        </w:rPr>
        <w:t>Muchadehama</w:t>
      </w:r>
      <w:proofErr w:type="spellEnd"/>
      <w:r w:rsidR="00CF6401">
        <w:rPr>
          <w:rFonts w:cs="Tahoma"/>
          <w:szCs w:val="24"/>
          <w:lang w:val="en-US"/>
        </w:rPr>
        <w:t xml:space="preserve"> for</w:t>
      </w:r>
      <w:r>
        <w:rPr>
          <w:rFonts w:cs="Tahoma"/>
          <w:szCs w:val="24"/>
          <w:lang w:val="en-US"/>
        </w:rPr>
        <w:t xml:space="preserve"> the Respondent took a point in </w:t>
      </w:r>
      <w:proofErr w:type="spellStart"/>
      <w:r>
        <w:rPr>
          <w:rFonts w:cs="Tahoma"/>
          <w:i/>
          <w:iCs/>
          <w:szCs w:val="24"/>
          <w:lang w:val="en-US"/>
        </w:rPr>
        <w:t>limine</w:t>
      </w:r>
      <w:proofErr w:type="spellEnd"/>
      <w:r>
        <w:rPr>
          <w:rFonts w:cs="Tahoma"/>
          <w:szCs w:val="24"/>
          <w:lang w:val="en-US"/>
        </w:rPr>
        <w:t xml:space="preserve">. The point taken was in relation to the </w:t>
      </w:r>
      <w:r w:rsidR="0023242C">
        <w:rPr>
          <w:rFonts w:cs="Tahoma"/>
          <w:szCs w:val="24"/>
          <w:lang w:val="en-US"/>
        </w:rPr>
        <w:t>propriety</w:t>
      </w:r>
      <w:r>
        <w:rPr>
          <w:rFonts w:cs="Tahoma"/>
          <w:szCs w:val="24"/>
          <w:lang w:val="en-US"/>
        </w:rPr>
        <w:t xml:space="preserve"> </w:t>
      </w:r>
      <w:r w:rsidR="000A02D2">
        <w:rPr>
          <w:rFonts w:cs="Tahoma"/>
          <w:szCs w:val="24"/>
          <w:lang w:val="en-US"/>
        </w:rPr>
        <w:t xml:space="preserve">of some of the Applicants before </w:t>
      </w:r>
      <w:r w:rsidR="00C10B7D">
        <w:rPr>
          <w:rFonts w:cs="Tahoma"/>
          <w:szCs w:val="24"/>
          <w:lang w:val="en-US"/>
        </w:rPr>
        <w:t xml:space="preserve">this court. It was </w:t>
      </w:r>
      <w:r w:rsidR="00CF6401">
        <w:rPr>
          <w:rFonts w:cs="Tahoma"/>
          <w:szCs w:val="24"/>
          <w:lang w:val="en-US"/>
        </w:rPr>
        <w:t>his</w:t>
      </w:r>
      <w:r w:rsidR="00C10B7D">
        <w:rPr>
          <w:rFonts w:cs="Tahoma"/>
          <w:szCs w:val="24"/>
          <w:lang w:val="en-US"/>
        </w:rPr>
        <w:t xml:space="preserve"> submissions that only </w:t>
      </w:r>
      <w:proofErr w:type="spellStart"/>
      <w:r w:rsidR="00584B10">
        <w:rPr>
          <w:rFonts w:cs="Tahoma"/>
          <w:szCs w:val="24"/>
          <w:lang w:val="en-US"/>
        </w:rPr>
        <w:t>Lovemore</w:t>
      </w:r>
      <w:proofErr w:type="spellEnd"/>
      <w:r w:rsidR="00584B10">
        <w:rPr>
          <w:rFonts w:cs="Tahoma"/>
          <w:szCs w:val="24"/>
          <w:lang w:val="en-US"/>
        </w:rPr>
        <w:t xml:space="preserve"> </w:t>
      </w:r>
      <w:proofErr w:type="spellStart"/>
      <w:r w:rsidR="00584B10">
        <w:rPr>
          <w:rFonts w:cs="Tahoma"/>
          <w:szCs w:val="24"/>
          <w:lang w:val="en-US"/>
        </w:rPr>
        <w:t>Kamuka</w:t>
      </w:r>
      <w:proofErr w:type="spellEnd"/>
      <w:r w:rsidR="00584B10">
        <w:rPr>
          <w:rFonts w:cs="Tahoma"/>
          <w:szCs w:val="24"/>
          <w:lang w:val="en-US"/>
        </w:rPr>
        <w:t xml:space="preserve"> was </w:t>
      </w:r>
      <w:r w:rsidR="00CB4435">
        <w:rPr>
          <w:rFonts w:cs="Tahoma"/>
          <w:szCs w:val="24"/>
          <w:lang w:val="en-US"/>
        </w:rPr>
        <w:t>properly</w:t>
      </w:r>
      <w:r w:rsidR="00584B10">
        <w:rPr>
          <w:rFonts w:cs="Tahoma"/>
          <w:szCs w:val="24"/>
          <w:lang w:val="en-US"/>
        </w:rPr>
        <w:t xml:space="preserve"> before this court. The rest of the Applicants i.e. </w:t>
      </w:r>
      <w:r w:rsidR="008160B3">
        <w:rPr>
          <w:rFonts w:cs="Tahoma"/>
          <w:szCs w:val="24"/>
          <w:lang w:val="en-US"/>
        </w:rPr>
        <w:t>the</w:t>
      </w:r>
      <w:r w:rsidR="0023242C">
        <w:rPr>
          <w:rFonts w:cs="Tahoma"/>
          <w:szCs w:val="24"/>
          <w:lang w:val="en-US"/>
        </w:rPr>
        <w:t xml:space="preserve"> 2</w:t>
      </w:r>
      <w:r w:rsidR="0023242C" w:rsidRPr="0023242C">
        <w:rPr>
          <w:rFonts w:cs="Tahoma"/>
          <w:szCs w:val="24"/>
          <w:vertAlign w:val="superscript"/>
          <w:lang w:val="en-US"/>
        </w:rPr>
        <w:t>nd</w:t>
      </w:r>
      <w:r w:rsidR="0023242C">
        <w:rPr>
          <w:rFonts w:cs="Tahoma"/>
          <w:szCs w:val="24"/>
          <w:lang w:val="en-US"/>
        </w:rPr>
        <w:t xml:space="preserve"> – 32</w:t>
      </w:r>
      <w:r w:rsidR="0023242C" w:rsidRPr="0023242C">
        <w:rPr>
          <w:rFonts w:cs="Tahoma"/>
          <w:szCs w:val="24"/>
          <w:vertAlign w:val="superscript"/>
          <w:lang w:val="en-US"/>
        </w:rPr>
        <w:t>nd</w:t>
      </w:r>
      <w:r w:rsidR="00D04C22">
        <w:rPr>
          <w:rFonts w:cs="Tahoma"/>
          <w:szCs w:val="24"/>
          <w:lang w:val="en-US"/>
        </w:rPr>
        <w:t xml:space="preserve"> </w:t>
      </w:r>
      <w:r w:rsidR="0023242C">
        <w:rPr>
          <w:rFonts w:cs="Tahoma"/>
          <w:szCs w:val="24"/>
          <w:lang w:val="en-US"/>
        </w:rPr>
        <w:t>Applicants</w:t>
      </w:r>
      <w:r w:rsidR="00D04C22">
        <w:rPr>
          <w:rFonts w:cs="Tahoma"/>
          <w:szCs w:val="24"/>
          <w:lang w:val="en-US"/>
        </w:rPr>
        <w:t xml:space="preserve"> were </w:t>
      </w:r>
      <w:r w:rsidR="00D04C22">
        <w:rPr>
          <w:rFonts w:cs="Tahoma"/>
          <w:szCs w:val="24"/>
          <w:lang w:val="en-US"/>
        </w:rPr>
        <w:lastRenderedPageBreak/>
        <w:t xml:space="preserve">not properly before the court. The basis of his submission was </w:t>
      </w:r>
      <w:r w:rsidR="00D04C22">
        <w:rPr>
          <w:rFonts w:cs="Tahoma"/>
          <w:b/>
          <w:bCs/>
          <w:szCs w:val="24"/>
          <w:lang w:val="en-US"/>
        </w:rPr>
        <w:t xml:space="preserve">Rule 14 (1) </w:t>
      </w:r>
      <w:r w:rsidR="00D04C22">
        <w:rPr>
          <w:rFonts w:cs="Tahoma"/>
          <w:szCs w:val="24"/>
          <w:lang w:val="en-US"/>
        </w:rPr>
        <w:t xml:space="preserve">of the </w:t>
      </w:r>
      <w:r w:rsidR="00D04C22">
        <w:rPr>
          <w:rFonts w:cs="Tahoma"/>
          <w:b/>
          <w:bCs/>
          <w:szCs w:val="24"/>
          <w:lang w:val="en-US"/>
        </w:rPr>
        <w:t xml:space="preserve">Labour Court Rule, 2017 </w:t>
      </w:r>
      <w:r w:rsidR="00D04C22">
        <w:rPr>
          <w:rFonts w:cs="Tahoma"/>
          <w:szCs w:val="24"/>
          <w:lang w:val="en-US"/>
        </w:rPr>
        <w:t xml:space="preserve">which </w:t>
      </w:r>
      <w:r w:rsidR="0023242C">
        <w:rPr>
          <w:rFonts w:cs="Tahoma"/>
          <w:szCs w:val="24"/>
          <w:lang w:val="en-US"/>
        </w:rPr>
        <w:t xml:space="preserve">currently </w:t>
      </w:r>
      <w:r w:rsidR="00D04C22">
        <w:rPr>
          <w:rFonts w:cs="Tahoma"/>
          <w:szCs w:val="24"/>
          <w:lang w:val="en-US"/>
        </w:rPr>
        <w:t xml:space="preserve">provides for applications. </w:t>
      </w:r>
      <w:r w:rsidR="00D04C22">
        <w:rPr>
          <w:rFonts w:cs="Tahoma"/>
          <w:b/>
          <w:bCs/>
          <w:szCs w:val="24"/>
          <w:lang w:val="en-US"/>
        </w:rPr>
        <w:t xml:space="preserve">Rule 14 (1) </w:t>
      </w:r>
      <w:r w:rsidR="00D04C22">
        <w:rPr>
          <w:rFonts w:cs="Tahoma"/>
          <w:szCs w:val="24"/>
          <w:lang w:val="en-US"/>
        </w:rPr>
        <w:t xml:space="preserve">was said to provide </w:t>
      </w:r>
      <w:r w:rsidR="00D70E87">
        <w:rPr>
          <w:rFonts w:cs="Tahoma"/>
          <w:szCs w:val="24"/>
          <w:lang w:val="en-US"/>
        </w:rPr>
        <w:t xml:space="preserve">that an application to the Labour Court shall be made along with supporting affidavits and a draft order. In this particular case only </w:t>
      </w:r>
      <w:proofErr w:type="spellStart"/>
      <w:r w:rsidR="00D70E87">
        <w:rPr>
          <w:rFonts w:cs="Tahoma"/>
          <w:szCs w:val="24"/>
          <w:lang w:val="en-US"/>
        </w:rPr>
        <w:t>Lovemore</w:t>
      </w:r>
      <w:proofErr w:type="spellEnd"/>
      <w:r w:rsidR="00D70E87">
        <w:rPr>
          <w:rFonts w:cs="Tahoma"/>
          <w:szCs w:val="24"/>
          <w:lang w:val="en-US"/>
        </w:rPr>
        <w:t xml:space="preserve"> </w:t>
      </w:r>
      <w:proofErr w:type="spellStart"/>
      <w:r w:rsidR="00D70E87">
        <w:rPr>
          <w:rFonts w:cs="Tahoma"/>
          <w:szCs w:val="24"/>
          <w:lang w:val="en-US"/>
        </w:rPr>
        <w:t>Kamuka</w:t>
      </w:r>
      <w:proofErr w:type="spellEnd"/>
      <w:r w:rsidR="00D70E87">
        <w:rPr>
          <w:rFonts w:cs="Tahoma"/>
          <w:szCs w:val="24"/>
          <w:lang w:val="en-US"/>
        </w:rPr>
        <w:t xml:space="preserve"> had deposed to an Affidavit. There </w:t>
      </w:r>
      <w:r w:rsidR="00CF6401">
        <w:rPr>
          <w:rFonts w:cs="Tahoma"/>
          <w:szCs w:val="24"/>
          <w:lang w:val="en-US"/>
        </w:rPr>
        <w:t>were</w:t>
      </w:r>
      <w:r w:rsidR="00D70E87">
        <w:rPr>
          <w:rFonts w:cs="Tahoma"/>
          <w:szCs w:val="24"/>
          <w:lang w:val="en-US"/>
        </w:rPr>
        <w:t xml:space="preserve"> no supporting affidavits from the 32 other employees. What was placed before the court however was a document </w:t>
      </w:r>
      <w:r w:rsidR="00F7427E">
        <w:rPr>
          <w:rFonts w:cs="Tahoma"/>
          <w:szCs w:val="24"/>
          <w:lang w:val="en-US"/>
        </w:rPr>
        <w:t>which Respondent styled as</w:t>
      </w:r>
      <w:r w:rsidR="00CF6401">
        <w:rPr>
          <w:rFonts w:cs="Tahoma"/>
          <w:szCs w:val="24"/>
          <w:lang w:val="en-US"/>
        </w:rPr>
        <w:t xml:space="preserve"> a</w:t>
      </w:r>
      <w:r w:rsidR="00F7427E">
        <w:rPr>
          <w:rFonts w:cs="Tahoma"/>
          <w:szCs w:val="24"/>
          <w:lang w:val="en-US"/>
        </w:rPr>
        <w:t xml:space="preserve"> </w:t>
      </w:r>
      <w:r w:rsidR="00D30B30">
        <w:rPr>
          <w:rFonts w:cs="Tahoma"/>
          <w:szCs w:val="24"/>
          <w:lang w:val="en-US"/>
        </w:rPr>
        <w:t>‘declaration of m</w:t>
      </w:r>
      <w:r w:rsidR="00F7427E">
        <w:rPr>
          <w:rFonts w:cs="Tahoma"/>
          <w:szCs w:val="24"/>
          <w:lang w:val="en-US"/>
        </w:rPr>
        <w:t>andate</w:t>
      </w:r>
      <w:r w:rsidR="00D30B30">
        <w:rPr>
          <w:rFonts w:cs="Tahoma"/>
          <w:szCs w:val="24"/>
          <w:lang w:val="en-US"/>
        </w:rPr>
        <w:t>’</w:t>
      </w:r>
      <w:r w:rsidR="008A58FB">
        <w:rPr>
          <w:rFonts w:cs="Tahoma"/>
          <w:szCs w:val="24"/>
          <w:lang w:val="en-US"/>
        </w:rPr>
        <w:t xml:space="preserve">. That document </w:t>
      </w:r>
      <w:r w:rsidR="00F7427E">
        <w:rPr>
          <w:rFonts w:cs="Tahoma"/>
          <w:szCs w:val="24"/>
          <w:lang w:val="en-US"/>
        </w:rPr>
        <w:t xml:space="preserve">amongst </w:t>
      </w:r>
      <w:r w:rsidR="00B5119D">
        <w:rPr>
          <w:rFonts w:cs="Tahoma"/>
          <w:szCs w:val="24"/>
          <w:lang w:val="en-US"/>
        </w:rPr>
        <w:t xml:space="preserve">its </w:t>
      </w:r>
      <w:r w:rsidR="008A58FB">
        <w:rPr>
          <w:rFonts w:cs="Tahoma"/>
          <w:szCs w:val="24"/>
          <w:lang w:val="en-US"/>
        </w:rPr>
        <w:t>inadequacies</w:t>
      </w:r>
      <w:r w:rsidR="00D65421">
        <w:rPr>
          <w:rFonts w:cs="Tahoma"/>
          <w:szCs w:val="24"/>
          <w:lang w:val="en-US"/>
        </w:rPr>
        <w:t xml:space="preserve"> </w:t>
      </w:r>
      <w:r w:rsidR="008A58FB">
        <w:rPr>
          <w:rFonts w:cs="Tahoma"/>
          <w:szCs w:val="24"/>
          <w:lang w:val="en-US"/>
        </w:rPr>
        <w:t>seemed to predate the</w:t>
      </w:r>
      <w:r w:rsidR="001122AB">
        <w:rPr>
          <w:rFonts w:cs="Tahoma"/>
          <w:szCs w:val="24"/>
          <w:lang w:val="en-US"/>
        </w:rPr>
        <w:t xml:space="preserve"> Affidavit filed by </w:t>
      </w:r>
      <w:proofErr w:type="spellStart"/>
      <w:r w:rsidR="001122AB">
        <w:rPr>
          <w:rFonts w:cs="Tahoma"/>
          <w:szCs w:val="24"/>
          <w:lang w:val="en-US"/>
        </w:rPr>
        <w:t>Lovemore</w:t>
      </w:r>
      <w:proofErr w:type="spellEnd"/>
      <w:r w:rsidR="001122AB">
        <w:rPr>
          <w:rFonts w:cs="Tahoma"/>
          <w:szCs w:val="24"/>
          <w:lang w:val="en-US"/>
        </w:rPr>
        <w:t xml:space="preserve"> </w:t>
      </w:r>
      <w:proofErr w:type="spellStart"/>
      <w:r w:rsidR="001122AB">
        <w:rPr>
          <w:rFonts w:cs="Tahoma"/>
          <w:szCs w:val="24"/>
          <w:lang w:val="en-US"/>
        </w:rPr>
        <w:t>Kamuka</w:t>
      </w:r>
      <w:proofErr w:type="spellEnd"/>
      <w:r w:rsidR="00E518B1">
        <w:rPr>
          <w:rFonts w:cs="Tahoma"/>
          <w:szCs w:val="24"/>
          <w:lang w:val="en-US"/>
        </w:rPr>
        <w:t>.</w:t>
      </w:r>
      <w:r w:rsidR="001122AB">
        <w:rPr>
          <w:rFonts w:cs="Tahoma"/>
          <w:szCs w:val="24"/>
          <w:lang w:val="en-US"/>
        </w:rPr>
        <w:t xml:space="preserve"> </w:t>
      </w:r>
      <w:r w:rsidR="00E518B1">
        <w:rPr>
          <w:rFonts w:cs="Tahoma"/>
          <w:szCs w:val="24"/>
          <w:lang w:val="en-US"/>
        </w:rPr>
        <w:t xml:space="preserve">The second </w:t>
      </w:r>
      <w:r w:rsidR="00F91D81">
        <w:rPr>
          <w:rFonts w:cs="Tahoma"/>
          <w:szCs w:val="24"/>
          <w:lang w:val="en-US"/>
        </w:rPr>
        <w:t xml:space="preserve">inadequacy was that the </w:t>
      </w:r>
      <w:r w:rsidR="008A58FB">
        <w:rPr>
          <w:rFonts w:cs="Tahoma"/>
          <w:szCs w:val="24"/>
          <w:lang w:val="en-US"/>
        </w:rPr>
        <w:t>‘</w:t>
      </w:r>
      <w:r w:rsidR="00F91D81">
        <w:rPr>
          <w:rFonts w:cs="Tahoma"/>
          <w:szCs w:val="24"/>
          <w:lang w:val="en-US"/>
        </w:rPr>
        <w:t xml:space="preserve">declaration </w:t>
      </w:r>
      <w:r w:rsidR="00392CB1">
        <w:rPr>
          <w:rFonts w:cs="Tahoma"/>
          <w:szCs w:val="24"/>
          <w:lang w:val="en-US"/>
        </w:rPr>
        <w:t>of mandate</w:t>
      </w:r>
      <w:r w:rsidR="008A58FB">
        <w:rPr>
          <w:rFonts w:cs="Tahoma"/>
          <w:szCs w:val="24"/>
          <w:lang w:val="en-US"/>
        </w:rPr>
        <w:t>’</w:t>
      </w:r>
      <w:r w:rsidR="00392CB1">
        <w:rPr>
          <w:rFonts w:cs="Tahoma"/>
          <w:szCs w:val="24"/>
          <w:lang w:val="en-US"/>
        </w:rPr>
        <w:t xml:space="preserve"> was purporting to be a compound document covering all the 32 employees. There was no indication by the individual employees that they </w:t>
      </w:r>
      <w:r w:rsidR="000B2850">
        <w:rPr>
          <w:rFonts w:cs="Tahoma"/>
          <w:szCs w:val="24"/>
          <w:lang w:val="en-US"/>
        </w:rPr>
        <w:t>associate</w:t>
      </w:r>
      <w:r w:rsidR="0088712A">
        <w:rPr>
          <w:rFonts w:cs="Tahoma"/>
          <w:szCs w:val="24"/>
          <w:lang w:val="en-US"/>
        </w:rPr>
        <w:t>d</w:t>
      </w:r>
      <w:r w:rsidR="000B2850">
        <w:rPr>
          <w:rFonts w:cs="Tahoma"/>
          <w:szCs w:val="24"/>
          <w:lang w:val="en-US"/>
        </w:rPr>
        <w:t xml:space="preserve"> </w:t>
      </w:r>
      <w:r w:rsidR="00BA264F">
        <w:rPr>
          <w:rFonts w:cs="Tahoma"/>
          <w:szCs w:val="24"/>
          <w:lang w:val="en-US"/>
        </w:rPr>
        <w:t>with the</w:t>
      </w:r>
      <w:r w:rsidR="000B2850">
        <w:rPr>
          <w:rFonts w:cs="Tahoma"/>
          <w:szCs w:val="24"/>
          <w:lang w:val="en-US"/>
        </w:rPr>
        <w:t xml:space="preserve"> averments</w:t>
      </w:r>
      <w:r w:rsidR="00CF6401">
        <w:rPr>
          <w:rFonts w:cs="Tahoma"/>
          <w:szCs w:val="24"/>
          <w:lang w:val="en-US"/>
        </w:rPr>
        <w:t xml:space="preserve"> made</w:t>
      </w:r>
      <w:r w:rsidR="000B2850">
        <w:rPr>
          <w:rFonts w:cs="Tahoma"/>
          <w:szCs w:val="24"/>
          <w:lang w:val="en-US"/>
        </w:rPr>
        <w:t xml:space="preserve"> by </w:t>
      </w:r>
      <w:proofErr w:type="spellStart"/>
      <w:r w:rsidR="000B2850">
        <w:rPr>
          <w:rFonts w:cs="Tahoma"/>
          <w:szCs w:val="24"/>
          <w:lang w:val="en-US"/>
        </w:rPr>
        <w:t>Lovemore</w:t>
      </w:r>
      <w:proofErr w:type="spellEnd"/>
      <w:r w:rsidR="000B2850">
        <w:rPr>
          <w:rFonts w:cs="Tahoma"/>
          <w:szCs w:val="24"/>
          <w:lang w:val="en-US"/>
        </w:rPr>
        <w:t xml:space="preserve"> </w:t>
      </w:r>
      <w:proofErr w:type="spellStart"/>
      <w:r w:rsidR="000B2850">
        <w:rPr>
          <w:rFonts w:cs="Tahoma"/>
          <w:szCs w:val="24"/>
          <w:lang w:val="en-US"/>
        </w:rPr>
        <w:t>Kamuka</w:t>
      </w:r>
      <w:proofErr w:type="spellEnd"/>
      <w:r w:rsidR="00CF6401">
        <w:rPr>
          <w:rFonts w:cs="Tahoma"/>
          <w:szCs w:val="24"/>
          <w:lang w:val="en-US"/>
        </w:rPr>
        <w:t xml:space="preserve"> in his Affidavit</w:t>
      </w:r>
      <w:r w:rsidR="000B2850">
        <w:rPr>
          <w:rFonts w:cs="Tahoma"/>
          <w:szCs w:val="24"/>
          <w:lang w:val="en-US"/>
        </w:rPr>
        <w:t>.</w:t>
      </w:r>
      <w:r w:rsidR="00BA264F">
        <w:rPr>
          <w:rFonts w:cs="Tahoma"/>
          <w:szCs w:val="24"/>
          <w:lang w:val="en-US"/>
        </w:rPr>
        <w:t xml:space="preserve"> </w:t>
      </w:r>
      <w:proofErr w:type="spellStart"/>
      <w:r w:rsidR="000B2850">
        <w:rPr>
          <w:rFonts w:cs="Tahoma"/>
          <w:szCs w:val="24"/>
          <w:lang w:val="en-US"/>
        </w:rPr>
        <w:t>Mr</w:t>
      </w:r>
      <w:proofErr w:type="spellEnd"/>
      <w:r w:rsidR="000B2850">
        <w:rPr>
          <w:rFonts w:cs="Tahoma"/>
          <w:szCs w:val="24"/>
          <w:lang w:val="en-US"/>
        </w:rPr>
        <w:t xml:space="preserve"> </w:t>
      </w:r>
      <w:proofErr w:type="spellStart"/>
      <w:r w:rsidR="007D3CFB">
        <w:rPr>
          <w:rFonts w:cs="Tahoma"/>
          <w:szCs w:val="24"/>
          <w:lang w:val="en-US"/>
        </w:rPr>
        <w:t>Muchadehama</w:t>
      </w:r>
      <w:proofErr w:type="spellEnd"/>
      <w:r w:rsidR="007D3CFB">
        <w:rPr>
          <w:rFonts w:cs="Tahoma"/>
          <w:szCs w:val="24"/>
          <w:lang w:val="en-US"/>
        </w:rPr>
        <w:t xml:space="preserve"> further submitted that to the extent that the </w:t>
      </w:r>
      <w:r w:rsidR="0088712A">
        <w:rPr>
          <w:rFonts w:cs="Tahoma"/>
          <w:szCs w:val="24"/>
          <w:lang w:val="en-US"/>
        </w:rPr>
        <w:t>‘</w:t>
      </w:r>
      <w:r w:rsidR="007D3CFB">
        <w:rPr>
          <w:rFonts w:cs="Tahoma"/>
          <w:szCs w:val="24"/>
          <w:lang w:val="en-US"/>
        </w:rPr>
        <w:t xml:space="preserve">declaration </w:t>
      </w:r>
      <w:r w:rsidR="0088712A">
        <w:rPr>
          <w:rFonts w:cs="Tahoma"/>
          <w:szCs w:val="24"/>
          <w:lang w:val="en-US"/>
        </w:rPr>
        <w:t>of m</w:t>
      </w:r>
      <w:r w:rsidR="004522E4">
        <w:rPr>
          <w:rFonts w:cs="Tahoma"/>
          <w:szCs w:val="24"/>
          <w:lang w:val="en-US"/>
        </w:rPr>
        <w:t>andate</w:t>
      </w:r>
      <w:r w:rsidR="0088712A">
        <w:rPr>
          <w:rFonts w:cs="Tahoma"/>
          <w:szCs w:val="24"/>
          <w:lang w:val="en-US"/>
        </w:rPr>
        <w:t>’</w:t>
      </w:r>
      <w:r w:rsidR="004522E4">
        <w:rPr>
          <w:rFonts w:cs="Tahoma"/>
          <w:szCs w:val="24"/>
          <w:lang w:val="en-US"/>
        </w:rPr>
        <w:t xml:space="preserve"> did not carry</w:t>
      </w:r>
      <w:r w:rsidR="0088712A">
        <w:rPr>
          <w:rFonts w:cs="Tahoma"/>
          <w:szCs w:val="24"/>
          <w:lang w:val="en-US"/>
        </w:rPr>
        <w:t xml:space="preserve"> the</w:t>
      </w:r>
      <w:r w:rsidR="004522E4">
        <w:rPr>
          <w:rFonts w:cs="Tahoma"/>
          <w:szCs w:val="24"/>
          <w:lang w:val="en-US"/>
        </w:rPr>
        <w:t xml:space="preserve"> characteri</w:t>
      </w:r>
      <w:r w:rsidR="0088712A">
        <w:rPr>
          <w:rFonts w:cs="Tahoma"/>
          <w:szCs w:val="24"/>
          <w:lang w:val="en-US"/>
        </w:rPr>
        <w:t>stics of a supporting affidavit</w:t>
      </w:r>
      <w:r w:rsidR="004522E4">
        <w:rPr>
          <w:rFonts w:cs="Tahoma"/>
          <w:szCs w:val="24"/>
          <w:lang w:val="en-US"/>
        </w:rPr>
        <w:t xml:space="preserve"> the document was not a supporting </w:t>
      </w:r>
      <w:r w:rsidR="0088712A">
        <w:rPr>
          <w:rFonts w:cs="Tahoma"/>
          <w:szCs w:val="24"/>
          <w:lang w:val="en-US"/>
        </w:rPr>
        <w:t>affidavit</w:t>
      </w:r>
      <w:r w:rsidR="00F34697">
        <w:rPr>
          <w:rFonts w:cs="Tahoma"/>
          <w:szCs w:val="24"/>
          <w:lang w:val="en-US"/>
        </w:rPr>
        <w:t xml:space="preserve"> as envisaged in </w:t>
      </w:r>
      <w:r w:rsidR="00F34697">
        <w:rPr>
          <w:rFonts w:cs="Tahoma"/>
          <w:b/>
          <w:bCs/>
          <w:szCs w:val="24"/>
          <w:lang w:val="en-US"/>
        </w:rPr>
        <w:t>Rule 14 (1)</w:t>
      </w:r>
      <w:r w:rsidR="00835A6E">
        <w:rPr>
          <w:rFonts w:cs="Tahoma"/>
          <w:szCs w:val="24"/>
          <w:lang w:val="en-US"/>
        </w:rPr>
        <w:t xml:space="preserve">. </w:t>
      </w:r>
      <w:proofErr w:type="spellStart"/>
      <w:r w:rsidR="00835A6E">
        <w:rPr>
          <w:rFonts w:cs="Tahoma"/>
          <w:szCs w:val="24"/>
          <w:lang w:val="en-US"/>
        </w:rPr>
        <w:t>Mr</w:t>
      </w:r>
      <w:proofErr w:type="spellEnd"/>
      <w:r w:rsidR="00835A6E">
        <w:rPr>
          <w:rFonts w:cs="Tahoma"/>
          <w:szCs w:val="24"/>
          <w:lang w:val="en-US"/>
        </w:rPr>
        <w:t xml:space="preserve"> </w:t>
      </w:r>
      <w:proofErr w:type="spellStart"/>
      <w:r w:rsidR="00835A6E">
        <w:rPr>
          <w:rFonts w:cs="Tahoma"/>
          <w:szCs w:val="24"/>
          <w:lang w:val="en-US"/>
        </w:rPr>
        <w:t>Much</w:t>
      </w:r>
      <w:r w:rsidR="008160B3">
        <w:rPr>
          <w:rFonts w:cs="Tahoma"/>
          <w:szCs w:val="24"/>
          <w:lang w:val="en-US"/>
        </w:rPr>
        <w:t>a</w:t>
      </w:r>
      <w:r w:rsidR="00835A6E">
        <w:rPr>
          <w:rFonts w:cs="Tahoma"/>
          <w:szCs w:val="24"/>
          <w:lang w:val="en-US"/>
        </w:rPr>
        <w:t>dehama</w:t>
      </w:r>
      <w:proofErr w:type="spellEnd"/>
      <w:r w:rsidR="00835A6E">
        <w:rPr>
          <w:rFonts w:cs="Tahoma"/>
          <w:szCs w:val="24"/>
          <w:lang w:val="en-US"/>
        </w:rPr>
        <w:t xml:space="preserve"> also alluded to</w:t>
      </w:r>
      <w:r w:rsidR="0088712A">
        <w:rPr>
          <w:rFonts w:cs="Tahoma"/>
          <w:szCs w:val="24"/>
          <w:lang w:val="en-US"/>
        </w:rPr>
        <w:t xml:space="preserve"> further</w:t>
      </w:r>
      <w:r w:rsidR="00835A6E">
        <w:rPr>
          <w:rFonts w:cs="Tahoma"/>
          <w:szCs w:val="24"/>
          <w:lang w:val="en-US"/>
        </w:rPr>
        <w:t xml:space="preserve"> paten</w:t>
      </w:r>
      <w:r w:rsidR="0088712A">
        <w:rPr>
          <w:rFonts w:cs="Tahoma"/>
          <w:szCs w:val="24"/>
          <w:lang w:val="en-US"/>
        </w:rPr>
        <w:t>t errors in the document in</w:t>
      </w:r>
      <w:r w:rsidR="00835A6E">
        <w:rPr>
          <w:rFonts w:cs="Tahoma"/>
          <w:szCs w:val="24"/>
          <w:lang w:val="en-US"/>
        </w:rPr>
        <w:t xml:space="preserve"> that the</w:t>
      </w:r>
      <w:r w:rsidR="007320F2">
        <w:rPr>
          <w:rFonts w:cs="Tahoma"/>
          <w:szCs w:val="24"/>
          <w:lang w:val="en-US"/>
        </w:rPr>
        <w:t xml:space="preserve"> date of signing of</w:t>
      </w:r>
      <w:r w:rsidR="00835A6E">
        <w:rPr>
          <w:rFonts w:cs="Tahoma"/>
          <w:szCs w:val="24"/>
          <w:lang w:val="en-US"/>
        </w:rPr>
        <w:t xml:space="preserve"> </w:t>
      </w:r>
      <w:r w:rsidR="0088712A">
        <w:rPr>
          <w:rFonts w:cs="Tahoma"/>
          <w:szCs w:val="24"/>
          <w:lang w:val="en-US"/>
        </w:rPr>
        <w:t>‘</w:t>
      </w:r>
      <w:r w:rsidR="00835A6E">
        <w:rPr>
          <w:rFonts w:cs="Tahoma"/>
          <w:szCs w:val="24"/>
          <w:lang w:val="en-US"/>
        </w:rPr>
        <w:t>declaration of mandate</w:t>
      </w:r>
      <w:r w:rsidR="0088712A">
        <w:rPr>
          <w:rFonts w:cs="Tahoma"/>
          <w:szCs w:val="24"/>
          <w:lang w:val="en-US"/>
        </w:rPr>
        <w:t>’</w:t>
      </w:r>
      <w:r w:rsidR="00835A6E">
        <w:rPr>
          <w:rFonts w:cs="Tahoma"/>
          <w:szCs w:val="24"/>
          <w:lang w:val="en-US"/>
        </w:rPr>
        <w:t xml:space="preserve"> </w:t>
      </w:r>
      <w:r w:rsidR="007320F2">
        <w:rPr>
          <w:rFonts w:cs="Tahoma"/>
          <w:szCs w:val="24"/>
          <w:lang w:val="en-US"/>
        </w:rPr>
        <w:t>was reflected</w:t>
      </w:r>
      <w:r w:rsidR="00BE6663">
        <w:rPr>
          <w:rFonts w:cs="Tahoma"/>
          <w:szCs w:val="24"/>
          <w:lang w:val="en-US"/>
        </w:rPr>
        <w:t xml:space="preserve"> as 14</w:t>
      </w:r>
      <w:r w:rsidR="00BE6663" w:rsidRPr="00BE6663">
        <w:rPr>
          <w:rFonts w:cs="Tahoma"/>
          <w:szCs w:val="24"/>
          <w:vertAlign w:val="superscript"/>
          <w:lang w:val="en-US"/>
        </w:rPr>
        <w:t>th</w:t>
      </w:r>
      <w:r w:rsidR="00BE6663">
        <w:rPr>
          <w:rFonts w:cs="Tahoma"/>
          <w:szCs w:val="24"/>
          <w:lang w:val="en-US"/>
        </w:rPr>
        <w:t xml:space="preserve"> of February, 2017 whereas the </w:t>
      </w:r>
      <w:r w:rsidR="003F071B">
        <w:rPr>
          <w:rFonts w:cs="Tahoma"/>
          <w:szCs w:val="24"/>
          <w:lang w:val="en-US"/>
        </w:rPr>
        <w:t xml:space="preserve">date on which the documents was commissioned was </w:t>
      </w:r>
      <w:r w:rsidR="00980D63">
        <w:rPr>
          <w:rFonts w:cs="Tahoma"/>
          <w:szCs w:val="24"/>
          <w:lang w:val="en-US"/>
        </w:rPr>
        <w:t>reflected as 27</w:t>
      </w:r>
      <w:r w:rsidR="00980D63" w:rsidRPr="00980D63">
        <w:rPr>
          <w:rFonts w:cs="Tahoma"/>
          <w:szCs w:val="24"/>
          <w:vertAlign w:val="superscript"/>
          <w:lang w:val="en-US"/>
        </w:rPr>
        <w:t>th</w:t>
      </w:r>
      <w:r w:rsidR="00980D63">
        <w:rPr>
          <w:rFonts w:cs="Tahoma"/>
          <w:szCs w:val="24"/>
          <w:lang w:val="en-US"/>
        </w:rPr>
        <w:t xml:space="preserve"> of February 2012.</w:t>
      </w:r>
      <w:r w:rsidR="0036271A">
        <w:rPr>
          <w:rFonts w:cs="Tahoma"/>
          <w:szCs w:val="24"/>
          <w:lang w:val="en-US"/>
        </w:rPr>
        <w:t xml:space="preserve"> </w:t>
      </w:r>
    </w:p>
    <w:p w:rsidR="005F7004" w:rsidRDefault="005F7004" w:rsidP="00F67E31">
      <w:pPr>
        <w:ind w:firstLine="720"/>
        <w:rPr>
          <w:rFonts w:cs="Tahoma"/>
          <w:szCs w:val="24"/>
          <w:lang w:val="en-US"/>
        </w:rPr>
      </w:pPr>
      <w:proofErr w:type="spellStart"/>
      <w:r>
        <w:rPr>
          <w:rFonts w:cs="Tahoma"/>
          <w:szCs w:val="24"/>
          <w:lang w:val="en-US"/>
        </w:rPr>
        <w:t>Mr</w:t>
      </w:r>
      <w:proofErr w:type="spellEnd"/>
      <w:r>
        <w:rPr>
          <w:rFonts w:cs="Tahoma"/>
          <w:szCs w:val="24"/>
          <w:lang w:val="en-US"/>
        </w:rPr>
        <w:t xml:space="preserve"> </w:t>
      </w:r>
      <w:proofErr w:type="spellStart"/>
      <w:r>
        <w:rPr>
          <w:rFonts w:cs="Tahoma"/>
          <w:szCs w:val="24"/>
          <w:lang w:val="en-US"/>
        </w:rPr>
        <w:t>Matika</w:t>
      </w:r>
      <w:proofErr w:type="spellEnd"/>
      <w:r>
        <w:rPr>
          <w:rFonts w:cs="Tahoma"/>
          <w:szCs w:val="24"/>
          <w:lang w:val="en-US"/>
        </w:rPr>
        <w:t>, for the Applicant</w:t>
      </w:r>
      <w:r w:rsidR="0088712A">
        <w:rPr>
          <w:rFonts w:cs="Tahoma"/>
          <w:szCs w:val="24"/>
          <w:lang w:val="en-US"/>
        </w:rPr>
        <w:t>,</w:t>
      </w:r>
      <w:r>
        <w:rPr>
          <w:rFonts w:cs="Tahoma"/>
          <w:szCs w:val="24"/>
          <w:lang w:val="en-US"/>
        </w:rPr>
        <w:t xml:space="preserve"> in response submitted that there were</w:t>
      </w:r>
      <w:r w:rsidR="007320F2">
        <w:rPr>
          <w:rFonts w:cs="Tahoma"/>
          <w:szCs w:val="24"/>
          <w:lang w:val="en-US"/>
        </w:rPr>
        <w:t xml:space="preserve"> basically</w:t>
      </w:r>
      <w:r>
        <w:rPr>
          <w:rFonts w:cs="Tahoma"/>
          <w:szCs w:val="24"/>
          <w:lang w:val="en-US"/>
        </w:rPr>
        <w:t xml:space="preserve"> three issues arising out of the Respondent</w:t>
      </w:r>
      <w:r w:rsidR="0088712A">
        <w:rPr>
          <w:rFonts w:cs="Tahoma"/>
          <w:szCs w:val="24"/>
          <w:lang w:val="en-US"/>
        </w:rPr>
        <w:t>’</w:t>
      </w:r>
      <w:r>
        <w:rPr>
          <w:rFonts w:cs="Tahoma"/>
          <w:szCs w:val="24"/>
          <w:lang w:val="en-US"/>
        </w:rPr>
        <w:t xml:space="preserve">s point in </w:t>
      </w:r>
      <w:proofErr w:type="spellStart"/>
      <w:r>
        <w:rPr>
          <w:rFonts w:cs="Tahoma"/>
          <w:i/>
          <w:szCs w:val="24"/>
          <w:lang w:val="en-US"/>
        </w:rPr>
        <w:t>limine</w:t>
      </w:r>
      <w:proofErr w:type="spellEnd"/>
      <w:r>
        <w:rPr>
          <w:rFonts w:cs="Tahoma"/>
          <w:i/>
          <w:szCs w:val="24"/>
          <w:lang w:val="en-US"/>
        </w:rPr>
        <w:t xml:space="preserve"> </w:t>
      </w:r>
      <w:r>
        <w:rPr>
          <w:rFonts w:cs="Tahoma"/>
          <w:szCs w:val="24"/>
          <w:lang w:val="en-US"/>
        </w:rPr>
        <w:t>taken. There was</w:t>
      </w:r>
      <w:r w:rsidR="002235D3">
        <w:rPr>
          <w:rFonts w:cs="Tahoma"/>
          <w:szCs w:val="24"/>
          <w:lang w:val="en-US"/>
        </w:rPr>
        <w:t>,</w:t>
      </w:r>
      <w:r>
        <w:rPr>
          <w:rFonts w:cs="Tahoma"/>
          <w:szCs w:val="24"/>
          <w:lang w:val="en-US"/>
        </w:rPr>
        <w:t xml:space="preserve"> firstly</w:t>
      </w:r>
      <w:r w:rsidR="0088712A">
        <w:rPr>
          <w:rFonts w:cs="Tahoma"/>
          <w:szCs w:val="24"/>
          <w:lang w:val="en-US"/>
        </w:rPr>
        <w:t>,</w:t>
      </w:r>
      <w:r>
        <w:rPr>
          <w:rFonts w:cs="Tahoma"/>
          <w:szCs w:val="24"/>
          <w:lang w:val="en-US"/>
        </w:rPr>
        <w:t xml:space="preserve"> the issue of </w:t>
      </w:r>
      <w:r w:rsidR="0088712A">
        <w:rPr>
          <w:rFonts w:cs="Tahoma"/>
          <w:szCs w:val="24"/>
          <w:lang w:val="en-US"/>
        </w:rPr>
        <w:t>the validity of the ‘declaration</w:t>
      </w:r>
      <w:r>
        <w:rPr>
          <w:rFonts w:cs="Tahoma"/>
          <w:szCs w:val="24"/>
          <w:lang w:val="en-US"/>
        </w:rPr>
        <w:t xml:space="preserve"> of mandate</w:t>
      </w:r>
      <w:r w:rsidR="0088712A">
        <w:rPr>
          <w:rFonts w:cs="Tahoma"/>
          <w:szCs w:val="24"/>
          <w:lang w:val="en-US"/>
        </w:rPr>
        <w:t>’</w:t>
      </w:r>
      <w:r w:rsidR="000F2C4A">
        <w:rPr>
          <w:rFonts w:cs="Tahoma"/>
          <w:szCs w:val="24"/>
          <w:lang w:val="en-US"/>
        </w:rPr>
        <w:t>. S</w:t>
      </w:r>
      <w:r>
        <w:rPr>
          <w:rFonts w:cs="Tahoma"/>
          <w:szCs w:val="24"/>
          <w:lang w:val="en-US"/>
        </w:rPr>
        <w:t>econdly the</w:t>
      </w:r>
      <w:r w:rsidR="0088712A">
        <w:rPr>
          <w:rFonts w:cs="Tahoma"/>
          <w:szCs w:val="24"/>
          <w:lang w:val="en-US"/>
        </w:rPr>
        <w:t>re was a</w:t>
      </w:r>
      <w:r>
        <w:rPr>
          <w:rFonts w:cs="Tahoma"/>
          <w:szCs w:val="24"/>
          <w:lang w:val="en-US"/>
        </w:rPr>
        <w:t xml:space="preserve"> purported conflict in the dates </w:t>
      </w:r>
      <w:r w:rsidR="002235D3">
        <w:rPr>
          <w:rFonts w:cs="Tahoma"/>
          <w:szCs w:val="24"/>
          <w:lang w:val="en-US"/>
        </w:rPr>
        <w:t xml:space="preserve">of signing and </w:t>
      </w:r>
      <w:r>
        <w:rPr>
          <w:rFonts w:cs="Tahoma"/>
          <w:szCs w:val="24"/>
          <w:lang w:val="en-US"/>
        </w:rPr>
        <w:t>commissioning of the d</w:t>
      </w:r>
      <w:r w:rsidR="002235D3">
        <w:rPr>
          <w:rFonts w:cs="Tahoma"/>
          <w:szCs w:val="24"/>
          <w:lang w:val="en-US"/>
        </w:rPr>
        <w:t>ocument</w:t>
      </w:r>
      <w:r>
        <w:rPr>
          <w:rFonts w:cs="Tahoma"/>
          <w:szCs w:val="24"/>
          <w:lang w:val="en-US"/>
        </w:rPr>
        <w:t>. The third and la</w:t>
      </w:r>
      <w:r w:rsidR="002235D3">
        <w:rPr>
          <w:rFonts w:cs="Tahoma"/>
          <w:szCs w:val="24"/>
          <w:lang w:val="en-US"/>
        </w:rPr>
        <w:t>st issue related to the propriety of Applicants 26 and 28 being before the court as both</w:t>
      </w:r>
      <w:r>
        <w:rPr>
          <w:rFonts w:cs="Tahoma"/>
          <w:szCs w:val="24"/>
          <w:lang w:val="en-US"/>
        </w:rPr>
        <w:t xml:space="preserve"> had not signed the </w:t>
      </w:r>
      <w:r w:rsidR="007320F2">
        <w:rPr>
          <w:rFonts w:cs="Tahoma"/>
          <w:szCs w:val="24"/>
          <w:lang w:val="en-US"/>
        </w:rPr>
        <w:t>‘</w:t>
      </w:r>
      <w:r>
        <w:rPr>
          <w:rFonts w:cs="Tahoma"/>
          <w:szCs w:val="24"/>
          <w:lang w:val="en-US"/>
        </w:rPr>
        <w:t>declaration of mandate</w:t>
      </w:r>
      <w:r w:rsidR="007320F2">
        <w:rPr>
          <w:rFonts w:cs="Tahoma"/>
          <w:szCs w:val="24"/>
          <w:lang w:val="en-US"/>
        </w:rPr>
        <w:t>’</w:t>
      </w:r>
      <w:r>
        <w:rPr>
          <w:rFonts w:cs="Tahoma"/>
          <w:szCs w:val="24"/>
          <w:lang w:val="en-US"/>
        </w:rPr>
        <w:t xml:space="preserve"> at all.</w:t>
      </w:r>
    </w:p>
    <w:p w:rsidR="00A640F5" w:rsidRDefault="005F7004" w:rsidP="00F67E31">
      <w:pPr>
        <w:ind w:firstLine="720"/>
        <w:rPr>
          <w:rFonts w:cs="Tahoma"/>
          <w:szCs w:val="24"/>
          <w:lang w:val="en-US"/>
        </w:rPr>
      </w:pPr>
      <w:proofErr w:type="spellStart"/>
      <w:r>
        <w:rPr>
          <w:rFonts w:cs="Tahoma"/>
          <w:szCs w:val="24"/>
          <w:lang w:val="en-US"/>
        </w:rPr>
        <w:t>Mr</w:t>
      </w:r>
      <w:proofErr w:type="spellEnd"/>
      <w:r>
        <w:rPr>
          <w:rFonts w:cs="Tahoma"/>
          <w:szCs w:val="24"/>
          <w:lang w:val="en-US"/>
        </w:rPr>
        <w:t xml:space="preserve"> </w:t>
      </w:r>
      <w:proofErr w:type="spellStart"/>
      <w:proofErr w:type="gramStart"/>
      <w:r>
        <w:rPr>
          <w:rFonts w:cs="Tahoma"/>
          <w:szCs w:val="24"/>
          <w:lang w:val="en-US"/>
        </w:rPr>
        <w:t>Matika</w:t>
      </w:r>
      <w:proofErr w:type="spellEnd"/>
      <w:r w:rsidR="002235D3">
        <w:rPr>
          <w:rFonts w:cs="Tahoma"/>
          <w:szCs w:val="24"/>
          <w:lang w:val="en-US"/>
        </w:rPr>
        <w:t>,</w:t>
      </w:r>
      <w:proofErr w:type="gramEnd"/>
      <w:r w:rsidR="002235D3">
        <w:rPr>
          <w:rFonts w:cs="Tahoma"/>
          <w:szCs w:val="24"/>
          <w:lang w:val="en-US"/>
        </w:rPr>
        <w:t xml:space="preserve"> </w:t>
      </w:r>
      <w:r>
        <w:rPr>
          <w:rFonts w:cs="Tahoma"/>
          <w:szCs w:val="24"/>
          <w:lang w:val="en-US"/>
        </w:rPr>
        <w:t>addressed the three points individually</w:t>
      </w:r>
      <w:r w:rsidR="002235D3">
        <w:rPr>
          <w:rFonts w:cs="Tahoma"/>
          <w:szCs w:val="24"/>
          <w:lang w:val="en-US"/>
        </w:rPr>
        <w:t>. He</w:t>
      </w:r>
      <w:r w:rsidR="00F32285">
        <w:rPr>
          <w:rFonts w:cs="Tahoma"/>
          <w:szCs w:val="24"/>
          <w:lang w:val="en-US"/>
        </w:rPr>
        <w:t xml:space="preserve"> contended in respect of the first point that </w:t>
      </w:r>
      <w:r w:rsidR="00F32285" w:rsidRPr="00F32285">
        <w:rPr>
          <w:rFonts w:cs="Tahoma"/>
          <w:b/>
          <w:szCs w:val="24"/>
          <w:lang w:val="en-US"/>
        </w:rPr>
        <w:t xml:space="preserve">Rule 14 (1) </w:t>
      </w:r>
      <w:r w:rsidR="002235D3">
        <w:rPr>
          <w:rFonts w:cs="Tahoma"/>
          <w:szCs w:val="24"/>
          <w:lang w:val="en-US"/>
        </w:rPr>
        <w:t>does not compel the filing of supporting a</w:t>
      </w:r>
      <w:r w:rsidR="00F32285">
        <w:rPr>
          <w:rFonts w:cs="Tahoma"/>
          <w:szCs w:val="24"/>
          <w:lang w:val="en-US"/>
        </w:rPr>
        <w:t>ffidavits. The rule instead mandate</w:t>
      </w:r>
      <w:r w:rsidR="002235D3">
        <w:rPr>
          <w:rFonts w:cs="Tahoma"/>
          <w:szCs w:val="24"/>
          <w:lang w:val="en-US"/>
        </w:rPr>
        <w:t>d</w:t>
      </w:r>
      <w:r w:rsidR="00F32285">
        <w:rPr>
          <w:rFonts w:cs="Tahoma"/>
          <w:szCs w:val="24"/>
          <w:lang w:val="en-US"/>
        </w:rPr>
        <w:t xml:space="preserve"> the filing of affidavits in support of an application. The rule </w:t>
      </w:r>
      <w:r w:rsidR="00BB3CDA">
        <w:rPr>
          <w:rFonts w:cs="Tahoma"/>
          <w:szCs w:val="24"/>
          <w:lang w:val="en-US"/>
        </w:rPr>
        <w:t xml:space="preserve">also </w:t>
      </w:r>
      <w:r w:rsidR="00F32285">
        <w:rPr>
          <w:rFonts w:cs="Tahoma"/>
          <w:szCs w:val="24"/>
          <w:lang w:val="en-US"/>
        </w:rPr>
        <w:t xml:space="preserve">referred to one or more affidavits. A party may therefore at his/her discretion include more affidavits. In </w:t>
      </w:r>
      <w:r w:rsidR="00BB3CDA">
        <w:rPr>
          <w:rFonts w:cs="Tahoma"/>
          <w:szCs w:val="24"/>
          <w:lang w:val="en-US"/>
        </w:rPr>
        <w:t xml:space="preserve">this </w:t>
      </w:r>
      <w:r w:rsidR="00F32285">
        <w:rPr>
          <w:rFonts w:cs="Tahoma"/>
          <w:szCs w:val="24"/>
          <w:lang w:val="en-US"/>
        </w:rPr>
        <w:t>case the Applicants had attached an affidavit by the 1</w:t>
      </w:r>
      <w:r w:rsidR="00F32285" w:rsidRPr="00F32285">
        <w:rPr>
          <w:rFonts w:cs="Tahoma"/>
          <w:szCs w:val="24"/>
          <w:vertAlign w:val="superscript"/>
          <w:lang w:val="en-US"/>
        </w:rPr>
        <w:t>st</w:t>
      </w:r>
      <w:r w:rsidR="00F32285">
        <w:rPr>
          <w:rFonts w:cs="Tahoma"/>
          <w:szCs w:val="24"/>
          <w:lang w:val="en-US"/>
        </w:rPr>
        <w:t xml:space="preserve"> Applicant and had chosen not to attach more affidavits. The Applicants had instead chosen to </w:t>
      </w:r>
      <w:r w:rsidR="00F32285">
        <w:rPr>
          <w:rFonts w:cs="Tahoma"/>
          <w:szCs w:val="24"/>
          <w:lang w:val="en-US"/>
        </w:rPr>
        <w:lastRenderedPageBreak/>
        <w:t>include a document in which the other Applicants indicated their support for the averment</w:t>
      </w:r>
      <w:r w:rsidR="00BB3CDA">
        <w:rPr>
          <w:rFonts w:cs="Tahoma"/>
          <w:szCs w:val="24"/>
          <w:lang w:val="en-US"/>
        </w:rPr>
        <w:t>s</w:t>
      </w:r>
      <w:r w:rsidR="00F32285">
        <w:rPr>
          <w:rFonts w:cs="Tahoma"/>
          <w:szCs w:val="24"/>
          <w:lang w:val="en-US"/>
        </w:rPr>
        <w:t xml:space="preserve"> made by 1</w:t>
      </w:r>
      <w:r w:rsidR="00F32285" w:rsidRPr="00F32285">
        <w:rPr>
          <w:rFonts w:cs="Tahoma"/>
          <w:szCs w:val="24"/>
          <w:vertAlign w:val="superscript"/>
          <w:lang w:val="en-US"/>
        </w:rPr>
        <w:t>st</w:t>
      </w:r>
      <w:r w:rsidR="00F32285">
        <w:rPr>
          <w:rFonts w:cs="Tahoma"/>
          <w:szCs w:val="24"/>
          <w:lang w:val="en-US"/>
        </w:rPr>
        <w:t xml:space="preserve"> Applicant in </w:t>
      </w:r>
      <w:r w:rsidR="000F2C4A">
        <w:rPr>
          <w:rFonts w:cs="Tahoma"/>
          <w:szCs w:val="24"/>
          <w:lang w:val="en-US"/>
        </w:rPr>
        <w:t>his a</w:t>
      </w:r>
      <w:r w:rsidR="00F32285">
        <w:rPr>
          <w:rFonts w:cs="Tahoma"/>
          <w:szCs w:val="24"/>
          <w:lang w:val="en-US"/>
        </w:rPr>
        <w:t>ffidavit. This was</w:t>
      </w:r>
      <w:r w:rsidR="00BB3CDA">
        <w:rPr>
          <w:rFonts w:cs="Tahoma"/>
          <w:szCs w:val="24"/>
          <w:lang w:val="en-US"/>
        </w:rPr>
        <w:t xml:space="preserve"> however</w:t>
      </w:r>
      <w:r w:rsidR="00F32285">
        <w:rPr>
          <w:rFonts w:cs="Tahoma"/>
          <w:szCs w:val="24"/>
          <w:lang w:val="en-US"/>
        </w:rPr>
        <w:t xml:space="preserve"> not alien to the Rules </w:t>
      </w:r>
      <w:r w:rsidR="00F32285" w:rsidRPr="009863F5">
        <w:rPr>
          <w:rFonts w:cs="Tahoma"/>
          <w:b/>
          <w:szCs w:val="24"/>
          <w:lang w:val="en-US"/>
        </w:rPr>
        <w:t>Rule 21 (5)</w:t>
      </w:r>
      <w:r w:rsidR="00F32285">
        <w:rPr>
          <w:rFonts w:cs="Tahoma"/>
          <w:szCs w:val="24"/>
          <w:lang w:val="en-US"/>
        </w:rPr>
        <w:t xml:space="preserve"> stated that an affidavit ‘may’ </w:t>
      </w:r>
      <w:r w:rsidR="00BB3CDA">
        <w:rPr>
          <w:rFonts w:cs="Tahoma"/>
          <w:szCs w:val="24"/>
          <w:lang w:val="en-US"/>
        </w:rPr>
        <w:t xml:space="preserve">be </w:t>
      </w:r>
      <w:r w:rsidR="00F32285">
        <w:rPr>
          <w:rFonts w:cs="Tahoma"/>
          <w:szCs w:val="24"/>
          <w:lang w:val="en-US"/>
        </w:rPr>
        <w:t xml:space="preserve">accompanied by documents verifying the </w:t>
      </w:r>
      <w:r w:rsidR="009863F5">
        <w:rPr>
          <w:rFonts w:cs="Tahoma"/>
          <w:szCs w:val="24"/>
          <w:lang w:val="en-US"/>
        </w:rPr>
        <w:t>facts</w:t>
      </w:r>
      <w:r w:rsidR="00F32285">
        <w:rPr>
          <w:rFonts w:cs="Tahoma"/>
          <w:szCs w:val="24"/>
          <w:lang w:val="en-US"/>
        </w:rPr>
        <w:t xml:space="preserve">/averments as set out in the </w:t>
      </w:r>
      <w:r w:rsidR="009863F5">
        <w:rPr>
          <w:rFonts w:cs="Tahoma"/>
          <w:szCs w:val="24"/>
          <w:lang w:val="en-US"/>
        </w:rPr>
        <w:t xml:space="preserve">affidavit. The reference to </w:t>
      </w:r>
      <w:r w:rsidR="00BB3CDA">
        <w:rPr>
          <w:rFonts w:cs="Tahoma"/>
          <w:szCs w:val="24"/>
          <w:lang w:val="en-US"/>
        </w:rPr>
        <w:t>‘</w:t>
      </w:r>
      <w:r w:rsidR="009863F5">
        <w:rPr>
          <w:rFonts w:cs="Tahoma"/>
          <w:szCs w:val="24"/>
          <w:lang w:val="en-US"/>
        </w:rPr>
        <w:t>any</w:t>
      </w:r>
      <w:r w:rsidR="00BB3CDA">
        <w:rPr>
          <w:rFonts w:cs="Tahoma"/>
          <w:szCs w:val="24"/>
          <w:lang w:val="en-US"/>
        </w:rPr>
        <w:t>’</w:t>
      </w:r>
      <w:r w:rsidR="009863F5">
        <w:rPr>
          <w:rFonts w:cs="Tahoma"/>
          <w:szCs w:val="24"/>
          <w:lang w:val="en-US"/>
        </w:rPr>
        <w:t xml:space="preserve"> affidavit in the rule </w:t>
      </w:r>
      <w:r w:rsidR="00BB3CDA">
        <w:rPr>
          <w:rFonts w:cs="Tahoma"/>
          <w:szCs w:val="24"/>
          <w:lang w:val="en-US"/>
        </w:rPr>
        <w:t>had to be read</w:t>
      </w:r>
      <w:r w:rsidR="00FF0659">
        <w:rPr>
          <w:rFonts w:cs="Tahoma"/>
          <w:szCs w:val="24"/>
          <w:lang w:val="en-US"/>
        </w:rPr>
        <w:t xml:space="preserve"> as</w:t>
      </w:r>
      <w:r w:rsidR="009863F5">
        <w:rPr>
          <w:rFonts w:cs="Tahoma"/>
          <w:szCs w:val="24"/>
          <w:lang w:val="en-US"/>
        </w:rPr>
        <w:t xml:space="preserve"> including documents such as the one before the court. The 1</w:t>
      </w:r>
      <w:r w:rsidR="009863F5" w:rsidRPr="009863F5">
        <w:rPr>
          <w:rFonts w:cs="Tahoma"/>
          <w:szCs w:val="24"/>
          <w:vertAlign w:val="superscript"/>
          <w:lang w:val="en-US"/>
        </w:rPr>
        <w:t>st</w:t>
      </w:r>
      <w:r w:rsidR="00F82722">
        <w:rPr>
          <w:rFonts w:cs="Tahoma"/>
          <w:szCs w:val="24"/>
          <w:lang w:val="en-US"/>
        </w:rPr>
        <w:t xml:space="preserve"> Applicant had also</w:t>
      </w:r>
      <w:r w:rsidR="009863F5">
        <w:rPr>
          <w:rFonts w:cs="Tahoma"/>
          <w:szCs w:val="24"/>
          <w:lang w:val="en-US"/>
        </w:rPr>
        <w:t xml:space="preserve"> clearly averred</w:t>
      </w:r>
      <w:r w:rsidR="00F82722">
        <w:rPr>
          <w:rFonts w:cs="Tahoma"/>
          <w:szCs w:val="24"/>
          <w:lang w:val="en-US"/>
        </w:rPr>
        <w:t xml:space="preserve"> in his affidavit</w:t>
      </w:r>
      <w:r w:rsidR="009863F5">
        <w:rPr>
          <w:rFonts w:cs="Tahoma"/>
          <w:szCs w:val="24"/>
          <w:lang w:val="en-US"/>
        </w:rPr>
        <w:t xml:space="preserve"> that he was representing 2</w:t>
      </w:r>
      <w:r w:rsidR="009863F5" w:rsidRPr="009863F5">
        <w:rPr>
          <w:rFonts w:cs="Tahoma"/>
          <w:szCs w:val="24"/>
          <w:vertAlign w:val="superscript"/>
          <w:lang w:val="en-US"/>
        </w:rPr>
        <w:t>nd</w:t>
      </w:r>
      <w:r w:rsidR="009863F5">
        <w:rPr>
          <w:rFonts w:cs="Tahoma"/>
          <w:szCs w:val="24"/>
          <w:lang w:val="en-US"/>
        </w:rPr>
        <w:t xml:space="preserve"> – 32</w:t>
      </w:r>
      <w:r w:rsidR="009863F5" w:rsidRPr="009863F5">
        <w:rPr>
          <w:rFonts w:cs="Tahoma"/>
          <w:szCs w:val="24"/>
          <w:vertAlign w:val="superscript"/>
          <w:lang w:val="en-US"/>
        </w:rPr>
        <w:t>nd</w:t>
      </w:r>
      <w:r w:rsidR="009863F5">
        <w:rPr>
          <w:rFonts w:cs="Tahoma"/>
          <w:szCs w:val="24"/>
          <w:lang w:val="en-US"/>
        </w:rPr>
        <w:t xml:space="preserve"> Applicant and then </w:t>
      </w:r>
      <w:r w:rsidR="000F2C4A">
        <w:rPr>
          <w:rFonts w:cs="Tahoma"/>
          <w:szCs w:val="24"/>
          <w:lang w:val="en-US"/>
        </w:rPr>
        <w:t>attached</w:t>
      </w:r>
      <w:r w:rsidR="009863F5">
        <w:rPr>
          <w:rFonts w:cs="Tahoma"/>
          <w:szCs w:val="24"/>
          <w:lang w:val="en-US"/>
        </w:rPr>
        <w:t xml:space="preserve"> the declaration of mandate in compliance with </w:t>
      </w:r>
      <w:r w:rsidR="009863F5" w:rsidRPr="009863F5">
        <w:rPr>
          <w:rFonts w:cs="Tahoma"/>
          <w:b/>
          <w:szCs w:val="24"/>
          <w:lang w:val="en-US"/>
        </w:rPr>
        <w:t>Rule 21 (5).</w:t>
      </w:r>
      <w:r w:rsidR="00FF0659">
        <w:rPr>
          <w:rFonts w:cs="Tahoma"/>
          <w:b/>
          <w:szCs w:val="24"/>
          <w:lang w:val="en-US"/>
        </w:rPr>
        <w:t xml:space="preserve"> </w:t>
      </w:r>
      <w:r w:rsidR="00FF0659">
        <w:rPr>
          <w:rFonts w:cs="Tahoma"/>
          <w:szCs w:val="24"/>
          <w:lang w:val="en-US"/>
        </w:rPr>
        <w:t>There was clearly nothing irregular. There had</w:t>
      </w:r>
      <w:r w:rsidR="00295E2D">
        <w:rPr>
          <w:rFonts w:cs="Tahoma"/>
          <w:szCs w:val="24"/>
          <w:lang w:val="en-US"/>
        </w:rPr>
        <w:t xml:space="preserve"> therefore</w:t>
      </w:r>
      <w:r w:rsidR="00FF0659">
        <w:rPr>
          <w:rFonts w:cs="Tahoma"/>
          <w:szCs w:val="24"/>
          <w:lang w:val="en-US"/>
        </w:rPr>
        <w:t xml:space="preserve"> been due compliance with the rules. </w:t>
      </w:r>
      <w:proofErr w:type="spellStart"/>
      <w:r w:rsidR="00FF0659">
        <w:rPr>
          <w:rFonts w:cs="Tahoma"/>
          <w:szCs w:val="24"/>
          <w:lang w:val="en-US"/>
        </w:rPr>
        <w:t>Mr</w:t>
      </w:r>
      <w:proofErr w:type="spellEnd"/>
      <w:r w:rsidR="00FF0659">
        <w:rPr>
          <w:rFonts w:cs="Tahoma"/>
          <w:szCs w:val="24"/>
          <w:lang w:val="en-US"/>
        </w:rPr>
        <w:t xml:space="preserve"> </w:t>
      </w:r>
      <w:proofErr w:type="spellStart"/>
      <w:r w:rsidR="00FF0659">
        <w:rPr>
          <w:rFonts w:cs="Tahoma"/>
          <w:szCs w:val="24"/>
          <w:lang w:val="en-US"/>
        </w:rPr>
        <w:t>Matika</w:t>
      </w:r>
      <w:proofErr w:type="spellEnd"/>
      <w:r w:rsidR="00FF0659">
        <w:rPr>
          <w:rFonts w:cs="Tahoma"/>
          <w:szCs w:val="24"/>
          <w:lang w:val="en-US"/>
        </w:rPr>
        <w:t xml:space="preserve"> further submitted that the </w:t>
      </w:r>
      <w:r w:rsidR="00295E2D">
        <w:rPr>
          <w:rFonts w:cs="Tahoma"/>
          <w:szCs w:val="24"/>
          <w:lang w:val="en-US"/>
        </w:rPr>
        <w:t>‘</w:t>
      </w:r>
      <w:r w:rsidR="00FF0659">
        <w:rPr>
          <w:rFonts w:cs="Tahoma"/>
          <w:szCs w:val="24"/>
          <w:lang w:val="en-US"/>
        </w:rPr>
        <w:t>declaration of mandate</w:t>
      </w:r>
      <w:r w:rsidR="00295E2D">
        <w:rPr>
          <w:rFonts w:cs="Tahoma"/>
          <w:szCs w:val="24"/>
          <w:lang w:val="en-US"/>
        </w:rPr>
        <w:t>’ in any event</w:t>
      </w:r>
      <w:r w:rsidR="00FF0659">
        <w:rPr>
          <w:rFonts w:cs="Tahoma"/>
          <w:szCs w:val="24"/>
          <w:lang w:val="en-US"/>
        </w:rPr>
        <w:t xml:space="preserve"> had taken the form of an affidavit and had gone further</w:t>
      </w:r>
      <w:r w:rsidR="00A640F5">
        <w:rPr>
          <w:rFonts w:cs="Tahoma"/>
          <w:szCs w:val="24"/>
          <w:lang w:val="en-US"/>
        </w:rPr>
        <w:t xml:space="preserve"> to take the form of </w:t>
      </w:r>
      <w:r w:rsidR="00FF0659">
        <w:rPr>
          <w:rFonts w:cs="Tahoma"/>
          <w:szCs w:val="24"/>
          <w:lang w:val="en-US"/>
        </w:rPr>
        <w:t xml:space="preserve">a Special Power of </w:t>
      </w:r>
      <w:r w:rsidR="00A640F5">
        <w:rPr>
          <w:rFonts w:cs="Tahoma"/>
          <w:szCs w:val="24"/>
          <w:lang w:val="en-US"/>
        </w:rPr>
        <w:t>A</w:t>
      </w:r>
      <w:r w:rsidR="00FF0659">
        <w:rPr>
          <w:rFonts w:cs="Tahoma"/>
          <w:szCs w:val="24"/>
          <w:lang w:val="en-US"/>
        </w:rPr>
        <w:t>tt</w:t>
      </w:r>
      <w:r w:rsidR="00295E2D">
        <w:rPr>
          <w:rFonts w:cs="Tahoma"/>
          <w:szCs w:val="24"/>
          <w:lang w:val="en-US"/>
        </w:rPr>
        <w:t>orney giving 1</w:t>
      </w:r>
      <w:r w:rsidR="00295E2D" w:rsidRPr="00295E2D">
        <w:rPr>
          <w:rFonts w:cs="Tahoma"/>
          <w:szCs w:val="24"/>
          <w:vertAlign w:val="superscript"/>
          <w:lang w:val="en-US"/>
        </w:rPr>
        <w:t>st</w:t>
      </w:r>
      <w:r w:rsidR="00A640F5">
        <w:rPr>
          <w:rFonts w:cs="Tahoma"/>
          <w:szCs w:val="24"/>
          <w:lang w:val="en-US"/>
        </w:rPr>
        <w:t xml:space="preserve"> Applicant the right to represent the rest of the Applicant</w:t>
      </w:r>
      <w:r w:rsidR="00295E2D">
        <w:rPr>
          <w:rFonts w:cs="Tahoma"/>
          <w:szCs w:val="24"/>
          <w:lang w:val="en-US"/>
        </w:rPr>
        <w:t>s</w:t>
      </w:r>
      <w:r w:rsidR="00A640F5">
        <w:rPr>
          <w:rFonts w:cs="Tahoma"/>
          <w:szCs w:val="24"/>
          <w:lang w:val="en-US"/>
        </w:rPr>
        <w:t>. The court was urged not to disregard the document as to do so would be to insist on form over substance. The Respondent had also not shown what prejudice it may have suffe</w:t>
      </w:r>
      <w:r w:rsidR="00295E2D">
        <w:rPr>
          <w:rFonts w:cs="Tahoma"/>
          <w:szCs w:val="24"/>
          <w:lang w:val="en-US"/>
        </w:rPr>
        <w:t>red through the inclusion of a</w:t>
      </w:r>
      <w:r w:rsidR="00A640F5">
        <w:rPr>
          <w:rFonts w:cs="Tahoma"/>
          <w:szCs w:val="24"/>
          <w:lang w:val="en-US"/>
        </w:rPr>
        <w:t xml:space="preserve"> </w:t>
      </w:r>
      <w:r w:rsidR="00295E2D">
        <w:rPr>
          <w:rFonts w:cs="Tahoma"/>
          <w:szCs w:val="24"/>
          <w:lang w:val="en-US"/>
        </w:rPr>
        <w:t>‘</w:t>
      </w:r>
      <w:r w:rsidR="00A640F5">
        <w:rPr>
          <w:rFonts w:cs="Tahoma"/>
          <w:szCs w:val="24"/>
          <w:lang w:val="en-US"/>
        </w:rPr>
        <w:t>declaration of mandate</w:t>
      </w:r>
      <w:r w:rsidR="00295E2D">
        <w:rPr>
          <w:rFonts w:cs="Tahoma"/>
          <w:szCs w:val="24"/>
          <w:lang w:val="en-US"/>
        </w:rPr>
        <w:t>’</w:t>
      </w:r>
      <w:r w:rsidR="00A640F5">
        <w:rPr>
          <w:rFonts w:cs="Tahoma"/>
          <w:szCs w:val="24"/>
          <w:lang w:val="en-US"/>
        </w:rPr>
        <w:t xml:space="preserve"> as opposed to an affidavit.</w:t>
      </w:r>
    </w:p>
    <w:p w:rsidR="00934B83" w:rsidRDefault="00A640F5" w:rsidP="00F67E31">
      <w:pPr>
        <w:ind w:firstLine="720"/>
        <w:rPr>
          <w:rFonts w:cs="Tahoma"/>
          <w:szCs w:val="24"/>
          <w:lang w:val="en-US"/>
        </w:rPr>
      </w:pPr>
      <w:proofErr w:type="spellStart"/>
      <w:r>
        <w:rPr>
          <w:rFonts w:cs="Tahoma"/>
          <w:szCs w:val="24"/>
          <w:lang w:val="en-US"/>
        </w:rPr>
        <w:t>Mr</w:t>
      </w:r>
      <w:proofErr w:type="spellEnd"/>
      <w:r>
        <w:rPr>
          <w:rFonts w:cs="Tahoma"/>
          <w:szCs w:val="24"/>
          <w:lang w:val="en-US"/>
        </w:rPr>
        <w:t xml:space="preserve"> </w:t>
      </w:r>
      <w:proofErr w:type="spellStart"/>
      <w:r>
        <w:rPr>
          <w:rFonts w:cs="Tahoma"/>
          <w:szCs w:val="24"/>
          <w:lang w:val="en-US"/>
        </w:rPr>
        <w:t>Matika</w:t>
      </w:r>
      <w:proofErr w:type="spellEnd"/>
      <w:r>
        <w:rPr>
          <w:rFonts w:cs="Tahoma"/>
          <w:szCs w:val="24"/>
          <w:lang w:val="en-US"/>
        </w:rPr>
        <w:t xml:space="preserve"> further contended that the point in </w:t>
      </w:r>
      <w:proofErr w:type="spellStart"/>
      <w:r>
        <w:rPr>
          <w:rFonts w:cs="Tahoma"/>
          <w:i/>
          <w:szCs w:val="24"/>
          <w:lang w:val="en-US"/>
        </w:rPr>
        <w:t>limine</w:t>
      </w:r>
      <w:proofErr w:type="spellEnd"/>
      <w:r>
        <w:rPr>
          <w:rFonts w:cs="Tahoma"/>
          <w:i/>
          <w:szCs w:val="24"/>
          <w:lang w:val="en-US"/>
        </w:rPr>
        <w:t xml:space="preserve"> </w:t>
      </w:r>
      <w:r>
        <w:rPr>
          <w:rFonts w:cs="Tahoma"/>
          <w:szCs w:val="24"/>
          <w:lang w:val="en-US"/>
        </w:rPr>
        <w:t>was also improperly taken as the application before the court was an</w:t>
      </w:r>
      <w:r w:rsidR="00984CBE" w:rsidRPr="00984CBE">
        <w:t xml:space="preserve"> </w:t>
      </w:r>
      <w:r w:rsidR="00984CBE">
        <w:rPr>
          <w:rFonts w:cs="Tahoma"/>
          <w:szCs w:val="24"/>
          <w:lang w:val="en-US"/>
        </w:rPr>
        <w:t>ancill</w:t>
      </w:r>
      <w:r w:rsidR="00984CBE" w:rsidRPr="00984CBE">
        <w:rPr>
          <w:rFonts w:cs="Tahoma"/>
          <w:szCs w:val="24"/>
          <w:lang w:val="en-US"/>
        </w:rPr>
        <w:t xml:space="preserve">ary </w:t>
      </w:r>
      <w:r w:rsidR="00757E8D" w:rsidRPr="00757E8D">
        <w:rPr>
          <w:rFonts w:cs="Tahoma"/>
          <w:szCs w:val="24"/>
          <w:lang w:val="en-US"/>
        </w:rPr>
        <w:t>application</w:t>
      </w:r>
      <w:r w:rsidRPr="00757E8D">
        <w:rPr>
          <w:rFonts w:cs="Tahoma"/>
          <w:szCs w:val="24"/>
          <w:lang w:val="en-US"/>
        </w:rPr>
        <w:t xml:space="preserve"> for</w:t>
      </w:r>
      <w:r>
        <w:rPr>
          <w:rFonts w:cs="Tahoma"/>
          <w:szCs w:val="24"/>
          <w:lang w:val="en-US"/>
        </w:rPr>
        <w:t xml:space="preserve"> leave to appeal</w:t>
      </w:r>
      <w:r w:rsidR="00934B83">
        <w:rPr>
          <w:rFonts w:cs="Tahoma"/>
          <w:szCs w:val="24"/>
          <w:lang w:val="en-US"/>
        </w:rPr>
        <w:t xml:space="preserve"> against a judgement handed by the court which judgement remained extant.</w:t>
      </w:r>
    </w:p>
    <w:p w:rsidR="005F7004" w:rsidRDefault="00410EB0" w:rsidP="00410EB0">
      <w:pPr>
        <w:ind w:firstLine="720"/>
        <w:rPr>
          <w:rFonts w:cs="Tahoma"/>
          <w:szCs w:val="24"/>
          <w:lang w:val="en-US"/>
        </w:rPr>
      </w:pPr>
      <w:r w:rsidRPr="00410EB0">
        <w:rPr>
          <w:rFonts w:cs="Tahoma"/>
          <w:szCs w:val="24"/>
          <w:lang w:val="en-US"/>
        </w:rPr>
        <w:t>In</w:t>
      </w:r>
      <w:r w:rsidR="00984CBE">
        <w:rPr>
          <w:rFonts w:cs="Tahoma"/>
          <w:szCs w:val="24"/>
          <w:lang w:val="en-US"/>
        </w:rPr>
        <w:t xml:space="preserve"> response to the second issue</w:t>
      </w:r>
      <w:r w:rsidRPr="00410EB0">
        <w:rPr>
          <w:rFonts w:cs="Tahoma"/>
          <w:szCs w:val="24"/>
          <w:lang w:val="en-US"/>
        </w:rPr>
        <w:t xml:space="preserve"> that different dates appeared on</w:t>
      </w:r>
      <w:r w:rsidR="00984CBE">
        <w:rPr>
          <w:rFonts w:cs="Tahoma"/>
          <w:szCs w:val="24"/>
          <w:lang w:val="en-US"/>
        </w:rPr>
        <w:t xml:space="preserve"> the</w:t>
      </w:r>
      <w:r w:rsidR="007320F2">
        <w:rPr>
          <w:rFonts w:cs="Tahoma"/>
          <w:szCs w:val="24"/>
          <w:lang w:val="en-US"/>
        </w:rPr>
        <w:t xml:space="preserve"> ‘</w:t>
      </w:r>
      <w:proofErr w:type="spellStart"/>
      <w:r w:rsidR="007320F2">
        <w:rPr>
          <w:rFonts w:cs="Tahoma"/>
          <w:szCs w:val="24"/>
          <w:lang w:val="en-US"/>
        </w:rPr>
        <w:t>declarationof</w:t>
      </w:r>
      <w:proofErr w:type="spellEnd"/>
      <w:r w:rsidR="007320F2">
        <w:rPr>
          <w:rFonts w:cs="Tahoma"/>
          <w:szCs w:val="24"/>
          <w:lang w:val="en-US"/>
        </w:rPr>
        <w:t xml:space="preserve"> mandate’</w:t>
      </w:r>
      <w:r w:rsidR="00984CBE">
        <w:rPr>
          <w:rFonts w:cs="Tahoma"/>
          <w:szCs w:val="24"/>
          <w:lang w:val="en-US"/>
        </w:rPr>
        <w:t xml:space="preserve"> document</w:t>
      </w:r>
      <w:r w:rsidRPr="00410EB0">
        <w:rPr>
          <w:rFonts w:cs="Tahoma"/>
          <w:szCs w:val="24"/>
          <w:lang w:val="en-US"/>
        </w:rPr>
        <w:t xml:space="preserve"> </w:t>
      </w:r>
      <w:proofErr w:type="spellStart"/>
      <w:r w:rsidRPr="00410EB0">
        <w:rPr>
          <w:rFonts w:cs="Tahoma"/>
          <w:szCs w:val="24"/>
          <w:lang w:val="en-US"/>
        </w:rPr>
        <w:t>Mr</w:t>
      </w:r>
      <w:proofErr w:type="spellEnd"/>
      <w:r w:rsidRPr="00410EB0">
        <w:rPr>
          <w:rFonts w:cs="Tahoma"/>
          <w:szCs w:val="24"/>
          <w:lang w:val="en-US"/>
        </w:rPr>
        <w:t xml:space="preserve"> </w:t>
      </w:r>
      <w:proofErr w:type="spellStart"/>
      <w:r w:rsidRPr="00410EB0">
        <w:rPr>
          <w:rFonts w:cs="Tahoma"/>
          <w:szCs w:val="24"/>
          <w:lang w:val="en-US"/>
        </w:rPr>
        <w:t>Matika</w:t>
      </w:r>
      <w:proofErr w:type="spellEnd"/>
      <w:r w:rsidRPr="00410EB0">
        <w:rPr>
          <w:rFonts w:cs="Tahoma"/>
          <w:szCs w:val="24"/>
          <w:lang w:val="en-US"/>
        </w:rPr>
        <w:t xml:space="preserve"> submitted that the Applicant</w:t>
      </w:r>
      <w:r w:rsidR="00984CBE">
        <w:rPr>
          <w:rFonts w:cs="Tahoma"/>
          <w:szCs w:val="24"/>
          <w:lang w:val="en-US"/>
        </w:rPr>
        <w:t>s</w:t>
      </w:r>
      <w:r w:rsidRPr="00410EB0">
        <w:rPr>
          <w:rFonts w:cs="Tahoma"/>
          <w:szCs w:val="24"/>
          <w:lang w:val="en-US"/>
        </w:rPr>
        <w:t xml:space="preserve"> were not aware Respondent was going to raise the point in </w:t>
      </w:r>
      <w:proofErr w:type="spellStart"/>
      <w:r w:rsidRPr="008160B3">
        <w:rPr>
          <w:rFonts w:cs="Tahoma"/>
          <w:i/>
          <w:szCs w:val="24"/>
          <w:lang w:val="en-US"/>
        </w:rPr>
        <w:t>limine</w:t>
      </w:r>
      <w:proofErr w:type="spellEnd"/>
      <w:r w:rsidRPr="00410EB0">
        <w:rPr>
          <w:rFonts w:cs="Tahoma"/>
          <w:szCs w:val="24"/>
          <w:lang w:val="en-US"/>
        </w:rPr>
        <w:t xml:space="preserve">.  Had they been given prior notice then there would have arranged for proper pagination of the record. As it turned out the anomalies in </w:t>
      </w:r>
      <w:r w:rsidR="00984CBE">
        <w:rPr>
          <w:rFonts w:cs="Tahoma"/>
          <w:szCs w:val="24"/>
          <w:lang w:val="en-US"/>
        </w:rPr>
        <w:t xml:space="preserve">the </w:t>
      </w:r>
      <w:r w:rsidRPr="00410EB0">
        <w:rPr>
          <w:rFonts w:cs="Tahoma"/>
          <w:szCs w:val="24"/>
          <w:lang w:val="en-US"/>
        </w:rPr>
        <w:t>dates as noted by the Respondent were a result of mixing up of the pages in the record. He gave</w:t>
      </w:r>
      <w:r w:rsidR="00984CBE">
        <w:rPr>
          <w:rFonts w:cs="Tahoma"/>
          <w:szCs w:val="24"/>
          <w:lang w:val="en-US"/>
        </w:rPr>
        <w:t xml:space="preserve"> as</w:t>
      </w:r>
      <w:r w:rsidRPr="00410EB0">
        <w:rPr>
          <w:rFonts w:cs="Tahoma"/>
          <w:szCs w:val="24"/>
          <w:lang w:val="en-US"/>
        </w:rPr>
        <w:t xml:space="preserve"> a</w:t>
      </w:r>
      <w:r w:rsidR="00984CBE">
        <w:rPr>
          <w:rFonts w:cs="Tahoma"/>
          <w:szCs w:val="24"/>
          <w:lang w:val="en-US"/>
        </w:rPr>
        <w:t xml:space="preserve">n example </w:t>
      </w:r>
      <w:r w:rsidRPr="00410EB0">
        <w:rPr>
          <w:rFonts w:cs="Tahoma"/>
          <w:szCs w:val="24"/>
          <w:lang w:val="en-US"/>
        </w:rPr>
        <w:t xml:space="preserve">page 12 of the record where the Applicant </w:t>
      </w:r>
      <w:r w:rsidR="00984CBE">
        <w:rPr>
          <w:rFonts w:cs="Tahoma"/>
          <w:szCs w:val="24"/>
          <w:lang w:val="en-US"/>
        </w:rPr>
        <w:t xml:space="preserve">had </w:t>
      </w:r>
      <w:r w:rsidRPr="00410EB0">
        <w:rPr>
          <w:rFonts w:cs="Tahoma"/>
          <w:szCs w:val="24"/>
          <w:lang w:val="en-US"/>
        </w:rPr>
        <w:t>signed on the 20th February, 2017 that page</w:t>
      </w:r>
      <w:r w:rsidR="00984CBE">
        <w:rPr>
          <w:rFonts w:cs="Tahoma"/>
          <w:szCs w:val="24"/>
          <w:lang w:val="en-US"/>
        </w:rPr>
        <w:t xml:space="preserve"> had to be read with</w:t>
      </w:r>
      <w:r w:rsidRPr="00410EB0">
        <w:rPr>
          <w:rFonts w:cs="Tahoma"/>
          <w:szCs w:val="24"/>
          <w:lang w:val="en-US"/>
        </w:rPr>
        <w:t xml:space="preserve"> </w:t>
      </w:r>
      <w:r w:rsidR="007320F2">
        <w:rPr>
          <w:rFonts w:cs="Tahoma"/>
          <w:szCs w:val="24"/>
          <w:lang w:val="en-US"/>
        </w:rPr>
        <w:t xml:space="preserve">page </w:t>
      </w:r>
      <w:r w:rsidRPr="00410EB0">
        <w:rPr>
          <w:rFonts w:cs="Tahoma"/>
          <w:szCs w:val="24"/>
          <w:lang w:val="en-US"/>
        </w:rPr>
        <w:t>17 wh</w:t>
      </w:r>
      <w:r w:rsidR="00984CBE">
        <w:rPr>
          <w:rFonts w:cs="Tahoma"/>
          <w:szCs w:val="24"/>
          <w:lang w:val="en-US"/>
        </w:rPr>
        <w:t xml:space="preserve">ere there is a signature of D. </w:t>
      </w:r>
      <w:proofErr w:type="spellStart"/>
      <w:r w:rsidR="00984CBE">
        <w:rPr>
          <w:rFonts w:cs="Tahoma"/>
          <w:szCs w:val="24"/>
          <w:lang w:val="en-US"/>
        </w:rPr>
        <w:t>R</w:t>
      </w:r>
      <w:r w:rsidRPr="00410EB0">
        <w:rPr>
          <w:rFonts w:cs="Tahoma"/>
          <w:szCs w:val="24"/>
          <w:lang w:val="en-US"/>
        </w:rPr>
        <w:t>upinya</w:t>
      </w:r>
      <w:proofErr w:type="spellEnd"/>
      <w:r w:rsidRPr="00410EB0">
        <w:rPr>
          <w:rFonts w:cs="Tahoma"/>
          <w:szCs w:val="24"/>
          <w:lang w:val="en-US"/>
        </w:rPr>
        <w:t xml:space="preserve"> bearing the date as 24th of February, 2017. Page 16 of the record where there is a signature of D. </w:t>
      </w:r>
      <w:proofErr w:type="spellStart"/>
      <w:r w:rsidRPr="00410EB0">
        <w:rPr>
          <w:rFonts w:cs="Tahoma"/>
          <w:szCs w:val="24"/>
          <w:lang w:val="en-US"/>
        </w:rPr>
        <w:t>Rupiya</w:t>
      </w:r>
      <w:proofErr w:type="spellEnd"/>
      <w:r w:rsidRPr="00410EB0">
        <w:rPr>
          <w:rFonts w:cs="Tahoma"/>
          <w:szCs w:val="24"/>
          <w:lang w:val="en-US"/>
        </w:rPr>
        <w:t xml:space="preserve"> on the 22nd of Februa</w:t>
      </w:r>
      <w:r w:rsidR="00984CBE">
        <w:rPr>
          <w:rFonts w:cs="Tahoma"/>
          <w:szCs w:val="24"/>
          <w:lang w:val="en-US"/>
        </w:rPr>
        <w:t>ry, 2017 was also to be read</w:t>
      </w:r>
      <w:r w:rsidRPr="00410EB0">
        <w:rPr>
          <w:rFonts w:cs="Tahoma"/>
          <w:szCs w:val="24"/>
          <w:lang w:val="en-US"/>
        </w:rPr>
        <w:t xml:space="preserve"> with page 14 of the record. </w:t>
      </w:r>
      <w:proofErr w:type="spellStart"/>
      <w:r w:rsidRPr="00410EB0">
        <w:rPr>
          <w:rFonts w:cs="Tahoma"/>
          <w:szCs w:val="24"/>
          <w:lang w:val="en-US"/>
        </w:rPr>
        <w:t>Mr</w:t>
      </w:r>
      <w:proofErr w:type="spellEnd"/>
      <w:r w:rsidRPr="00410EB0">
        <w:rPr>
          <w:rFonts w:cs="Tahoma"/>
          <w:szCs w:val="24"/>
          <w:lang w:val="en-US"/>
        </w:rPr>
        <w:t xml:space="preserve"> </w:t>
      </w:r>
      <w:proofErr w:type="spellStart"/>
      <w:r w:rsidRPr="00410EB0">
        <w:rPr>
          <w:rFonts w:cs="Tahoma"/>
          <w:szCs w:val="24"/>
          <w:lang w:val="en-US"/>
        </w:rPr>
        <w:t>Matika</w:t>
      </w:r>
      <w:proofErr w:type="spellEnd"/>
      <w:r w:rsidRPr="00410EB0">
        <w:rPr>
          <w:rFonts w:cs="Tahoma"/>
          <w:szCs w:val="24"/>
          <w:lang w:val="en-US"/>
        </w:rPr>
        <w:t xml:space="preserve"> submitted that the point that the documents were signed on different dates was clearly not merited.</w:t>
      </w:r>
    </w:p>
    <w:p w:rsidR="002A62CC" w:rsidRDefault="002A62CC" w:rsidP="00410EB0">
      <w:pPr>
        <w:ind w:firstLine="720"/>
        <w:rPr>
          <w:rFonts w:cs="Tahoma"/>
          <w:szCs w:val="24"/>
          <w:lang w:val="en-US"/>
        </w:rPr>
      </w:pPr>
      <w:r>
        <w:rPr>
          <w:rFonts w:cs="Tahoma"/>
          <w:szCs w:val="24"/>
          <w:lang w:val="en-US"/>
        </w:rPr>
        <w:lastRenderedPageBreak/>
        <w:t>Turning to the third issue raised in respect of</w:t>
      </w:r>
      <w:r w:rsidR="00984CBE">
        <w:rPr>
          <w:rFonts w:cs="Tahoma"/>
          <w:szCs w:val="24"/>
          <w:lang w:val="en-US"/>
        </w:rPr>
        <w:t xml:space="preserve"> the</w:t>
      </w:r>
      <w:r w:rsidR="000F2C4A">
        <w:rPr>
          <w:rFonts w:cs="Tahoma"/>
          <w:szCs w:val="24"/>
          <w:lang w:val="en-US"/>
        </w:rPr>
        <w:t xml:space="preserve"> Applicants</w:t>
      </w:r>
      <w:r>
        <w:rPr>
          <w:rFonts w:cs="Tahoma"/>
          <w:szCs w:val="24"/>
          <w:lang w:val="en-US"/>
        </w:rPr>
        <w:t xml:space="preserve"> 26</w:t>
      </w:r>
      <w:r w:rsidRPr="002A62CC">
        <w:rPr>
          <w:rFonts w:cs="Tahoma"/>
          <w:szCs w:val="24"/>
          <w:vertAlign w:val="superscript"/>
          <w:lang w:val="en-US"/>
        </w:rPr>
        <w:t>th</w:t>
      </w:r>
      <w:r>
        <w:rPr>
          <w:rFonts w:cs="Tahoma"/>
          <w:szCs w:val="24"/>
          <w:lang w:val="en-US"/>
        </w:rPr>
        <w:t xml:space="preserve"> and 28</w:t>
      </w:r>
      <w:r w:rsidRPr="002A62CC">
        <w:rPr>
          <w:rFonts w:cs="Tahoma"/>
          <w:szCs w:val="24"/>
          <w:vertAlign w:val="superscript"/>
          <w:lang w:val="en-US"/>
        </w:rPr>
        <w:t>th</w:t>
      </w:r>
      <w:r>
        <w:rPr>
          <w:rFonts w:cs="Tahoma"/>
          <w:szCs w:val="24"/>
          <w:lang w:val="en-US"/>
        </w:rPr>
        <w:t xml:space="preserve"> Applicant </w:t>
      </w:r>
      <w:proofErr w:type="spellStart"/>
      <w:r>
        <w:rPr>
          <w:rFonts w:cs="Tahoma"/>
          <w:szCs w:val="24"/>
          <w:lang w:val="en-US"/>
        </w:rPr>
        <w:t>Mr</w:t>
      </w:r>
      <w:proofErr w:type="spellEnd"/>
      <w:r>
        <w:rPr>
          <w:rFonts w:cs="Tahoma"/>
          <w:szCs w:val="24"/>
          <w:lang w:val="en-US"/>
        </w:rPr>
        <w:t xml:space="preserve"> </w:t>
      </w:r>
      <w:proofErr w:type="spellStart"/>
      <w:r>
        <w:rPr>
          <w:rFonts w:cs="Tahoma"/>
          <w:szCs w:val="24"/>
          <w:lang w:val="en-US"/>
        </w:rPr>
        <w:t>Matika</w:t>
      </w:r>
      <w:proofErr w:type="spellEnd"/>
      <w:r>
        <w:rPr>
          <w:rFonts w:cs="Tahoma"/>
          <w:szCs w:val="24"/>
          <w:lang w:val="en-US"/>
        </w:rPr>
        <w:t xml:space="preserve"> conceded that these two Applicant</w:t>
      </w:r>
      <w:r w:rsidR="00984CBE">
        <w:rPr>
          <w:rFonts w:cs="Tahoma"/>
          <w:szCs w:val="24"/>
          <w:lang w:val="en-US"/>
        </w:rPr>
        <w:t>s</w:t>
      </w:r>
      <w:r>
        <w:rPr>
          <w:rFonts w:cs="Tahoma"/>
          <w:szCs w:val="24"/>
          <w:lang w:val="en-US"/>
        </w:rPr>
        <w:t xml:space="preserve"> were indeed not properly before t</w:t>
      </w:r>
      <w:r w:rsidR="008160B3">
        <w:rPr>
          <w:rFonts w:cs="Tahoma"/>
          <w:szCs w:val="24"/>
          <w:lang w:val="en-US"/>
        </w:rPr>
        <w:t>h</w:t>
      </w:r>
      <w:r>
        <w:rPr>
          <w:rFonts w:cs="Tahoma"/>
          <w:szCs w:val="24"/>
          <w:lang w:val="en-US"/>
        </w:rPr>
        <w:t xml:space="preserve">e court as they had not signed the </w:t>
      </w:r>
      <w:r w:rsidR="00984CBE">
        <w:rPr>
          <w:rFonts w:cs="Tahoma"/>
          <w:szCs w:val="24"/>
          <w:lang w:val="en-US"/>
        </w:rPr>
        <w:t>‘</w:t>
      </w:r>
      <w:r>
        <w:rPr>
          <w:rFonts w:cs="Tahoma"/>
          <w:szCs w:val="24"/>
          <w:lang w:val="en-US"/>
        </w:rPr>
        <w:t>declaration of mandate</w:t>
      </w:r>
      <w:r w:rsidR="00984CBE">
        <w:rPr>
          <w:rFonts w:cs="Tahoma"/>
          <w:szCs w:val="24"/>
          <w:lang w:val="en-US"/>
        </w:rPr>
        <w:t>’</w:t>
      </w:r>
      <w:r>
        <w:rPr>
          <w:rFonts w:cs="Tahoma"/>
          <w:szCs w:val="24"/>
          <w:lang w:val="en-US"/>
        </w:rPr>
        <w:t xml:space="preserve"> to authorize the 1</w:t>
      </w:r>
      <w:r w:rsidRPr="002A62CC">
        <w:rPr>
          <w:rFonts w:cs="Tahoma"/>
          <w:szCs w:val="24"/>
          <w:vertAlign w:val="superscript"/>
          <w:lang w:val="en-US"/>
        </w:rPr>
        <w:t>st</w:t>
      </w:r>
      <w:r>
        <w:rPr>
          <w:rFonts w:cs="Tahoma"/>
          <w:szCs w:val="24"/>
          <w:lang w:val="en-US"/>
        </w:rPr>
        <w:t xml:space="preserve"> Applicant to represent them. His </w:t>
      </w:r>
      <w:r w:rsidR="007320F2">
        <w:rPr>
          <w:rFonts w:cs="Tahoma"/>
          <w:szCs w:val="24"/>
          <w:lang w:val="en-US"/>
        </w:rPr>
        <w:t>submission was in respect of the</w:t>
      </w:r>
      <w:r>
        <w:rPr>
          <w:rFonts w:cs="Tahoma"/>
          <w:szCs w:val="24"/>
          <w:lang w:val="en-US"/>
        </w:rPr>
        <w:t>se two they could</w:t>
      </w:r>
      <w:r w:rsidR="000F2C4A">
        <w:rPr>
          <w:rFonts w:cs="Tahoma"/>
          <w:szCs w:val="24"/>
          <w:lang w:val="en-US"/>
        </w:rPr>
        <w:t xml:space="preserve"> thereafter</w:t>
      </w:r>
      <w:r>
        <w:rPr>
          <w:rFonts w:cs="Tahoma"/>
          <w:szCs w:val="24"/>
          <w:lang w:val="en-US"/>
        </w:rPr>
        <w:t xml:space="preserve"> be excluded from the proceedings therefore.</w:t>
      </w:r>
    </w:p>
    <w:p w:rsidR="00545E9B" w:rsidRDefault="00757E8D" w:rsidP="00410EB0">
      <w:pPr>
        <w:ind w:firstLine="720"/>
        <w:rPr>
          <w:rFonts w:cs="Tahoma"/>
          <w:szCs w:val="24"/>
          <w:lang w:val="en-US"/>
        </w:rPr>
      </w:pPr>
      <w:r>
        <w:rPr>
          <w:rFonts w:cs="Tahoma"/>
          <w:szCs w:val="24"/>
          <w:lang w:val="en-US"/>
        </w:rPr>
        <w:t xml:space="preserve">The court raised the issue that there was a judgment by the court which </w:t>
      </w:r>
      <w:r w:rsidR="003441AE">
        <w:rPr>
          <w:rFonts w:cs="Tahoma"/>
          <w:szCs w:val="24"/>
          <w:lang w:val="en-US"/>
        </w:rPr>
        <w:t xml:space="preserve">judgement was </w:t>
      </w:r>
      <w:r w:rsidR="000F2C4A">
        <w:rPr>
          <w:rFonts w:cs="Tahoma"/>
          <w:szCs w:val="24"/>
          <w:lang w:val="en-US"/>
        </w:rPr>
        <w:t xml:space="preserve">extant and </w:t>
      </w:r>
      <w:r w:rsidR="003441AE">
        <w:rPr>
          <w:rFonts w:cs="Tahoma"/>
          <w:szCs w:val="24"/>
          <w:lang w:val="en-US"/>
        </w:rPr>
        <w:t>binding on</w:t>
      </w:r>
      <w:r>
        <w:rPr>
          <w:rFonts w:cs="Tahoma"/>
          <w:szCs w:val="24"/>
          <w:lang w:val="en-US"/>
        </w:rPr>
        <w:t xml:space="preserve"> 1</w:t>
      </w:r>
      <w:r w:rsidRPr="00757E8D">
        <w:rPr>
          <w:rFonts w:cs="Tahoma"/>
          <w:szCs w:val="24"/>
          <w:vertAlign w:val="superscript"/>
          <w:lang w:val="en-US"/>
        </w:rPr>
        <w:t>st</w:t>
      </w:r>
      <w:r>
        <w:rPr>
          <w:rFonts w:cs="Tahoma"/>
          <w:szCs w:val="24"/>
          <w:lang w:val="en-US"/>
        </w:rPr>
        <w:t xml:space="preserve"> Applicant as well as the rest of the Applicant</w:t>
      </w:r>
      <w:r w:rsidR="003441AE">
        <w:rPr>
          <w:rFonts w:cs="Tahoma"/>
          <w:szCs w:val="24"/>
          <w:lang w:val="en-US"/>
        </w:rPr>
        <w:t>s</w:t>
      </w:r>
      <w:r>
        <w:rPr>
          <w:rFonts w:cs="Tahoma"/>
          <w:szCs w:val="24"/>
          <w:lang w:val="en-US"/>
        </w:rPr>
        <w:t xml:space="preserve"> so was the point in </w:t>
      </w:r>
      <w:proofErr w:type="spellStart"/>
      <w:r>
        <w:rPr>
          <w:rFonts w:cs="Tahoma"/>
          <w:i/>
          <w:szCs w:val="24"/>
          <w:lang w:val="en-US"/>
        </w:rPr>
        <w:t>limine</w:t>
      </w:r>
      <w:proofErr w:type="spellEnd"/>
      <w:r>
        <w:rPr>
          <w:rFonts w:cs="Tahoma"/>
          <w:i/>
          <w:szCs w:val="24"/>
          <w:lang w:val="en-US"/>
        </w:rPr>
        <w:t xml:space="preserve"> </w:t>
      </w:r>
      <w:r>
        <w:rPr>
          <w:rFonts w:cs="Tahoma"/>
          <w:szCs w:val="24"/>
          <w:lang w:val="en-US"/>
        </w:rPr>
        <w:t xml:space="preserve">properly taken before the court </w:t>
      </w:r>
      <w:r w:rsidR="007320F2">
        <w:rPr>
          <w:rFonts w:cs="Tahoma"/>
          <w:szCs w:val="24"/>
          <w:lang w:val="en-US"/>
        </w:rPr>
        <w:t>at this stage</w:t>
      </w:r>
      <w:r>
        <w:rPr>
          <w:rFonts w:cs="Tahoma"/>
          <w:szCs w:val="24"/>
          <w:lang w:val="en-US"/>
        </w:rPr>
        <w:t xml:space="preserve">. </w:t>
      </w:r>
      <w:proofErr w:type="spellStart"/>
      <w:r>
        <w:rPr>
          <w:rFonts w:cs="Tahoma"/>
          <w:szCs w:val="24"/>
          <w:lang w:val="en-US"/>
        </w:rPr>
        <w:t>Mr</w:t>
      </w:r>
      <w:proofErr w:type="spellEnd"/>
      <w:r>
        <w:rPr>
          <w:rFonts w:cs="Tahoma"/>
          <w:szCs w:val="24"/>
          <w:lang w:val="en-US"/>
        </w:rPr>
        <w:t xml:space="preserve"> </w:t>
      </w:r>
      <w:proofErr w:type="spellStart"/>
      <w:r>
        <w:rPr>
          <w:rFonts w:cs="Tahoma"/>
          <w:szCs w:val="24"/>
          <w:lang w:val="en-US"/>
        </w:rPr>
        <w:t>Matika</w:t>
      </w:r>
      <w:proofErr w:type="spellEnd"/>
      <w:r w:rsidR="003441AE">
        <w:rPr>
          <w:rFonts w:cs="Tahoma"/>
          <w:szCs w:val="24"/>
          <w:lang w:val="en-US"/>
        </w:rPr>
        <w:t>,</w:t>
      </w:r>
      <w:r>
        <w:rPr>
          <w:rFonts w:cs="Tahoma"/>
          <w:szCs w:val="24"/>
          <w:lang w:val="en-US"/>
        </w:rPr>
        <w:t xml:space="preserve"> in response submitted tha</w:t>
      </w:r>
      <w:r w:rsidR="003441AE">
        <w:rPr>
          <w:rFonts w:cs="Tahoma"/>
          <w:szCs w:val="24"/>
          <w:lang w:val="en-US"/>
        </w:rPr>
        <w:t>t the approach taken by Respondent</w:t>
      </w:r>
      <w:r>
        <w:rPr>
          <w:rFonts w:cs="Tahoma"/>
          <w:szCs w:val="24"/>
          <w:lang w:val="en-US"/>
        </w:rPr>
        <w:t xml:space="preserve"> was clearly not correct. The application for leave was an ancillary application</w:t>
      </w:r>
      <w:r w:rsidR="003441AE">
        <w:rPr>
          <w:rFonts w:cs="Tahoma"/>
          <w:szCs w:val="24"/>
          <w:lang w:val="en-US"/>
        </w:rPr>
        <w:t xml:space="preserve"> to the main application which</w:t>
      </w:r>
      <w:r w:rsidR="00221069">
        <w:rPr>
          <w:rFonts w:cs="Tahoma"/>
          <w:szCs w:val="24"/>
          <w:lang w:val="en-US"/>
        </w:rPr>
        <w:t xml:space="preserve"> the court </w:t>
      </w:r>
      <w:r w:rsidR="003441AE">
        <w:rPr>
          <w:rFonts w:cs="Tahoma"/>
          <w:szCs w:val="24"/>
          <w:lang w:val="en-US"/>
        </w:rPr>
        <w:t>had hear</w:t>
      </w:r>
      <w:r w:rsidR="00221069">
        <w:rPr>
          <w:rFonts w:cs="Tahoma"/>
          <w:szCs w:val="24"/>
          <w:lang w:val="en-US"/>
        </w:rPr>
        <w:t>d</w:t>
      </w:r>
      <w:r w:rsidR="003441AE">
        <w:rPr>
          <w:rFonts w:cs="Tahoma"/>
          <w:szCs w:val="24"/>
          <w:lang w:val="en-US"/>
        </w:rPr>
        <w:t xml:space="preserve"> and</w:t>
      </w:r>
      <w:r w:rsidR="00221069">
        <w:rPr>
          <w:rFonts w:cs="Tahoma"/>
          <w:szCs w:val="24"/>
          <w:lang w:val="en-US"/>
        </w:rPr>
        <w:t xml:space="preserve"> handed down its judgement.</w:t>
      </w:r>
    </w:p>
    <w:p w:rsidR="002223C6" w:rsidRDefault="00545E9B" w:rsidP="00410EB0">
      <w:pPr>
        <w:ind w:firstLine="720"/>
        <w:rPr>
          <w:rFonts w:cs="Tahoma"/>
          <w:szCs w:val="24"/>
          <w:lang w:val="en-US"/>
        </w:rPr>
      </w:pPr>
      <w:proofErr w:type="spellStart"/>
      <w:r>
        <w:rPr>
          <w:rFonts w:cs="Tahoma"/>
          <w:szCs w:val="24"/>
          <w:lang w:val="en-US"/>
        </w:rPr>
        <w:t>Mr</w:t>
      </w:r>
      <w:proofErr w:type="spellEnd"/>
      <w:r>
        <w:rPr>
          <w:rFonts w:cs="Tahoma"/>
          <w:szCs w:val="24"/>
          <w:lang w:val="en-US"/>
        </w:rPr>
        <w:t xml:space="preserve"> </w:t>
      </w:r>
      <w:proofErr w:type="spellStart"/>
      <w:r>
        <w:rPr>
          <w:rFonts w:cs="Tahoma"/>
          <w:szCs w:val="24"/>
          <w:lang w:val="en-US"/>
        </w:rPr>
        <w:t>Muchadehama</w:t>
      </w:r>
      <w:proofErr w:type="spellEnd"/>
      <w:r w:rsidR="003441AE">
        <w:rPr>
          <w:rFonts w:cs="Tahoma"/>
          <w:szCs w:val="24"/>
          <w:lang w:val="en-US"/>
        </w:rPr>
        <w:t>, for Respondent,</w:t>
      </w:r>
      <w:r>
        <w:rPr>
          <w:rFonts w:cs="Tahoma"/>
          <w:szCs w:val="24"/>
          <w:lang w:val="en-US"/>
        </w:rPr>
        <w:t xml:space="preserve"> in his reply submitted that the point in </w:t>
      </w:r>
      <w:proofErr w:type="spellStart"/>
      <w:r>
        <w:rPr>
          <w:rFonts w:cs="Tahoma"/>
          <w:i/>
          <w:szCs w:val="24"/>
          <w:lang w:val="en-US"/>
        </w:rPr>
        <w:t>limine</w:t>
      </w:r>
      <w:proofErr w:type="spellEnd"/>
      <w:r>
        <w:rPr>
          <w:rFonts w:cs="Tahoma"/>
          <w:i/>
          <w:szCs w:val="24"/>
          <w:lang w:val="en-US"/>
        </w:rPr>
        <w:t xml:space="preserve"> </w:t>
      </w:r>
      <w:r>
        <w:rPr>
          <w:rFonts w:cs="Tahoma"/>
          <w:szCs w:val="24"/>
          <w:lang w:val="en-US"/>
        </w:rPr>
        <w:t>was clearly with merit. It was apparent from Applicant</w:t>
      </w:r>
      <w:r w:rsidR="007320F2">
        <w:rPr>
          <w:rFonts w:cs="Tahoma"/>
          <w:szCs w:val="24"/>
          <w:lang w:val="en-US"/>
        </w:rPr>
        <w:t>s</w:t>
      </w:r>
      <w:r>
        <w:rPr>
          <w:rFonts w:cs="Tahoma"/>
          <w:szCs w:val="24"/>
          <w:lang w:val="en-US"/>
        </w:rPr>
        <w:t xml:space="preserve"> counsel submission</w:t>
      </w:r>
      <w:r w:rsidR="003441AE">
        <w:rPr>
          <w:rFonts w:cs="Tahoma"/>
          <w:szCs w:val="24"/>
          <w:lang w:val="en-US"/>
        </w:rPr>
        <w:t>s</w:t>
      </w:r>
      <w:r>
        <w:rPr>
          <w:rFonts w:cs="Tahoma"/>
          <w:szCs w:val="24"/>
          <w:lang w:val="en-US"/>
        </w:rPr>
        <w:t xml:space="preserve"> that he was </w:t>
      </w:r>
      <w:r w:rsidR="003441AE">
        <w:rPr>
          <w:rFonts w:cs="Tahoma"/>
          <w:szCs w:val="24"/>
          <w:lang w:val="en-US"/>
        </w:rPr>
        <w:t xml:space="preserve">also </w:t>
      </w:r>
      <w:r>
        <w:rPr>
          <w:rFonts w:cs="Tahoma"/>
          <w:szCs w:val="24"/>
          <w:lang w:val="en-US"/>
        </w:rPr>
        <w:t xml:space="preserve">not clear as to how to describe the document before the court. He had labelled it a </w:t>
      </w:r>
      <w:r w:rsidR="003441AE">
        <w:rPr>
          <w:rFonts w:cs="Tahoma"/>
          <w:szCs w:val="24"/>
          <w:lang w:val="en-US"/>
        </w:rPr>
        <w:t>‘</w:t>
      </w:r>
      <w:r>
        <w:rPr>
          <w:rFonts w:cs="Tahoma"/>
          <w:szCs w:val="24"/>
          <w:lang w:val="en-US"/>
        </w:rPr>
        <w:t>declaration of mandate</w:t>
      </w:r>
      <w:r w:rsidR="003441AE">
        <w:rPr>
          <w:rFonts w:cs="Tahoma"/>
          <w:szCs w:val="24"/>
          <w:lang w:val="en-US"/>
        </w:rPr>
        <w:t xml:space="preserve">’ but </w:t>
      </w:r>
      <w:r>
        <w:rPr>
          <w:rFonts w:cs="Tahoma"/>
          <w:szCs w:val="24"/>
          <w:lang w:val="en-US"/>
        </w:rPr>
        <w:t>in his address</w:t>
      </w:r>
      <w:r w:rsidR="003441AE">
        <w:rPr>
          <w:rFonts w:cs="Tahoma"/>
          <w:szCs w:val="24"/>
          <w:lang w:val="en-US"/>
        </w:rPr>
        <w:t xml:space="preserve"> he had</w:t>
      </w:r>
      <w:r w:rsidR="007320F2">
        <w:rPr>
          <w:rFonts w:cs="Tahoma"/>
          <w:szCs w:val="24"/>
          <w:lang w:val="en-US"/>
        </w:rPr>
        <w:t xml:space="preserve"> also</w:t>
      </w:r>
      <w:r>
        <w:rPr>
          <w:rFonts w:cs="Tahoma"/>
          <w:szCs w:val="24"/>
          <w:lang w:val="en-US"/>
        </w:rPr>
        <w:t xml:space="preserve"> referred to</w:t>
      </w:r>
      <w:r w:rsidR="003441AE">
        <w:rPr>
          <w:rFonts w:cs="Tahoma"/>
          <w:szCs w:val="24"/>
          <w:lang w:val="en-US"/>
        </w:rPr>
        <w:t xml:space="preserve"> it</w:t>
      </w:r>
      <w:r>
        <w:rPr>
          <w:rFonts w:cs="Tahoma"/>
          <w:szCs w:val="24"/>
          <w:lang w:val="en-US"/>
        </w:rPr>
        <w:t xml:space="preserve"> as akin to a </w:t>
      </w:r>
      <w:r w:rsidR="003441AE">
        <w:rPr>
          <w:rFonts w:cs="Tahoma"/>
          <w:szCs w:val="24"/>
          <w:lang w:val="en-US"/>
        </w:rPr>
        <w:t>supporting a</w:t>
      </w:r>
      <w:r>
        <w:rPr>
          <w:rFonts w:cs="Tahoma"/>
          <w:szCs w:val="24"/>
          <w:lang w:val="en-US"/>
        </w:rPr>
        <w:t xml:space="preserve">ffidavit </w:t>
      </w:r>
      <w:r w:rsidR="00533D97">
        <w:rPr>
          <w:rFonts w:cs="Tahoma"/>
          <w:szCs w:val="24"/>
          <w:lang w:val="en-US"/>
        </w:rPr>
        <w:t>and then to a Specific Power of Attorney. Applicant counsel had also said that the document fell in</w:t>
      </w:r>
      <w:r w:rsidR="000F2C4A">
        <w:rPr>
          <w:rFonts w:cs="Tahoma"/>
          <w:szCs w:val="24"/>
          <w:lang w:val="en-US"/>
        </w:rPr>
        <w:t xml:space="preserve"> the</w:t>
      </w:r>
      <w:r w:rsidR="00533D97">
        <w:rPr>
          <w:rFonts w:cs="Tahoma"/>
          <w:szCs w:val="24"/>
          <w:lang w:val="en-US"/>
        </w:rPr>
        <w:t xml:space="preserve"> definition as referred to in </w:t>
      </w:r>
      <w:r w:rsidR="00533D97" w:rsidRPr="00533D97">
        <w:rPr>
          <w:rFonts w:cs="Tahoma"/>
          <w:b/>
          <w:szCs w:val="24"/>
          <w:lang w:val="en-US"/>
        </w:rPr>
        <w:t>Rule 21 (5)</w:t>
      </w:r>
      <w:r w:rsidR="00533D97">
        <w:rPr>
          <w:rFonts w:cs="Tahoma"/>
          <w:szCs w:val="24"/>
          <w:lang w:val="en-US"/>
        </w:rPr>
        <w:t xml:space="preserve">. </w:t>
      </w:r>
      <w:r w:rsidR="003441AE">
        <w:rPr>
          <w:rFonts w:cs="Tahoma"/>
          <w:szCs w:val="24"/>
          <w:lang w:val="en-US"/>
        </w:rPr>
        <w:t xml:space="preserve">It was the contention by </w:t>
      </w:r>
      <w:proofErr w:type="spellStart"/>
      <w:r w:rsidR="003441AE">
        <w:rPr>
          <w:rFonts w:cs="Tahoma"/>
          <w:szCs w:val="24"/>
          <w:lang w:val="en-US"/>
        </w:rPr>
        <w:t>Mr</w:t>
      </w:r>
      <w:proofErr w:type="spellEnd"/>
      <w:r w:rsidR="003441AE">
        <w:rPr>
          <w:rFonts w:cs="Tahoma"/>
          <w:szCs w:val="24"/>
          <w:lang w:val="en-US"/>
        </w:rPr>
        <w:t xml:space="preserve"> </w:t>
      </w:r>
      <w:proofErr w:type="spellStart"/>
      <w:r w:rsidR="007320F2">
        <w:rPr>
          <w:rFonts w:cs="Tahoma"/>
          <w:szCs w:val="24"/>
          <w:lang w:val="en-US"/>
        </w:rPr>
        <w:t>Muchadehama</w:t>
      </w:r>
      <w:proofErr w:type="spellEnd"/>
      <w:r w:rsidR="007320F2">
        <w:rPr>
          <w:rFonts w:cs="Tahoma"/>
          <w:szCs w:val="24"/>
          <w:lang w:val="en-US"/>
        </w:rPr>
        <w:t xml:space="preserve"> that</w:t>
      </w:r>
      <w:r w:rsidR="003441AE">
        <w:rPr>
          <w:rFonts w:cs="Tahoma"/>
          <w:szCs w:val="24"/>
          <w:lang w:val="en-US"/>
        </w:rPr>
        <w:t xml:space="preserve"> t</w:t>
      </w:r>
      <w:r w:rsidR="00533D97">
        <w:rPr>
          <w:rFonts w:cs="Tahoma"/>
          <w:szCs w:val="24"/>
          <w:lang w:val="en-US"/>
        </w:rPr>
        <w:t>he Applicant</w:t>
      </w:r>
      <w:r w:rsidR="007320F2">
        <w:rPr>
          <w:rFonts w:cs="Tahoma"/>
          <w:szCs w:val="24"/>
          <w:lang w:val="en-US"/>
        </w:rPr>
        <w:t>s c</w:t>
      </w:r>
      <w:r w:rsidR="00533D97">
        <w:rPr>
          <w:rFonts w:cs="Tahoma"/>
          <w:szCs w:val="24"/>
          <w:lang w:val="en-US"/>
        </w:rPr>
        <w:t>ould not</w:t>
      </w:r>
      <w:r w:rsidR="007320F2">
        <w:rPr>
          <w:rFonts w:cs="Tahoma"/>
          <w:szCs w:val="24"/>
          <w:lang w:val="en-US"/>
        </w:rPr>
        <w:t xml:space="preserve"> be allowed to</w:t>
      </w:r>
      <w:r w:rsidR="00533D97">
        <w:rPr>
          <w:rFonts w:cs="Tahoma"/>
          <w:szCs w:val="24"/>
          <w:lang w:val="en-US"/>
        </w:rPr>
        <w:t xml:space="preserve"> leave the court guessing as to what the document was</w:t>
      </w:r>
      <w:r w:rsidR="00E57CDD">
        <w:rPr>
          <w:rFonts w:cs="Tahoma"/>
          <w:szCs w:val="24"/>
          <w:lang w:val="en-US"/>
        </w:rPr>
        <w:t xml:space="preserve">. </w:t>
      </w:r>
      <w:r w:rsidR="00E57CDD">
        <w:rPr>
          <w:rFonts w:cs="Tahoma"/>
          <w:b/>
          <w:szCs w:val="24"/>
          <w:lang w:val="en-US"/>
        </w:rPr>
        <w:t xml:space="preserve">Rule 14 </w:t>
      </w:r>
      <w:r w:rsidR="00E57CDD">
        <w:rPr>
          <w:rFonts w:cs="Tahoma"/>
          <w:szCs w:val="24"/>
          <w:lang w:val="en-US"/>
        </w:rPr>
        <w:t xml:space="preserve">was clear that </w:t>
      </w:r>
      <w:r w:rsidR="007320F2">
        <w:rPr>
          <w:rFonts w:cs="Tahoma"/>
          <w:szCs w:val="24"/>
          <w:lang w:val="en-US"/>
        </w:rPr>
        <w:t>an</w:t>
      </w:r>
      <w:r w:rsidR="00E57CDD">
        <w:rPr>
          <w:rFonts w:cs="Tahoma"/>
          <w:szCs w:val="24"/>
          <w:lang w:val="en-US"/>
        </w:rPr>
        <w:t xml:space="preserve"> application must be accompanied </w:t>
      </w:r>
      <w:r w:rsidR="00A2457A">
        <w:rPr>
          <w:rFonts w:cs="Tahoma"/>
          <w:szCs w:val="24"/>
          <w:lang w:val="en-US"/>
        </w:rPr>
        <w:t>by a</w:t>
      </w:r>
      <w:r w:rsidR="003441AE">
        <w:rPr>
          <w:rFonts w:cs="Tahoma"/>
          <w:szCs w:val="24"/>
          <w:lang w:val="en-US"/>
        </w:rPr>
        <w:t xml:space="preserve"> s</w:t>
      </w:r>
      <w:r w:rsidR="00E57CDD">
        <w:rPr>
          <w:rFonts w:cs="Tahoma"/>
          <w:szCs w:val="24"/>
          <w:lang w:val="en-US"/>
        </w:rPr>
        <w:t xml:space="preserve">upporting </w:t>
      </w:r>
      <w:r w:rsidR="003441AE">
        <w:rPr>
          <w:rFonts w:cs="Tahoma"/>
          <w:szCs w:val="24"/>
          <w:lang w:val="en-US"/>
        </w:rPr>
        <w:t>a</w:t>
      </w:r>
      <w:r w:rsidR="00E57CDD">
        <w:rPr>
          <w:rFonts w:cs="Tahoma"/>
          <w:szCs w:val="24"/>
          <w:lang w:val="en-US"/>
        </w:rPr>
        <w:t xml:space="preserve">ffidavit. The document before the court was not such. In response to the second issue </w:t>
      </w:r>
      <w:proofErr w:type="spellStart"/>
      <w:r w:rsidR="00E57CDD">
        <w:rPr>
          <w:rFonts w:cs="Tahoma"/>
          <w:szCs w:val="24"/>
          <w:lang w:val="en-US"/>
        </w:rPr>
        <w:t>Mr</w:t>
      </w:r>
      <w:proofErr w:type="spellEnd"/>
      <w:r w:rsidR="00E57CDD">
        <w:rPr>
          <w:rFonts w:cs="Tahoma"/>
          <w:szCs w:val="24"/>
          <w:lang w:val="en-US"/>
        </w:rPr>
        <w:t xml:space="preserve"> </w:t>
      </w:r>
      <w:proofErr w:type="spellStart"/>
      <w:r w:rsidR="00E57CDD">
        <w:rPr>
          <w:rFonts w:cs="Tahoma"/>
          <w:szCs w:val="24"/>
          <w:lang w:val="en-US"/>
        </w:rPr>
        <w:t>Muchadehama</w:t>
      </w:r>
      <w:proofErr w:type="spellEnd"/>
      <w:r w:rsidR="00E57CDD">
        <w:rPr>
          <w:rFonts w:cs="Tahoma"/>
          <w:szCs w:val="24"/>
          <w:lang w:val="en-US"/>
        </w:rPr>
        <w:t xml:space="preserve"> submitted that he was not aware there was a mix up in the papers. It was trite </w:t>
      </w:r>
      <w:r w:rsidR="007320F2">
        <w:rPr>
          <w:rFonts w:cs="Tahoma"/>
          <w:szCs w:val="24"/>
          <w:lang w:val="en-US"/>
        </w:rPr>
        <w:t xml:space="preserve">position at law </w:t>
      </w:r>
      <w:r w:rsidR="00E57CDD">
        <w:rPr>
          <w:rFonts w:cs="Tahoma"/>
          <w:szCs w:val="24"/>
          <w:lang w:val="en-US"/>
        </w:rPr>
        <w:t>that an application stands/falls on the papers as filed.</w:t>
      </w:r>
      <w:r w:rsidR="007320F2">
        <w:rPr>
          <w:rFonts w:cs="Tahoma"/>
          <w:szCs w:val="24"/>
          <w:lang w:val="en-US"/>
        </w:rPr>
        <w:t xml:space="preserve"> The application as </w:t>
      </w:r>
      <w:r w:rsidR="000F2C4A">
        <w:rPr>
          <w:rFonts w:cs="Tahoma"/>
          <w:szCs w:val="24"/>
          <w:lang w:val="en-US"/>
        </w:rPr>
        <w:t>it stood</w:t>
      </w:r>
      <w:r w:rsidR="007320F2">
        <w:rPr>
          <w:rFonts w:cs="Tahoma"/>
          <w:szCs w:val="24"/>
          <w:lang w:val="en-US"/>
        </w:rPr>
        <w:t xml:space="preserve"> was clearly</w:t>
      </w:r>
      <w:r w:rsidR="00CC4838">
        <w:rPr>
          <w:rFonts w:cs="Tahoma"/>
          <w:szCs w:val="24"/>
          <w:lang w:val="en-US"/>
        </w:rPr>
        <w:t xml:space="preserve"> </w:t>
      </w:r>
      <w:r w:rsidR="007320F2">
        <w:rPr>
          <w:rFonts w:cs="Tahoma"/>
          <w:szCs w:val="24"/>
          <w:lang w:val="en-US"/>
        </w:rPr>
        <w:t>poorly presented.</w:t>
      </w:r>
      <w:r w:rsidR="00E57CDD">
        <w:rPr>
          <w:rFonts w:cs="Tahoma"/>
          <w:szCs w:val="24"/>
          <w:lang w:val="en-US"/>
        </w:rPr>
        <w:t xml:space="preserve"> The court </w:t>
      </w:r>
      <w:r w:rsidR="007320F2">
        <w:rPr>
          <w:rFonts w:cs="Tahoma"/>
          <w:szCs w:val="24"/>
          <w:lang w:val="en-US"/>
        </w:rPr>
        <w:t>was urged to</w:t>
      </w:r>
      <w:r w:rsidR="00E57CDD">
        <w:rPr>
          <w:rFonts w:cs="Tahoma"/>
          <w:szCs w:val="24"/>
          <w:lang w:val="en-US"/>
        </w:rPr>
        <w:t xml:space="preserve"> find in Respondent</w:t>
      </w:r>
      <w:r w:rsidR="000F2C4A">
        <w:rPr>
          <w:rFonts w:cs="Tahoma"/>
          <w:szCs w:val="24"/>
          <w:lang w:val="en-US"/>
        </w:rPr>
        <w:t>’s</w:t>
      </w:r>
      <w:r w:rsidR="00E57CDD">
        <w:rPr>
          <w:rFonts w:cs="Tahoma"/>
          <w:szCs w:val="24"/>
          <w:lang w:val="en-US"/>
        </w:rPr>
        <w:t xml:space="preserve"> </w:t>
      </w:r>
      <w:proofErr w:type="spellStart"/>
      <w:r w:rsidR="002223C6">
        <w:rPr>
          <w:rFonts w:cs="Tahoma"/>
          <w:szCs w:val="24"/>
          <w:lang w:val="en-US"/>
        </w:rPr>
        <w:t>favour</w:t>
      </w:r>
      <w:proofErr w:type="spellEnd"/>
      <w:r w:rsidR="002223C6">
        <w:rPr>
          <w:rFonts w:cs="Tahoma"/>
          <w:szCs w:val="24"/>
          <w:lang w:val="en-US"/>
        </w:rPr>
        <w:t>.</w:t>
      </w:r>
      <w:r w:rsidR="007320F2">
        <w:rPr>
          <w:rFonts w:cs="Tahoma"/>
          <w:szCs w:val="24"/>
          <w:lang w:val="en-US"/>
        </w:rPr>
        <w:t xml:space="preserve"> It was his further submission</w:t>
      </w:r>
      <w:r w:rsidR="002223C6">
        <w:rPr>
          <w:rFonts w:cs="Tahoma"/>
          <w:szCs w:val="24"/>
          <w:lang w:val="en-US"/>
        </w:rPr>
        <w:t xml:space="preserve"> </w:t>
      </w:r>
      <w:proofErr w:type="spellStart"/>
      <w:r w:rsidR="002223C6">
        <w:rPr>
          <w:rFonts w:cs="Tahoma"/>
          <w:szCs w:val="24"/>
          <w:lang w:val="en-US"/>
        </w:rPr>
        <w:t>Mr</w:t>
      </w:r>
      <w:proofErr w:type="spellEnd"/>
      <w:r w:rsidR="002223C6">
        <w:rPr>
          <w:rFonts w:cs="Tahoma"/>
          <w:szCs w:val="24"/>
          <w:lang w:val="en-US"/>
        </w:rPr>
        <w:t xml:space="preserve"> </w:t>
      </w:r>
      <w:proofErr w:type="spellStart"/>
      <w:r w:rsidR="002223C6">
        <w:rPr>
          <w:rFonts w:cs="Tahoma"/>
          <w:szCs w:val="24"/>
          <w:lang w:val="en-US"/>
        </w:rPr>
        <w:t>Matika</w:t>
      </w:r>
      <w:proofErr w:type="spellEnd"/>
      <w:r w:rsidR="002223C6">
        <w:rPr>
          <w:rFonts w:cs="Tahoma"/>
          <w:szCs w:val="24"/>
          <w:lang w:val="en-US"/>
        </w:rPr>
        <w:t xml:space="preserve"> had also improperly sought to lead evidence from the bar. He had not properly applied to amend his papers so that they</w:t>
      </w:r>
      <w:r w:rsidR="000F2C4A">
        <w:rPr>
          <w:rFonts w:cs="Tahoma"/>
          <w:szCs w:val="24"/>
          <w:lang w:val="en-US"/>
        </w:rPr>
        <w:t xml:space="preserve"> were</w:t>
      </w:r>
      <w:r w:rsidR="002223C6">
        <w:rPr>
          <w:rFonts w:cs="Tahoma"/>
          <w:szCs w:val="24"/>
          <w:lang w:val="en-US"/>
        </w:rPr>
        <w:t xml:space="preserve"> correctly aligned. There was </w:t>
      </w:r>
      <w:r w:rsidR="00CC4838">
        <w:rPr>
          <w:rFonts w:cs="Tahoma"/>
          <w:szCs w:val="24"/>
          <w:lang w:val="en-US"/>
        </w:rPr>
        <w:t xml:space="preserve">in any event </w:t>
      </w:r>
      <w:r w:rsidR="002223C6">
        <w:rPr>
          <w:rFonts w:cs="Tahoma"/>
          <w:szCs w:val="24"/>
          <w:lang w:val="en-US"/>
        </w:rPr>
        <w:t xml:space="preserve">no rule that allowed him to amend his papers as he had </w:t>
      </w:r>
      <w:r w:rsidR="000F2C4A">
        <w:rPr>
          <w:rFonts w:cs="Tahoma"/>
          <w:szCs w:val="24"/>
          <w:lang w:val="en-US"/>
        </w:rPr>
        <w:t>sought to do</w:t>
      </w:r>
      <w:r w:rsidR="002223C6">
        <w:rPr>
          <w:rFonts w:cs="Tahoma"/>
          <w:szCs w:val="24"/>
          <w:lang w:val="en-US"/>
        </w:rPr>
        <w:t>. The concession in respect of Applicants 26 and 28 was</w:t>
      </w:r>
      <w:r w:rsidR="003441AE">
        <w:rPr>
          <w:rFonts w:cs="Tahoma"/>
          <w:szCs w:val="24"/>
          <w:lang w:val="en-US"/>
        </w:rPr>
        <w:t xml:space="preserve"> however</w:t>
      </w:r>
      <w:r w:rsidR="002223C6">
        <w:rPr>
          <w:rFonts w:cs="Tahoma"/>
          <w:szCs w:val="24"/>
          <w:lang w:val="en-US"/>
        </w:rPr>
        <w:t xml:space="preserve"> properly taken. </w:t>
      </w:r>
    </w:p>
    <w:p w:rsidR="002A62CC" w:rsidRDefault="002223C6" w:rsidP="00410EB0">
      <w:pPr>
        <w:ind w:firstLine="720"/>
        <w:rPr>
          <w:rFonts w:cs="Tahoma"/>
          <w:szCs w:val="24"/>
          <w:lang w:val="en-US"/>
        </w:rPr>
      </w:pPr>
      <w:proofErr w:type="gramStart"/>
      <w:r>
        <w:rPr>
          <w:rFonts w:cs="Tahoma"/>
          <w:szCs w:val="24"/>
          <w:lang w:val="en-US"/>
        </w:rPr>
        <w:lastRenderedPageBreak/>
        <w:t>in</w:t>
      </w:r>
      <w:proofErr w:type="gramEnd"/>
      <w:r>
        <w:rPr>
          <w:rFonts w:cs="Tahoma"/>
          <w:szCs w:val="24"/>
          <w:lang w:val="en-US"/>
        </w:rPr>
        <w:t xml:space="preserve"> response to the point raised by court earlier </w:t>
      </w:r>
      <w:r w:rsidR="00E90E82">
        <w:rPr>
          <w:rFonts w:cs="Tahoma"/>
          <w:szCs w:val="24"/>
          <w:lang w:val="en-US"/>
        </w:rPr>
        <w:t xml:space="preserve">with </w:t>
      </w:r>
      <w:proofErr w:type="spellStart"/>
      <w:r w:rsidR="00A2457A">
        <w:rPr>
          <w:rFonts w:cs="Tahoma"/>
          <w:szCs w:val="24"/>
          <w:lang w:val="en-US"/>
        </w:rPr>
        <w:t>Mr</w:t>
      </w:r>
      <w:proofErr w:type="spellEnd"/>
      <w:r w:rsidR="00A2457A">
        <w:rPr>
          <w:rFonts w:cs="Tahoma"/>
          <w:szCs w:val="24"/>
          <w:lang w:val="en-US"/>
        </w:rPr>
        <w:t xml:space="preserve"> </w:t>
      </w:r>
      <w:proofErr w:type="spellStart"/>
      <w:r w:rsidR="00A2457A">
        <w:rPr>
          <w:rFonts w:cs="Tahoma"/>
          <w:szCs w:val="24"/>
          <w:lang w:val="en-US"/>
        </w:rPr>
        <w:t>Matika</w:t>
      </w:r>
      <w:proofErr w:type="spellEnd"/>
      <w:r w:rsidR="00A2457A">
        <w:rPr>
          <w:rFonts w:cs="Tahoma"/>
          <w:szCs w:val="24"/>
          <w:lang w:val="en-US"/>
        </w:rPr>
        <w:t xml:space="preserve">, </w:t>
      </w:r>
      <w:proofErr w:type="spellStart"/>
      <w:r w:rsidR="0022177B">
        <w:rPr>
          <w:rFonts w:cs="Tahoma"/>
          <w:szCs w:val="24"/>
          <w:lang w:val="en-US"/>
        </w:rPr>
        <w:t>Mr</w:t>
      </w:r>
      <w:proofErr w:type="spellEnd"/>
      <w:r w:rsidR="0022177B">
        <w:rPr>
          <w:rFonts w:cs="Tahoma"/>
          <w:szCs w:val="24"/>
          <w:lang w:val="en-US"/>
        </w:rPr>
        <w:t xml:space="preserve"> </w:t>
      </w:r>
      <w:proofErr w:type="spellStart"/>
      <w:r w:rsidR="0022177B">
        <w:rPr>
          <w:rFonts w:cs="Tahoma"/>
          <w:szCs w:val="24"/>
          <w:lang w:val="en-US"/>
        </w:rPr>
        <w:t>Muchedahama</w:t>
      </w:r>
      <w:proofErr w:type="spellEnd"/>
      <w:r w:rsidR="0022177B">
        <w:rPr>
          <w:rFonts w:cs="Tahoma"/>
          <w:szCs w:val="24"/>
          <w:lang w:val="en-US"/>
        </w:rPr>
        <w:t xml:space="preserve">, </w:t>
      </w:r>
      <w:r w:rsidR="00E90E82">
        <w:rPr>
          <w:rFonts w:cs="Tahoma"/>
          <w:szCs w:val="24"/>
          <w:lang w:val="en-US"/>
        </w:rPr>
        <w:t xml:space="preserve">submitted that the judgment of the court indeed remained extant, if his point in </w:t>
      </w:r>
      <w:proofErr w:type="spellStart"/>
      <w:r w:rsidR="00E90E82">
        <w:rPr>
          <w:rFonts w:cs="Tahoma"/>
          <w:i/>
          <w:szCs w:val="24"/>
          <w:lang w:val="en-US"/>
        </w:rPr>
        <w:t>limine</w:t>
      </w:r>
      <w:proofErr w:type="spellEnd"/>
      <w:r w:rsidR="00E90E82">
        <w:rPr>
          <w:rFonts w:cs="Tahoma"/>
          <w:i/>
          <w:szCs w:val="24"/>
          <w:lang w:val="en-US"/>
        </w:rPr>
        <w:t xml:space="preserve"> </w:t>
      </w:r>
      <w:r w:rsidR="00E90E82">
        <w:rPr>
          <w:rFonts w:cs="Tahoma"/>
          <w:szCs w:val="24"/>
          <w:lang w:val="en-US"/>
        </w:rPr>
        <w:t xml:space="preserve">succeeded </w:t>
      </w:r>
      <w:r w:rsidR="00A2457A">
        <w:rPr>
          <w:rFonts w:cs="Tahoma"/>
          <w:szCs w:val="24"/>
          <w:lang w:val="en-US"/>
        </w:rPr>
        <w:t xml:space="preserve">however </w:t>
      </w:r>
      <w:r w:rsidR="00E90E82">
        <w:rPr>
          <w:rFonts w:cs="Tahoma"/>
          <w:szCs w:val="24"/>
          <w:lang w:val="en-US"/>
        </w:rPr>
        <w:t xml:space="preserve">there would be a need for correction of the judgment to reflect only </w:t>
      </w:r>
      <w:r w:rsidR="00A2457A">
        <w:rPr>
          <w:rFonts w:cs="Tahoma"/>
          <w:szCs w:val="24"/>
          <w:lang w:val="en-US"/>
        </w:rPr>
        <w:t xml:space="preserve">the </w:t>
      </w:r>
      <w:r w:rsidR="00E90E82">
        <w:rPr>
          <w:rFonts w:cs="Tahoma"/>
          <w:szCs w:val="24"/>
          <w:lang w:val="en-US"/>
        </w:rPr>
        <w:t>Applicant</w:t>
      </w:r>
      <w:r w:rsidR="00CC4838">
        <w:rPr>
          <w:rFonts w:cs="Tahoma"/>
          <w:szCs w:val="24"/>
          <w:lang w:val="en-US"/>
        </w:rPr>
        <w:t xml:space="preserve"> who</w:t>
      </w:r>
      <w:r w:rsidR="00E90E82">
        <w:rPr>
          <w:rFonts w:cs="Tahoma"/>
          <w:szCs w:val="24"/>
          <w:lang w:val="en-US"/>
        </w:rPr>
        <w:t xml:space="preserve"> </w:t>
      </w:r>
      <w:r w:rsidR="00A2457A">
        <w:rPr>
          <w:rFonts w:cs="Tahoma"/>
          <w:szCs w:val="24"/>
          <w:lang w:val="en-US"/>
        </w:rPr>
        <w:t>was properly before the court i.e.</w:t>
      </w:r>
      <w:r w:rsidR="00E90E82">
        <w:rPr>
          <w:rFonts w:cs="Tahoma"/>
          <w:szCs w:val="24"/>
          <w:lang w:val="en-US"/>
        </w:rPr>
        <w:t xml:space="preserve"> 1</w:t>
      </w:r>
      <w:r w:rsidR="00E90E82" w:rsidRPr="00E90E82">
        <w:rPr>
          <w:rFonts w:cs="Tahoma"/>
          <w:szCs w:val="24"/>
          <w:vertAlign w:val="superscript"/>
          <w:lang w:val="en-US"/>
        </w:rPr>
        <w:t>st</w:t>
      </w:r>
      <w:r w:rsidR="00E90E82">
        <w:rPr>
          <w:rFonts w:cs="Tahoma"/>
          <w:szCs w:val="24"/>
          <w:lang w:val="en-US"/>
        </w:rPr>
        <w:t xml:space="preserve"> Applicant </w:t>
      </w:r>
      <w:r w:rsidR="006163AE">
        <w:rPr>
          <w:rFonts w:cs="Tahoma"/>
          <w:szCs w:val="24"/>
          <w:lang w:val="en-US"/>
        </w:rPr>
        <w:t xml:space="preserve">only. The only problem was Applicants were opposed to </w:t>
      </w:r>
      <w:r w:rsidR="00CC4838">
        <w:rPr>
          <w:rFonts w:cs="Tahoma"/>
          <w:szCs w:val="24"/>
          <w:lang w:val="en-US"/>
        </w:rPr>
        <w:t>his</w:t>
      </w:r>
      <w:r w:rsidR="0022177B">
        <w:rPr>
          <w:rFonts w:cs="Tahoma"/>
          <w:szCs w:val="24"/>
          <w:lang w:val="en-US"/>
        </w:rPr>
        <w:t xml:space="preserve"> point</w:t>
      </w:r>
      <w:r w:rsidR="00CC4838">
        <w:rPr>
          <w:rFonts w:cs="Tahoma"/>
          <w:szCs w:val="24"/>
          <w:lang w:val="en-US"/>
        </w:rPr>
        <w:t xml:space="preserve"> </w:t>
      </w:r>
      <w:proofErr w:type="gramStart"/>
      <w:r w:rsidR="00CC4838" w:rsidRPr="00CC4838">
        <w:rPr>
          <w:rFonts w:cs="Tahoma"/>
          <w:i/>
          <w:szCs w:val="24"/>
          <w:lang w:val="en-US"/>
        </w:rPr>
        <w:t>In</w:t>
      </w:r>
      <w:proofErr w:type="gramEnd"/>
      <w:r w:rsidR="00CC4838">
        <w:rPr>
          <w:rFonts w:cs="Tahoma"/>
          <w:szCs w:val="24"/>
          <w:lang w:val="en-US"/>
        </w:rPr>
        <w:t xml:space="preserve"> </w:t>
      </w:r>
      <w:proofErr w:type="spellStart"/>
      <w:r w:rsidR="00CC4838" w:rsidRPr="00CC4838">
        <w:rPr>
          <w:rFonts w:cs="Tahoma"/>
          <w:i/>
          <w:szCs w:val="24"/>
          <w:lang w:val="en-US"/>
        </w:rPr>
        <w:t>limine</w:t>
      </w:r>
      <w:proofErr w:type="spellEnd"/>
      <w:r w:rsidR="0022177B">
        <w:rPr>
          <w:rFonts w:cs="Tahoma"/>
          <w:szCs w:val="24"/>
          <w:lang w:val="en-US"/>
        </w:rPr>
        <w:t xml:space="preserve"> and had</w:t>
      </w:r>
      <w:r w:rsidR="00CC4838">
        <w:rPr>
          <w:rFonts w:cs="Tahoma"/>
          <w:szCs w:val="24"/>
          <w:lang w:val="en-US"/>
        </w:rPr>
        <w:t xml:space="preserve"> not</w:t>
      </w:r>
      <w:r w:rsidR="006163AE">
        <w:rPr>
          <w:rFonts w:cs="Tahoma"/>
          <w:szCs w:val="24"/>
          <w:lang w:val="en-US"/>
        </w:rPr>
        <w:t xml:space="preserve"> </w:t>
      </w:r>
      <w:r w:rsidR="00CC4838">
        <w:rPr>
          <w:rFonts w:cs="Tahoma"/>
          <w:szCs w:val="24"/>
          <w:lang w:val="en-US"/>
        </w:rPr>
        <w:t xml:space="preserve">sought to amend their papers. </w:t>
      </w:r>
      <w:r w:rsidR="006163AE">
        <w:rPr>
          <w:rFonts w:cs="Tahoma"/>
          <w:szCs w:val="24"/>
          <w:lang w:val="en-US"/>
        </w:rPr>
        <w:t xml:space="preserve">The point </w:t>
      </w:r>
      <w:proofErr w:type="gramStart"/>
      <w:r w:rsidR="006163AE">
        <w:rPr>
          <w:rFonts w:cs="Tahoma"/>
          <w:szCs w:val="24"/>
          <w:lang w:val="en-US"/>
        </w:rPr>
        <w:t>raised</w:t>
      </w:r>
      <w:proofErr w:type="gramEnd"/>
      <w:r w:rsidR="006163AE">
        <w:rPr>
          <w:rFonts w:cs="Tahoma"/>
          <w:szCs w:val="24"/>
          <w:lang w:val="en-US"/>
        </w:rPr>
        <w:t xml:space="preserve"> however was a point of law which the Respondent was entitled to raise</w:t>
      </w:r>
      <w:r w:rsidR="00CC4838">
        <w:rPr>
          <w:rFonts w:cs="Tahoma"/>
          <w:szCs w:val="24"/>
          <w:lang w:val="en-US"/>
        </w:rPr>
        <w:t xml:space="preserve"> at any stage of the proceedings</w:t>
      </w:r>
      <w:r w:rsidR="006163AE">
        <w:rPr>
          <w:rFonts w:cs="Tahoma"/>
          <w:szCs w:val="24"/>
          <w:lang w:val="en-US"/>
        </w:rPr>
        <w:t xml:space="preserve">. A point of law </w:t>
      </w:r>
      <w:r w:rsidR="0022177B">
        <w:rPr>
          <w:rFonts w:cs="Tahoma"/>
          <w:szCs w:val="24"/>
          <w:lang w:val="en-US"/>
        </w:rPr>
        <w:t>could</w:t>
      </w:r>
      <w:r w:rsidR="006163AE">
        <w:rPr>
          <w:rFonts w:cs="Tahoma"/>
          <w:szCs w:val="24"/>
          <w:lang w:val="en-US"/>
        </w:rPr>
        <w:t xml:space="preserve"> in any event be raised at any stage of the proceedings</w:t>
      </w:r>
      <w:r w:rsidR="00A2457A">
        <w:rPr>
          <w:rFonts w:cs="Tahoma"/>
          <w:szCs w:val="24"/>
          <w:lang w:val="en-US"/>
        </w:rPr>
        <w:t xml:space="preserve"> even o</w:t>
      </w:r>
      <w:r w:rsidR="006163AE">
        <w:rPr>
          <w:rFonts w:cs="Tahoma"/>
          <w:szCs w:val="24"/>
          <w:lang w:val="en-US"/>
        </w:rPr>
        <w:t>n appeal.</w:t>
      </w:r>
      <w:r w:rsidR="00E57CDD">
        <w:rPr>
          <w:rFonts w:cs="Tahoma"/>
          <w:szCs w:val="24"/>
          <w:lang w:val="en-US"/>
        </w:rPr>
        <w:t xml:space="preserve"> </w:t>
      </w:r>
      <w:proofErr w:type="spellStart"/>
      <w:r w:rsidR="008D2DDB">
        <w:rPr>
          <w:rFonts w:cs="Tahoma"/>
          <w:szCs w:val="24"/>
          <w:lang w:val="en-US"/>
        </w:rPr>
        <w:t>Mr</w:t>
      </w:r>
      <w:proofErr w:type="spellEnd"/>
      <w:r w:rsidR="008D2DDB">
        <w:rPr>
          <w:rFonts w:cs="Tahoma"/>
          <w:szCs w:val="24"/>
          <w:lang w:val="en-US"/>
        </w:rPr>
        <w:t xml:space="preserve"> </w:t>
      </w:r>
      <w:proofErr w:type="spellStart"/>
      <w:r w:rsidR="008D2DDB">
        <w:rPr>
          <w:rFonts w:cs="Tahoma"/>
          <w:szCs w:val="24"/>
          <w:lang w:val="en-US"/>
        </w:rPr>
        <w:t>Matika</w:t>
      </w:r>
      <w:proofErr w:type="spellEnd"/>
      <w:r w:rsidR="008D2DDB">
        <w:rPr>
          <w:rFonts w:cs="Tahoma"/>
          <w:szCs w:val="24"/>
          <w:lang w:val="en-US"/>
        </w:rPr>
        <w:t xml:space="preserve"> </w:t>
      </w:r>
      <w:r w:rsidR="0022177B">
        <w:rPr>
          <w:rFonts w:cs="Tahoma"/>
          <w:szCs w:val="24"/>
          <w:lang w:val="en-US"/>
        </w:rPr>
        <w:t>concurred that</w:t>
      </w:r>
      <w:r w:rsidR="008D2DDB">
        <w:rPr>
          <w:rFonts w:cs="Tahoma"/>
          <w:szCs w:val="24"/>
          <w:lang w:val="en-US"/>
        </w:rPr>
        <w:t xml:space="preserve"> the position of the law was</w:t>
      </w:r>
      <w:r w:rsidR="00A2457A">
        <w:rPr>
          <w:rFonts w:cs="Tahoma"/>
          <w:szCs w:val="24"/>
          <w:lang w:val="en-US"/>
        </w:rPr>
        <w:t xml:space="preserve"> </w:t>
      </w:r>
      <w:r w:rsidR="00730F64">
        <w:rPr>
          <w:rFonts w:cs="Tahoma"/>
          <w:szCs w:val="24"/>
          <w:lang w:val="en-US"/>
        </w:rPr>
        <w:t>that a</w:t>
      </w:r>
      <w:r w:rsidR="008D2DDB">
        <w:rPr>
          <w:rFonts w:cs="Tahoma"/>
          <w:szCs w:val="24"/>
          <w:lang w:val="en-US"/>
        </w:rPr>
        <w:t xml:space="preserve"> question of law </w:t>
      </w:r>
      <w:r w:rsidR="0022177B">
        <w:rPr>
          <w:rFonts w:cs="Tahoma"/>
          <w:szCs w:val="24"/>
          <w:lang w:val="en-US"/>
        </w:rPr>
        <w:t>could</w:t>
      </w:r>
      <w:r w:rsidR="008D2DDB">
        <w:rPr>
          <w:rFonts w:cs="Tahoma"/>
          <w:szCs w:val="24"/>
          <w:lang w:val="en-US"/>
        </w:rPr>
        <w:t xml:space="preserve"> be raised at any stage of th</w:t>
      </w:r>
      <w:r w:rsidR="00FC57C3">
        <w:rPr>
          <w:rFonts w:cs="Tahoma"/>
          <w:szCs w:val="24"/>
          <w:lang w:val="en-US"/>
        </w:rPr>
        <w:t xml:space="preserve">e proceedings. His view however was that the point being raised as to whether </w:t>
      </w:r>
      <w:r w:rsidR="00A2457A">
        <w:rPr>
          <w:rFonts w:cs="Tahoma"/>
          <w:szCs w:val="24"/>
          <w:lang w:val="en-US"/>
        </w:rPr>
        <w:t>‘</w:t>
      </w:r>
      <w:r w:rsidR="00FC57C3">
        <w:rPr>
          <w:rFonts w:cs="Tahoma"/>
          <w:szCs w:val="24"/>
          <w:lang w:val="en-US"/>
        </w:rPr>
        <w:t xml:space="preserve">declaration of </w:t>
      </w:r>
      <w:r w:rsidR="00A2457A">
        <w:rPr>
          <w:rFonts w:cs="Tahoma"/>
          <w:szCs w:val="24"/>
          <w:lang w:val="en-US"/>
        </w:rPr>
        <w:t>m</w:t>
      </w:r>
      <w:r w:rsidR="00FC57C3">
        <w:rPr>
          <w:rFonts w:cs="Tahoma"/>
          <w:szCs w:val="24"/>
          <w:lang w:val="en-US"/>
        </w:rPr>
        <w:t>andate</w:t>
      </w:r>
      <w:r w:rsidR="00A2457A">
        <w:rPr>
          <w:rFonts w:cs="Tahoma"/>
          <w:szCs w:val="24"/>
          <w:lang w:val="en-US"/>
        </w:rPr>
        <w:t>’</w:t>
      </w:r>
      <w:r w:rsidR="00FC57C3">
        <w:rPr>
          <w:rFonts w:cs="Tahoma"/>
          <w:szCs w:val="24"/>
          <w:lang w:val="en-US"/>
        </w:rPr>
        <w:t xml:space="preserve"> in this c</w:t>
      </w:r>
      <w:r w:rsidR="0022177B">
        <w:rPr>
          <w:rFonts w:cs="Tahoma"/>
          <w:szCs w:val="24"/>
          <w:lang w:val="en-US"/>
        </w:rPr>
        <w:t>ase served</w:t>
      </w:r>
      <w:r w:rsidR="00730F64">
        <w:rPr>
          <w:rFonts w:cs="Tahoma"/>
          <w:szCs w:val="24"/>
          <w:lang w:val="en-US"/>
        </w:rPr>
        <w:t xml:space="preserve"> the</w:t>
      </w:r>
      <w:r w:rsidR="00C20B15">
        <w:rPr>
          <w:rFonts w:cs="Tahoma"/>
          <w:szCs w:val="24"/>
          <w:lang w:val="en-US"/>
        </w:rPr>
        <w:t xml:space="preserve"> same</w:t>
      </w:r>
      <w:r w:rsidR="00730F64">
        <w:rPr>
          <w:rFonts w:cs="Tahoma"/>
          <w:szCs w:val="24"/>
          <w:lang w:val="en-US"/>
        </w:rPr>
        <w:t xml:space="preserve"> purpose</w:t>
      </w:r>
      <w:r w:rsidR="00C20B15">
        <w:rPr>
          <w:rFonts w:cs="Tahoma"/>
          <w:szCs w:val="24"/>
          <w:lang w:val="en-US"/>
        </w:rPr>
        <w:t xml:space="preserve"> as a</w:t>
      </w:r>
      <w:r w:rsidR="00730F64">
        <w:rPr>
          <w:rFonts w:cs="Tahoma"/>
          <w:szCs w:val="24"/>
          <w:lang w:val="en-US"/>
        </w:rPr>
        <w:t xml:space="preserve"> s</w:t>
      </w:r>
      <w:r w:rsidR="00FC57C3">
        <w:rPr>
          <w:rFonts w:cs="Tahoma"/>
          <w:szCs w:val="24"/>
          <w:lang w:val="en-US"/>
        </w:rPr>
        <w:t xml:space="preserve">upporting </w:t>
      </w:r>
      <w:r w:rsidR="00730F64">
        <w:rPr>
          <w:rFonts w:cs="Tahoma"/>
          <w:szCs w:val="24"/>
          <w:lang w:val="en-US"/>
        </w:rPr>
        <w:t>a</w:t>
      </w:r>
      <w:r w:rsidR="00FC57C3">
        <w:rPr>
          <w:rFonts w:cs="Tahoma"/>
          <w:szCs w:val="24"/>
          <w:lang w:val="en-US"/>
        </w:rPr>
        <w:t>ffidavit</w:t>
      </w:r>
      <w:r w:rsidR="00730F64">
        <w:rPr>
          <w:rFonts w:cs="Tahoma"/>
          <w:szCs w:val="24"/>
          <w:lang w:val="en-US"/>
        </w:rPr>
        <w:t xml:space="preserve"> as provided in </w:t>
      </w:r>
      <w:r w:rsidR="00730F64">
        <w:rPr>
          <w:rFonts w:cs="Tahoma"/>
          <w:b/>
          <w:szCs w:val="24"/>
          <w:lang w:val="en-US"/>
        </w:rPr>
        <w:t>Rule 14(1)</w:t>
      </w:r>
      <w:r w:rsidR="00FC57C3">
        <w:rPr>
          <w:rFonts w:cs="Tahoma"/>
          <w:szCs w:val="24"/>
          <w:lang w:val="en-US"/>
        </w:rPr>
        <w:t xml:space="preserve"> was </w:t>
      </w:r>
      <w:r w:rsidR="00730F64">
        <w:rPr>
          <w:rFonts w:cs="Tahoma"/>
          <w:szCs w:val="24"/>
          <w:lang w:val="en-US"/>
        </w:rPr>
        <w:t xml:space="preserve">however </w:t>
      </w:r>
      <w:r w:rsidR="00FC57C3">
        <w:rPr>
          <w:rFonts w:cs="Tahoma"/>
          <w:szCs w:val="24"/>
          <w:lang w:val="en-US"/>
        </w:rPr>
        <w:t xml:space="preserve">not a valid point. </w:t>
      </w:r>
      <w:r w:rsidR="00C20B15">
        <w:rPr>
          <w:rFonts w:cs="Tahoma"/>
          <w:szCs w:val="24"/>
          <w:lang w:val="en-US"/>
        </w:rPr>
        <w:t>The Rules provided for the filing of</w:t>
      </w:r>
      <w:r w:rsidR="0022177B">
        <w:rPr>
          <w:rFonts w:cs="Tahoma"/>
          <w:szCs w:val="24"/>
          <w:lang w:val="en-US"/>
        </w:rPr>
        <w:t xml:space="preserve"> documents as attachments</w:t>
      </w:r>
      <w:r w:rsidR="00C20B15">
        <w:rPr>
          <w:rFonts w:cs="Tahoma"/>
          <w:szCs w:val="24"/>
          <w:lang w:val="en-US"/>
        </w:rPr>
        <w:t xml:space="preserve"> t</w:t>
      </w:r>
      <w:r w:rsidR="00FC57C3">
        <w:rPr>
          <w:rFonts w:cs="Tahoma"/>
          <w:szCs w:val="24"/>
          <w:lang w:val="en-US"/>
        </w:rPr>
        <w:t>he Respondent had in any event</w:t>
      </w:r>
      <w:r w:rsidR="00380E1A">
        <w:rPr>
          <w:rFonts w:cs="Tahoma"/>
          <w:szCs w:val="24"/>
          <w:lang w:val="en-US"/>
        </w:rPr>
        <w:t xml:space="preserve"> </w:t>
      </w:r>
      <w:r w:rsidR="00380E1A">
        <w:rPr>
          <w:rFonts w:cs="Tahoma"/>
          <w:szCs w:val="24"/>
          <w:lang w:val="en-US"/>
        </w:rPr>
        <w:t>not</w:t>
      </w:r>
      <w:r w:rsidR="00FC57C3">
        <w:rPr>
          <w:rFonts w:cs="Tahoma"/>
          <w:szCs w:val="24"/>
          <w:lang w:val="en-US"/>
        </w:rPr>
        <w:t xml:space="preserve"> pointed to any prejudice suffered through the inclusion of </w:t>
      </w:r>
      <w:r w:rsidR="0022177B">
        <w:rPr>
          <w:rFonts w:cs="Tahoma"/>
          <w:szCs w:val="24"/>
          <w:lang w:val="en-US"/>
        </w:rPr>
        <w:t>the</w:t>
      </w:r>
      <w:r w:rsidR="00FC57C3">
        <w:rPr>
          <w:rFonts w:cs="Tahoma"/>
          <w:szCs w:val="24"/>
          <w:lang w:val="en-US"/>
        </w:rPr>
        <w:t xml:space="preserve"> document instead of a proper Supporting Affidavit.</w:t>
      </w:r>
      <w:r w:rsidR="0022177B">
        <w:rPr>
          <w:rFonts w:cs="Tahoma"/>
          <w:szCs w:val="24"/>
          <w:lang w:val="en-US"/>
        </w:rPr>
        <w:t xml:space="preserve"> </w:t>
      </w:r>
      <w:proofErr w:type="spellStart"/>
      <w:r w:rsidR="0022177B">
        <w:rPr>
          <w:rFonts w:cs="Tahoma"/>
          <w:szCs w:val="24"/>
          <w:lang w:val="en-US"/>
        </w:rPr>
        <w:t>Mr</w:t>
      </w:r>
      <w:proofErr w:type="spellEnd"/>
      <w:r w:rsidR="0022177B">
        <w:rPr>
          <w:rFonts w:cs="Tahoma"/>
          <w:szCs w:val="24"/>
          <w:lang w:val="en-US"/>
        </w:rPr>
        <w:t xml:space="preserve"> </w:t>
      </w:r>
      <w:proofErr w:type="spellStart"/>
      <w:r w:rsidR="0022177B">
        <w:rPr>
          <w:rFonts w:cs="Tahoma"/>
          <w:szCs w:val="24"/>
          <w:lang w:val="en-US"/>
        </w:rPr>
        <w:t>Matika</w:t>
      </w:r>
      <w:proofErr w:type="spellEnd"/>
      <w:r w:rsidR="0022177B">
        <w:rPr>
          <w:rFonts w:cs="Tahoma"/>
          <w:szCs w:val="24"/>
          <w:lang w:val="en-US"/>
        </w:rPr>
        <w:t xml:space="preserve"> further submitted that l</w:t>
      </w:r>
      <w:r w:rsidR="00FC57C3">
        <w:rPr>
          <w:rFonts w:cs="Tahoma"/>
          <w:szCs w:val="24"/>
          <w:lang w:val="en-US"/>
        </w:rPr>
        <w:t>abour matter</w:t>
      </w:r>
      <w:r w:rsidR="00730F64">
        <w:rPr>
          <w:rFonts w:cs="Tahoma"/>
          <w:szCs w:val="24"/>
          <w:lang w:val="en-US"/>
        </w:rPr>
        <w:t xml:space="preserve">s </w:t>
      </w:r>
      <w:r w:rsidR="00FC57C3">
        <w:rPr>
          <w:rFonts w:cs="Tahoma"/>
          <w:szCs w:val="24"/>
          <w:lang w:val="en-US"/>
        </w:rPr>
        <w:t>in any event</w:t>
      </w:r>
      <w:r w:rsidR="0022177B">
        <w:rPr>
          <w:rFonts w:cs="Tahoma"/>
          <w:szCs w:val="24"/>
          <w:lang w:val="en-US"/>
        </w:rPr>
        <w:t xml:space="preserve"> ought</w:t>
      </w:r>
      <w:r w:rsidR="00540907">
        <w:rPr>
          <w:rFonts w:cs="Tahoma"/>
          <w:szCs w:val="24"/>
          <w:lang w:val="en-US"/>
        </w:rPr>
        <w:t xml:space="preserve"> to be re</w:t>
      </w:r>
      <w:r w:rsidR="00730F64">
        <w:rPr>
          <w:rFonts w:cs="Tahoma"/>
          <w:szCs w:val="24"/>
          <w:lang w:val="en-US"/>
        </w:rPr>
        <w:t>solved o</w:t>
      </w:r>
      <w:r w:rsidR="00540907">
        <w:rPr>
          <w:rFonts w:cs="Tahoma"/>
          <w:szCs w:val="24"/>
          <w:lang w:val="en-US"/>
        </w:rPr>
        <w:t>n</w:t>
      </w:r>
      <w:r w:rsidR="00730F64">
        <w:rPr>
          <w:rFonts w:cs="Tahoma"/>
          <w:szCs w:val="24"/>
          <w:lang w:val="en-US"/>
        </w:rPr>
        <w:t xml:space="preserve"> the</w:t>
      </w:r>
      <w:r w:rsidR="00540907">
        <w:rPr>
          <w:rFonts w:cs="Tahoma"/>
          <w:szCs w:val="24"/>
          <w:lang w:val="en-US"/>
        </w:rPr>
        <w:t xml:space="preserve"> merits rather than on technical issues. </w:t>
      </w:r>
      <w:proofErr w:type="spellStart"/>
      <w:r w:rsidR="00540907">
        <w:rPr>
          <w:rFonts w:cs="Tahoma"/>
          <w:szCs w:val="24"/>
          <w:lang w:val="en-US"/>
        </w:rPr>
        <w:t>Mr</w:t>
      </w:r>
      <w:proofErr w:type="spellEnd"/>
      <w:r w:rsidR="00540907">
        <w:rPr>
          <w:rFonts w:cs="Tahoma"/>
          <w:szCs w:val="24"/>
          <w:lang w:val="en-US"/>
        </w:rPr>
        <w:t xml:space="preserve"> </w:t>
      </w:r>
      <w:proofErr w:type="spellStart"/>
      <w:r w:rsidR="00540907">
        <w:rPr>
          <w:rFonts w:cs="Tahoma"/>
          <w:szCs w:val="24"/>
          <w:lang w:val="en-US"/>
        </w:rPr>
        <w:t>Matika’s</w:t>
      </w:r>
      <w:proofErr w:type="spellEnd"/>
      <w:r w:rsidR="00540907">
        <w:rPr>
          <w:rFonts w:cs="Tahoma"/>
          <w:szCs w:val="24"/>
          <w:lang w:val="en-US"/>
        </w:rPr>
        <w:t xml:space="preserve"> prayer was for dismissal of the point in </w:t>
      </w:r>
      <w:proofErr w:type="spellStart"/>
      <w:r w:rsidR="00540907">
        <w:rPr>
          <w:rFonts w:cs="Tahoma"/>
          <w:i/>
          <w:szCs w:val="24"/>
          <w:lang w:val="en-US"/>
        </w:rPr>
        <w:t>limine</w:t>
      </w:r>
      <w:proofErr w:type="spellEnd"/>
      <w:r w:rsidR="00540907">
        <w:rPr>
          <w:rFonts w:cs="Tahoma"/>
          <w:i/>
          <w:szCs w:val="24"/>
          <w:lang w:val="en-US"/>
        </w:rPr>
        <w:t xml:space="preserve"> </w:t>
      </w:r>
      <w:r w:rsidR="00540907">
        <w:rPr>
          <w:rFonts w:cs="Tahoma"/>
          <w:szCs w:val="24"/>
          <w:lang w:val="en-US"/>
        </w:rPr>
        <w:t>taken.</w:t>
      </w:r>
    </w:p>
    <w:p w:rsidR="00313C68" w:rsidRDefault="00313C68" w:rsidP="00410EB0">
      <w:pPr>
        <w:ind w:firstLine="720"/>
        <w:rPr>
          <w:rFonts w:cs="Tahoma"/>
          <w:szCs w:val="24"/>
          <w:lang w:val="en-US"/>
        </w:rPr>
      </w:pPr>
      <w:r>
        <w:rPr>
          <w:rFonts w:cs="Tahoma"/>
          <w:b/>
          <w:szCs w:val="24"/>
          <w:lang w:val="en-US"/>
        </w:rPr>
        <w:t xml:space="preserve">RULING </w:t>
      </w:r>
    </w:p>
    <w:p w:rsidR="00756976" w:rsidRDefault="00313C68" w:rsidP="00410EB0">
      <w:pPr>
        <w:ind w:firstLine="720"/>
        <w:rPr>
          <w:rFonts w:cs="Tahoma"/>
          <w:szCs w:val="24"/>
          <w:lang w:val="en-US"/>
        </w:rPr>
      </w:pPr>
      <w:r>
        <w:rPr>
          <w:rFonts w:cs="Tahoma"/>
          <w:szCs w:val="24"/>
          <w:lang w:val="en-US"/>
        </w:rPr>
        <w:t xml:space="preserve">There are in my view </w:t>
      </w:r>
      <w:r w:rsidR="0022177B">
        <w:rPr>
          <w:rFonts w:cs="Tahoma"/>
          <w:szCs w:val="24"/>
          <w:lang w:val="en-US"/>
        </w:rPr>
        <w:t>four</w:t>
      </w:r>
      <w:r>
        <w:rPr>
          <w:rFonts w:cs="Tahoma"/>
          <w:szCs w:val="24"/>
          <w:lang w:val="en-US"/>
        </w:rPr>
        <w:t xml:space="preserve"> issue</w:t>
      </w:r>
      <w:r w:rsidR="00A3281C">
        <w:rPr>
          <w:rFonts w:cs="Tahoma"/>
          <w:szCs w:val="24"/>
          <w:lang w:val="en-US"/>
        </w:rPr>
        <w:t>s arising out of the point</w:t>
      </w:r>
      <w:r>
        <w:rPr>
          <w:rFonts w:cs="Tahoma"/>
          <w:szCs w:val="24"/>
          <w:lang w:val="en-US"/>
        </w:rPr>
        <w:t xml:space="preserve"> in </w:t>
      </w:r>
      <w:proofErr w:type="spellStart"/>
      <w:r>
        <w:rPr>
          <w:rFonts w:cs="Tahoma"/>
          <w:i/>
          <w:szCs w:val="24"/>
          <w:lang w:val="en-US"/>
        </w:rPr>
        <w:t>limine</w:t>
      </w:r>
      <w:proofErr w:type="spellEnd"/>
      <w:r>
        <w:rPr>
          <w:rFonts w:cs="Tahoma"/>
          <w:i/>
          <w:szCs w:val="24"/>
          <w:lang w:val="en-US"/>
        </w:rPr>
        <w:t xml:space="preserve"> </w:t>
      </w:r>
      <w:r w:rsidR="00A3281C">
        <w:rPr>
          <w:rFonts w:cs="Tahoma"/>
          <w:szCs w:val="24"/>
          <w:lang w:val="en-US"/>
        </w:rPr>
        <w:t xml:space="preserve">taken </w:t>
      </w:r>
      <w:r>
        <w:rPr>
          <w:rFonts w:cs="Tahoma"/>
          <w:szCs w:val="24"/>
          <w:lang w:val="en-US"/>
        </w:rPr>
        <w:t>by the Respondent. They are firstly whether the</w:t>
      </w:r>
      <w:r w:rsidR="00C07D12">
        <w:rPr>
          <w:rFonts w:cs="Tahoma"/>
          <w:szCs w:val="24"/>
          <w:lang w:val="en-US"/>
        </w:rPr>
        <w:t xml:space="preserve"> point in </w:t>
      </w:r>
      <w:proofErr w:type="spellStart"/>
      <w:r w:rsidR="00C07D12" w:rsidRPr="00C07D12">
        <w:rPr>
          <w:rFonts w:cs="Tahoma"/>
          <w:i/>
          <w:szCs w:val="24"/>
          <w:lang w:val="en-US"/>
        </w:rPr>
        <w:t>limine</w:t>
      </w:r>
      <w:proofErr w:type="spellEnd"/>
      <w:r w:rsidR="00C07D12">
        <w:rPr>
          <w:rFonts w:cs="Tahoma"/>
          <w:szCs w:val="24"/>
          <w:lang w:val="en-US"/>
        </w:rPr>
        <w:t xml:space="preserve"> is properly taken in current proceedings i.e. in an application for leave to appeal. Secondly, assuming the court finds that the point is properly taken before the court, is the </w:t>
      </w:r>
      <w:r w:rsidR="00C20B15">
        <w:rPr>
          <w:rFonts w:cs="Tahoma"/>
          <w:szCs w:val="24"/>
          <w:lang w:val="en-US"/>
        </w:rPr>
        <w:t>‘</w:t>
      </w:r>
      <w:r w:rsidR="00756976">
        <w:rPr>
          <w:rFonts w:cs="Tahoma"/>
          <w:szCs w:val="24"/>
          <w:lang w:val="en-US"/>
        </w:rPr>
        <w:t>declaration of mandate</w:t>
      </w:r>
      <w:r w:rsidR="00C20B15">
        <w:rPr>
          <w:rFonts w:cs="Tahoma"/>
          <w:szCs w:val="24"/>
          <w:lang w:val="en-US"/>
        </w:rPr>
        <w:t>’</w:t>
      </w:r>
      <w:r w:rsidR="00756976">
        <w:rPr>
          <w:rFonts w:cs="Tahoma"/>
          <w:szCs w:val="24"/>
          <w:lang w:val="en-US"/>
        </w:rPr>
        <w:t xml:space="preserve"> a v</w:t>
      </w:r>
      <w:r w:rsidR="00A3281C">
        <w:rPr>
          <w:rFonts w:cs="Tahoma"/>
          <w:szCs w:val="24"/>
          <w:lang w:val="en-US"/>
        </w:rPr>
        <w:t>alid document before this court?</w:t>
      </w:r>
      <w:r w:rsidR="00756976">
        <w:rPr>
          <w:rFonts w:cs="Tahoma"/>
          <w:szCs w:val="24"/>
          <w:lang w:val="en-US"/>
        </w:rPr>
        <w:t xml:space="preserve"> The third issue relates to whether Applicant</w:t>
      </w:r>
      <w:r w:rsidR="00C20B15">
        <w:rPr>
          <w:rFonts w:cs="Tahoma"/>
          <w:szCs w:val="24"/>
          <w:lang w:val="en-US"/>
        </w:rPr>
        <w:t>s</w:t>
      </w:r>
      <w:r w:rsidR="00756976">
        <w:rPr>
          <w:rFonts w:cs="Tahoma"/>
          <w:szCs w:val="24"/>
          <w:lang w:val="en-US"/>
        </w:rPr>
        <w:t xml:space="preserve"> 26 and 28 are properly before this court.</w:t>
      </w:r>
      <w:r w:rsidR="0022177B">
        <w:rPr>
          <w:rFonts w:cs="Tahoma"/>
          <w:szCs w:val="24"/>
          <w:lang w:val="en-US"/>
        </w:rPr>
        <w:t xml:space="preserve"> The last issue relates to the mix up</w:t>
      </w:r>
      <w:r w:rsidR="002D6A88">
        <w:rPr>
          <w:rFonts w:cs="Tahoma"/>
          <w:szCs w:val="24"/>
          <w:lang w:val="en-US"/>
        </w:rPr>
        <w:t xml:space="preserve"> of pages in the record.</w:t>
      </w:r>
      <w:r w:rsidR="00756976">
        <w:rPr>
          <w:rFonts w:cs="Tahoma"/>
          <w:szCs w:val="24"/>
          <w:lang w:val="en-US"/>
        </w:rPr>
        <w:t xml:space="preserve"> I turn to address the issue </w:t>
      </w:r>
      <w:r w:rsidR="00A3281C">
        <w:rPr>
          <w:rFonts w:cs="Tahoma"/>
          <w:i/>
          <w:szCs w:val="24"/>
          <w:lang w:val="en-US"/>
        </w:rPr>
        <w:t>seriatim</w:t>
      </w:r>
      <w:r w:rsidR="00756976">
        <w:rPr>
          <w:rFonts w:cs="Tahoma"/>
          <w:szCs w:val="24"/>
          <w:lang w:val="en-US"/>
        </w:rPr>
        <w:t>.</w:t>
      </w:r>
    </w:p>
    <w:p w:rsidR="00E04F44" w:rsidRDefault="001B79E1" w:rsidP="00410EB0">
      <w:pPr>
        <w:ind w:firstLine="720"/>
        <w:rPr>
          <w:rFonts w:cs="Tahoma"/>
          <w:b/>
          <w:szCs w:val="24"/>
          <w:lang w:val="en-US"/>
        </w:rPr>
      </w:pPr>
      <w:r>
        <w:rPr>
          <w:rFonts w:cs="Tahoma"/>
          <w:szCs w:val="24"/>
          <w:lang w:val="en-US"/>
        </w:rPr>
        <w:t xml:space="preserve">The first issue to determine is whether the point taken by Respondent was properly taken before this court considering that the court is sitting to hear an application for leave to appeal against a judgement handed down by the same court. </w:t>
      </w:r>
      <w:proofErr w:type="spellStart"/>
      <w:r>
        <w:rPr>
          <w:rFonts w:cs="Tahoma"/>
          <w:szCs w:val="24"/>
          <w:lang w:val="en-US"/>
        </w:rPr>
        <w:t>Mr</w:t>
      </w:r>
      <w:proofErr w:type="spellEnd"/>
      <w:r>
        <w:rPr>
          <w:rFonts w:cs="Tahoma"/>
          <w:szCs w:val="24"/>
          <w:lang w:val="en-US"/>
        </w:rPr>
        <w:t xml:space="preserve"> </w:t>
      </w:r>
      <w:proofErr w:type="spellStart"/>
      <w:r>
        <w:rPr>
          <w:rFonts w:cs="Tahoma"/>
          <w:szCs w:val="24"/>
          <w:lang w:val="en-US"/>
        </w:rPr>
        <w:t>Muchadehama</w:t>
      </w:r>
      <w:proofErr w:type="spellEnd"/>
      <w:r>
        <w:rPr>
          <w:rFonts w:cs="Tahoma"/>
          <w:szCs w:val="24"/>
          <w:lang w:val="en-US"/>
        </w:rPr>
        <w:t xml:space="preserve"> in his submissions did not refer to any provisions in the </w:t>
      </w:r>
      <w:r w:rsidR="0011002E">
        <w:rPr>
          <w:rFonts w:cs="Tahoma"/>
          <w:szCs w:val="24"/>
          <w:lang w:val="en-US"/>
        </w:rPr>
        <w:t>Rules or</w:t>
      </w:r>
      <w:r w:rsidR="00C20B15">
        <w:rPr>
          <w:rFonts w:cs="Tahoma"/>
          <w:szCs w:val="24"/>
          <w:lang w:val="en-US"/>
        </w:rPr>
        <w:t xml:space="preserve"> the</w:t>
      </w:r>
      <w:r w:rsidR="0011002E">
        <w:rPr>
          <w:rFonts w:cs="Tahoma"/>
          <w:szCs w:val="24"/>
          <w:lang w:val="en-US"/>
        </w:rPr>
        <w:t xml:space="preserve"> </w:t>
      </w:r>
      <w:r w:rsidR="0011002E">
        <w:rPr>
          <w:rFonts w:cs="Tahoma"/>
          <w:szCs w:val="24"/>
          <w:lang w:val="en-US"/>
        </w:rPr>
        <w:lastRenderedPageBreak/>
        <w:t>Ac</w:t>
      </w:r>
      <w:r w:rsidR="000171B6">
        <w:rPr>
          <w:rFonts w:cs="Tahoma"/>
          <w:szCs w:val="24"/>
          <w:lang w:val="en-US"/>
        </w:rPr>
        <w:t>t allowing for such</w:t>
      </w:r>
      <w:r w:rsidR="0011002E">
        <w:rPr>
          <w:rFonts w:cs="Tahoma"/>
          <w:szCs w:val="24"/>
          <w:lang w:val="en-US"/>
        </w:rPr>
        <w:t xml:space="preserve"> procedure. He however alluded to the point as raising a question of law</w:t>
      </w:r>
      <w:r w:rsidR="000171B6">
        <w:rPr>
          <w:rFonts w:cs="Tahoma"/>
          <w:szCs w:val="24"/>
          <w:lang w:val="en-US"/>
        </w:rPr>
        <w:t xml:space="preserve"> which point can therefore be raised at any stage of proceedings</w:t>
      </w:r>
      <w:r w:rsidR="0011002E">
        <w:rPr>
          <w:rFonts w:cs="Tahoma"/>
          <w:szCs w:val="24"/>
          <w:lang w:val="en-US"/>
        </w:rPr>
        <w:t xml:space="preserve">. </w:t>
      </w:r>
      <w:proofErr w:type="spellStart"/>
      <w:r w:rsidR="0011002E">
        <w:rPr>
          <w:rFonts w:cs="Tahoma"/>
          <w:szCs w:val="24"/>
          <w:lang w:val="en-US"/>
        </w:rPr>
        <w:t>Mr</w:t>
      </w:r>
      <w:proofErr w:type="spellEnd"/>
      <w:r w:rsidR="0011002E">
        <w:rPr>
          <w:rFonts w:cs="Tahoma"/>
          <w:szCs w:val="24"/>
          <w:lang w:val="en-US"/>
        </w:rPr>
        <w:t xml:space="preserve"> </w:t>
      </w:r>
      <w:proofErr w:type="spellStart"/>
      <w:r w:rsidR="0011002E">
        <w:rPr>
          <w:rFonts w:cs="Tahoma"/>
          <w:szCs w:val="24"/>
          <w:lang w:val="en-US"/>
        </w:rPr>
        <w:t>Matika</w:t>
      </w:r>
      <w:proofErr w:type="spellEnd"/>
      <w:r w:rsidR="0011002E">
        <w:rPr>
          <w:rFonts w:cs="Tahoma"/>
          <w:szCs w:val="24"/>
          <w:lang w:val="en-US"/>
        </w:rPr>
        <w:t xml:space="preserve"> also conceded to the point as raising a question of law as to whether the ‘</w:t>
      </w:r>
      <w:r w:rsidR="004A3DA1">
        <w:rPr>
          <w:rFonts w:cs="Tahoma"/>
          <w:szCs w:val="24"/>
          <w:lang w:val="en-US"/>
        </w:rPr>
        <w:t>declaration of m</w:t>
      </w:r>
      <w:r w:rsidR="0011002E">
        <w:rPr>
          <w:rFonts w:cs="Tahoma"/>
          <w:szCs w:val="24"/>
          <w:lang w:val="en-US"/>
        </w:rPr>
        <w:t xml:space="preserve">andate’ is synonymous with a ‘Supporting Affidavit’ as provided for in </w:t>
      </w:r>
      <w:r w:rsidR="0011002E">
        <w:rPr>
          <w:rFonts w:cs="Tahoma"/>
          <w:b/>
          <w:szCs w:val="24"/>
          <w:lang w:val="en-US"/>
        </w:rPr>
        <w:t xml:space="preserve">Rule 14 (1) </w:t>
      </w:r>
      <w:r w:rsidR="0011002E">
        <w:rPr>
          <w:rFonts w:cs="Tahoma"/>
          <w:szCs w:val="24"/>
          <w:lang w:val="en-US"/>
        </w:rPr>
        <w:t xml:space="preserve">of the </w:t>
      </w:r>
      <w:r w:rsidR="0011002E">
        <w:rPr>
          <w:rFonts w:cs="Tahoma"/>
          <w:b/>
          <w:szCs w:val="24"/>
          <w:lang w:val="en-US"/>
        </w:rPr>
        <w:t>Labour Court Rules, 2017.</w:t>
      </w:r>
    </w:p>
    <w:p w:rsidR="00E04F44" w:rsidRDefault="00E04F44" w:rsidP="00410EB0">
      <w:pPr>
        <w:ind w:firstLine="720"/>
        <w:rPr>
          <w:rFonts w:cs="Tahoma"/>
          <w:szCs w:val="24"/>
          <w:lang w:val="en-US"/>
        </w:rPr>
      </w:pPr>
      <w:r>
        <w:rPr>
          <w:rFonts w:cs="Tahoma"/>
          <w:szCs w:val="24"/>
          <w:lang w:val="en-US"/>
        </w:rPr>
        <w:t>The issue therefore is whether a question of law has</w:t>
      </w:r>
      <w:r w:rsidR="00C20B15">
        <w:rPr>
          <w:rFonts w:cs="Tahoma"/>
          <w:szCs w:val="24"/>
          <w:lang w:val="en-US"/>
        </w:rPr>
        <w:t xml:space="preserve"> indeed</w:t>
      </w:r>
      <w:r>
        <w:rPr>
          <w:rFonts w:cs="Tahoma"/>
          <w:szCs w:val="24"/>
          <w:lang w:val="en-US"/>
        </w:rPr>
        <w:t xml:space="preserve"> been raised before the court. The term “question of law” was defined in the well elaborated case in </w:t>
      </w:r>
      <w:proofErr w:type="spellStart"/>
      <w:r>
        <w:rPr>
          <w:rFonts w:cs="Tahoma"/>
          <w:i/>
          <w:szCs w:val="24"/>
          <w:lang w:val="en-US"/>
        </w:rPr>
        <w:t>Muzuwa</w:t>
      </w:r>
      <w:proofErr w:type="spellEnd"/>
      <w:r>
        <w:rPr>
          <w:rFonts w:cs="Tahoma"/>
          <w:i/>
          <w:szCs w:val="24"/>
          <w:lang w:val="en-US"/>
        </w:rPr>
        <w:t xml:space="preserve"> vs United Bottlers (Private) Limited 1994 (1) ZLR 217 (S), 220 (D-F).</w:t>
      </w:r>
      <w:r>
        <w:rPr>
          <w:rFonts w:cs="Tahoma"/>
          <w:szCs w:val="24"/>
          <w:lang w:val="en-US"/>
        </w:rPr>
        <w:t xml:space="preserve"> It was defined to mean </w:t>
      </w:r>
    </w:p>
    <w:p w:rsidR="00313C68" w:rsidRPr="00C20B15" w:rsidRDefault="00363F91" w:rsidP="00C20B15">
      <w:pPr>
        <w:spacing w:line="276" w:lineRule="auto"/>
        <w:ind w:left="720"/>
        <w:rPr>
          <w:rFonts w:cs="Tahoma"/>
          <w:sz w:val="22"/>
          <w:lang w:val="en-US"/>
        </w:rPr>
      </w:pPr>
      <w:r w:rsidRPr="00C20B15">
        <w:rPr>
          <w:rFonts w:cs="Tahoma"/>
          <w:sz w:val="22"/>
          <w:lang w:val="en-US"/>
        </w:rPr>
        <w:t>“</w:t>
      </w:r>
      <w:r w:rsidR="00E04F44" w:rsidRPr="00C20B15">
        <w:rPr>
          <w:rFonts w:cs="Tahoma"/>
          <w:sz w:val="22"/>
          <w:lang w:val="en-US"/>
        </w:rPr>
        <w:t>The term “question of law” is used in three distinct though related senses.  First, it means “a question which the law itself has authoritatively answered to the exclusion of the right of the Court to answer the question as it thinks fit in accordance with what is considered to be the truth and justice of the matter”.  Second, it means “a question as to what the law is.  Thus, an appeal on a question of law means an appeal in which the question for argument and determination is what the true rule of law is on a certain matter”.  And third, “any question which is within the province of the Judge instead of the jury is called a question of law”</w:t>
      </w:r>
    </w:p>
    <w:p w:rsidR="00363F91" w:rsidRDefault="00DC37B7" w:rsidP="00410EB0">
      <w:pPr>
        <w:ind w:firstLine="720"/>
        <w:rPr>
          <w:rFonts w:cs="Tahoma"/>
          <w:b/>
          <w:szCs w:val="24"/>
        </w:rPr>
      </w:pPr>
      <w:r>
        <w:rPr>
          <w:rFonts w:cs="Tahoma"/>
          <w:szCs w:val="24"/>
        </w:rPr>
        <w:t>The issue raised is whether the “</w:t>
      </w:r>
      <w:r w:rsidR="004A3DA1">
        <w:rPr>
          <w:rFonts w:cs="Tahoma"/>
          <w:szCs w:val="24"/>
        </w:rPr>
        <w:t>declaration of m</w:t>
      </w:r>
      <w:r>
        <w:rPr>
          <w:rFonts w:cs="Tahoma"/>
          <w:szCs w:val="24"/>
        </w:rPr>
        <w:t>andate”</w:t>
      </w:r>
      <w:r w:rsidR="004A3DA1">
        <w:rPr>
          <w:rFonts w:cs="Tahoma"/>
          <w:szCs w:val="24"/>
        </w:rPr>
        <w:t xml:space="preserve"> can be equated to </w:t>
      </w:r>
      <w:proofErr w:type="gramStart"/>
      <w:r w:rsidR="004A3DA1">
        <w:rPr>
          <w:rFonts w:cs="Tahoma"/>
          <w:szCs w:val="24"/>
        </w:rPr>
        <w:t xml:space="preserve">a </w:t>
      </w:r>
      <w:r>
        <w:rPr>
          <w:rFonts w:cs="Tahoma"/>
          <w:szCs w:val="24"/>
        </w:rPr>
        <w:t xml:space="preserve"> “</w:t>
      </w:r>
      <w:proofErr w:type="gramEnd"/>
      <w:r w:rsidR="004A3DA1">
        <w:rPr>
          <w:rFonts w:cs="Tahoma"/>
          <w:szCs w:val="24"/>
        </w:rPr>
        <w:t>s</w:t>
      </w:r>
      <w:r>
        <w:rPr>
          <w:rFonts w:cs="Tahoma"/>
          <w:szCs w:val="24"/>
        </w:rPr>
        <w:t xml:space="preserve">upporting </w:t>
      </w:r>
      <w:r w:rsidR="004A3DA1">
        <w:rPr>
          <w:rFonts w:cs="Tahoma"/>
          <w:szCs w:val="24"/>
        </w:rPr>
        <w:t>a</w:t>
      </w:r>
      <w:r>
        <w:rPr>
          <w:rFonts w:cs="Tahoma"/>
          <w:szCs w:val="24"/>
        </w:rPr>
        <w:t xml:space="preserve">ffidavit” as provided in </w:t>
      </w:r>
      <w:r w:rsidRPr="00DC37B7">
        <w:rPr>
          <w:rFonts w:cs="Tahoma"/>
          <w:b/>
          <w:szCs w:val="24"/>
        </w:rPr>
        <w:t>Rule 14 (1)</w:t>
      </w:r>
      <w:r>
        <w:rPr>
          <w:rFonts w:cs="Tahoma"/>
          <w:b/>
          <w:szCs w:val="24"/>
        </w:rPr>
        <w:t xml:space="preserve"> </w:t>
      </w:r>
      <w:r w:rsidR="004A3DA1">
        <w:rPr>
          <w:rFonts w:cs="Tahoma"/>
          <w:szCs w:val="24"/>
        </w:rPr>
        <w:t xml:space="preserve">or whether </w:t>
      </w:r>
      <w:r>
        <w:rPr>
          <w:rFonts w:cs="Tahoma"/>
          <w:szCs w:val="24"/>
        </w:rPr>
        <w:t>the</w:t>
      </w:r>
      <w:r w:rsidR="002D6A88">
        <w:rPr>
          <w:rFonts w:cs="Tahoma"/>
          <w:szCs w:val="24"/>
        </w:rPr>
        <w:t xml:space="preserve"> document referred to as</w:t>
      </w:r>
      <w:r>
        <w:rPr>
          <w:rFonts w:cs="Tahoma"/>
          <w:szCs w:val="24"/>
        </w:rPr>
        <w:t xml:space="preserve"> “declaration of mandate” </w:t>
      </w:r>
      <w:r w:rsidR="004A3DA1">
        <w:rPr>
          <w:rFonts w:cs="Tahoma"/>
          <w:szCs w:val="24"/>
        </w:rPr>
        <w:t xml:space="preserve">is </w:t>
      </w:r>
      <w:r>
        <w:rPr>
          <w:rFonts w:cs="Tahoma"/>
          <w:szCs w:val="24"/>
        </w:rPr>
        <w:t xml:space="preserve">compliant with </w:t>
      </w:r>
      <w:r>
        <w:rPr>
          <w:rFonts w:cs="Tahoma"/>
          <w:b/>
          <w:szCs w:val="24"/>
        </w:rPr>
        <w:t xml:space="preserve">Rule 14(1) </w:t>
      </w:r>
      <w:r>
        <w:rPr>
          <w:rFonts w:cs="Tahoma"/>
          <w:szCs w:val="24"/>
        </w:rPr>
        <w:t xml:space="preserve">of the </w:t>
      </w:r>
      <w:r>
        <w:rPr>
          <w:rFonts w:cs="Tahoma"/>
          <w:b/>
          <w:szCs w:val="24"/>
        </w:rPr>
        <w:t>Labour Court Rules, 2017.</w:t>
      </w:r>
    </w:p>
    <w:p w:rsidR="00A6496C" w:rsidRDefault="00FD1290" w:rsidP="00410EB0">
      <w:pPr>
        <w:ind w:firstLine="720"/>
        <w:rPr>
          <w:rFonts w:cs="Tahoma"/>
          <w:b/>
          <w:szCs w:val="24"/>
        </w:rPr>
      </w:pPr>
      <w:r>
        <w:rPr>
          <w:rFonts w:cs="Tahoma"/>
          <w:szCs w:val="24"/>
        </w:rPr>
        <w:t xml:space="preserve">The issue is obviously a question of law. </w:t>
      </w:r>
      <w:r w:rsidR="0032531B">
        <w:rPr>
          <w:rFonts w:cs="Tahoma"/>
          <w:szCs w:val="24"/>
        </w:rPr>
        <w:t>I</w:t>
      </w:r>
      <w:r>
        <w:rPr>
          <w:rFonts w:cs="Tahoma"/>
          <w:szCs w:val="24"/>
        </w:rPr>
        <w:t xml:space="preserve">s </w:t>
      </w:r>
      <w:r w:rsidR="00E16CB5">
        <w:rPr>
          <w:rFonts w:cs="Tahoma"/>
          <w:szCs w:val="24"/>
        </w:rPr>
        <w:t xml:space="preserve">the question properly </w:t>
      </w:r>
      <w:r w:rsidR="0032531B">
        <w:rPr>
          <w:rFonts w:cs="Tahoma"/>
          <w:szCs w:val="24"/>
        </w:rPr>
        <w:t xml:space="preserve">taken before </w:t>
      </w:r>
      <w:r w:rsidR="004B2AD8">
        <w:rPr>
          <w:rFonts w:cs="Tahoma"/>
          <w:szCs w:val="24"/>
        </w:rPr>
        <w:t xml:space="preserve">us </w:t>
      </w:r>
      <w:bookmarkStart w:id="0" w:name="_GoBack"/>
      <w:bookmarkEnd w:id="0"/>
      <w:r w:rsidR="0032531B">
        <w:rPr>
          <w:rFonts w:cs="Tahoma"/>
          <w:szCs w:val="24"/>
        </w:rPr>
        <w:t>considering that the court i</w:t>
      </w:r>
      <w:r w:rsidR="00E16CB5">
        <w:rPr>
          <w:rFonts w:cs="Tahoma"/>
          <w:szCs w:val="24"/>
        </w:rPr>
        <w:t xml:space="preserve">s sitting to hear an </w:t>
      </w:r>
      <w:r w:rsidR="0032531B">
        <w:rPr>
          <w:rFonts w:cs="Tahoma"/>
          <w:szCs w:val="24"/>
        </w:rPr>
        <w:t>application</w:t>
      </w:r>
      <w:r w:rsidR="00E16CB5">
        <w:rPr>
          <w:rFonts w:cs="Tahoma"/>
          <w:szCs w:val="24"/>
        </w:rPr>
        <w:t xml:space="preserve"> for leave to appeal against our judgment handed down in </w:t>
      </w:r>
      <w:proofErr w:type="gramStart"/>
      <w:r w:rsidR="00E16CB5">
        <w:rPr>
          <w:rFonts w:cs="Tahoma"/>
          <w:szCs w:val="24"/>
        </w:rPr>
        <w:t>2019.</w:t>
      </w:r>
      <w:proofErr w:type="gramEnd"/>
      <w:r w:rsidR="00E16CB5">
        <w:rPr>
          <w:rFonts w:cs="Tahoma"/>
          <w:szCs w:val="24"/>
        </w:rPr>
        <w:t xml:space="preserve"> Both counsel seemed to agree that the question of law</w:t>
      </w:r>
      <w:r w:rsidR="00037437">
        <w:rPr>
          <w:rFonts w:cs="Tahoma"/>
          <w:szCs w:val="24"/>
        </w:rPr>
        <w:t xml:space="preserve"> could be raised at any stage of proceedings. Mr </w:t>
      </w:r>
      <w:proofErr w:type="spellStart"/>
      <w:r w:rsidR="00037437">
        <w:rPr>
          <w:rFonts w:cs="Tahoma"/>
          <w:szCs w:val="24"/>
        </w:rPr>
        <w:t>Matika</w:t>
      </w:r>
      <w:proofErr w:type="spellEnd"/>
      <w:r w:rsidR="00037437">
        <w:rPr>
          <w:rFonts w:cs="Tahoma"/>
          <w:szCs w:val="24"/>
        </w:rPr>
        <w:t xml:space="preserve"> however diverged on the point that although</w:t>
      </w:r>
      <w:r w:rsidR="0032531B">
        <w:rPr>
          <w:rFonts w:cs="Tahoma"/>
          <w:szCs w:val="24"/>
        </w:rPr>
        <w:t xml:space="preserve"> the question of law was</w:t>
      </w:r>
      <w:r w:rsidR="00037437">
        <w:rPr>
          <w:rFonts w:cs="Tahoma"/>
          <w:szCs w:val="24"/>
        </w:rPr>
        <w:t xml:space="preserve"> properly taken in the </w:t>
      </w:r>
      <w:r w:rsidR="0032531B">
        <w:rPr>
          <w:rFonts w:cs="Tahoma"/>
          <w:szCs w:val="24"/>
        </w:rPr>
        <w:t>application before us</w:t>
      </w:r>
      <w:r w:rsidR="00037437">
        <w:rPr>
          <w:rFonts w:cs="Tahoma"/>
          <w:szCs w:val="24"/>
        </w:rPr>
        <w:t xml:space="preserve"> the point was however not valid as the “declaration of mandate” was properly filed in terms of </w:t>
      </w:r>
      <w:r w:rsidR="00037437">
        <w:rPr>
          <w:rFonts w:cs="Tahoma"/>
          <w:b/>
          <w:szCs w:val="24"/>
        </w:rPr>
        <w:t>Rule 14 (1).</w:t>
      </w:r>
    </w:p>
    <w:p w:rsidR="00A2709B" w:rsidRDefault="004C05FC" w:rsidP="00410EB0">
      <w:pPr>
        <w:ind w:firstLine="720"/>
        <w:rPr>
          <w:rFonts w:cs="Tahoma"/>
          <w:szCs w:val="24"/>
        </w:rPr>
      </w:pPr>
      <w:r>
        <w:rPr>
          <w:rFonts w:cs="Tahoma"/>
          <w:szCs w:val="24"/>
        </w:rPr>
        <w:t>It</w:t>
      </w:r>
      <w:r w:rsidR="00A6496C">
        <w:rPr>
          <w:rFonts w:cs="Tahoma"/>
          <w:szCs w:val="24"/>
        </w:rPr>
        <w:t xml:space="preserve"> is indeed </w:t>
      </w:r>
      <w:r w:rsidR="00A6496C">
        <w:rPr>
          <w:rFonts w:cs="Tahoma"/>
          <w:i/>
          <w:szCs w:val="24"/>
        </w:rPr>
        <w:t xml:space="preserve">trite </w:t>
      </w:r>
      <w:r w:rsidR="00A6496C">
        <w:rPr>
          <w:rFonts w:cs="Tahoma"/>
          <w:szCs w:val="24"/>
        </w:rPr>
        <w:t xml:space="preserve">that a question of law </w:t>
      </w:r>
      <w:r w:rsidR="00D6788C">
        <w:rPr>
          <w:rFonts w:cs="Tahoma"/>
          <w:szCs w:val="24"/>
        </w:rPr>
        <w:t>can be raised at any stage of the proceedings including o</w:t>
      </w:r>
      <w:r w:rsidR="00A6496C">
        <w:rPr>
          <w:rFonts w:cs="Tahoma"/>
          <w:szCs w:val="24"/>
        </w:rPr>
        <w:t xml:space="preserve">n appeal. It is our considered view the fact that the current </w:t>
      </w:r>
      <w:r w:rsidR="00A6496C">
        <w:rPr>
          <w:rFonts w:cs="Tahoma"/>
          <w:szCs w:val="24"/>
        </w:rPr>
        <w:lastRenderedPageBreak/>
        <w:t xml:space="preserve">proceedings involve an </w:t>
      </w:r>
      <w:r w:rsidR="00D6788C">
        <w:rPr>
          <w:rFonts w:cs="Tahoma"/>
          <w:szCs w:val="24"/>
        </w:rPr>
        <w:t>application</w:t>
      </w:r>
      <w:r w:rsidR="00A6496C">
        <w:rPr>
          <w:rFonts w:cs="Tahoma"/>
          <w:szCs w:val="24"/>
        </w:rPr>
        <w:t xml:space="preserve"> for leave would not alter that position. The point of law however has to be </w:t>
      </w:r>
      <w:r w:rsidR="00D6788C">
        <w:rPr>
          <w:rFonts w:cs="Tahoma"/>
          <w:szCs w:val="24"/>
        </w:rPr>
        <w:t>validl</w:t>
      </w:r>
      <w:r w:rsidR="00A2709B">
        <w:rPr>
          <w:rFonts w:cs="Tahoma"/>
          <w:szCs w:val="24"/>
        </w:rPr>
        <w:t xml:space="preserve">y </w:t>
      </w:r>
      <w:r w:rsidR="00A6496C">
        <w:rPr>
          <w:rFonts w:cs="Tahoma"/>
          <w:szCs w:val="24"/>
        </w:rPr>
        <w:t>taken. The R</w:t>
      </w:r>
      <w:r w:rsidR="00C20B15">
        <w:rPr>
          <w:rFonts w:cs="Tahoma"/>
          <w:szCs w:val="24"/>
        </w:rPr>
        <w:t>espondent did not formally give</w:t>
      </w:r>
      <w:r w:rsidR="00A6496C">
        <w:rPr>
          <w:rFonts w:cs="Tahoma"/>
          <w:szCs w:val="24"/>
        </w:rPr>
        <w:t xml:space="preserve"> notice </w:t>
      </w:r>
      <w:r w:rsidR="00D6788C">
        <w:rPr>
          <w:rFonts w:cs="Tahoma"/>
          <w:szCs w:val="24"/>
        </w:rPr>
        <w:t>to</w:t>
      </w:r>
      <w:r w:rsidR="00A6496C">
        <w:rPr>
          <w:rFonts w:cs="Tahoma"/>
          <w:szCs w:val="24"/>
        </w:rPr>
        <w:t xml:space="preserve"> the other party and </w:t>
      </w:r>
      <w:r w:rsidR="00D6788C">
        <w:rPr>
          <w:rFonts w:cs="Tahoma"/>
          <w:szCs w:val="24"/>
        </w:rPr>
        <w:t xml:space="preserve">to </w:t>
      </w:r>
      <w:r w:rsidR="00A6496C">
        <w:rPr>
          <w:rFonts w:cs="Tahoma"/>
          <w:szCs w:val="24"/>
        </w:rPr>
        <w:t>the court that i</w:t>
      </w:r>
      <w:r w:rsidR="00204EF2">
        <w:rPr>
          <w:rFonts w:cs="Tahoma"/>
          <w:szCs w:val="24"/>
        </w:rPr>
        <w:t>t was going to raise the point. A</w:t>
      </w:r>
      <w:r w:rsidR="00A6496C">
        <w:rPr>
          <w:rFonts w:cs="Tahoma"/>
          <w:szCs w:val="24"/>
        </w:rPr>
        <w:t>lthough Applicant</w:t>
      </w:r>
      <w:r w:rsidR="00C20B15">
        <w:rPr>
          <w:rFonts w:cs="Tahoma"/>
          <w:szCs w:val="24"/>
        </w:rPr>
        <w:t>s</w:t>
      </w:r>
      <w:r w:rsidR="00A6496C">
        <w:rPr>
          <w:rFonts w:cs="Tahoma"/>
          <w:szCs w:val="24"/>
        </w:rPr>
        <w:t xml:space="preserve"> </w:t>
      </w:r>
      <w:r w:rsidR="00C20B15">
        <w:rPr>
          <w:rFonts w:cs="Tahoma"/>
          <w:szCs w:val="24"/>
        </w:rPr>
        <w:t>counsel seemed</w:t>
      </w:r>
      <w:r w:rsidR="00A6496C">
        <w:rPr>
          <w:rFonts w:cs="Tahoma"/>
          <w:szCs w:val="24"/>
        </w:rPr>
        <w:t xml:space="preserve"> to have </w:t>
      </w:r>
      <w:r w:rsidR="00C20B15">
        <w:rPr>
          <w:rFonts w:cs="Tahoma"/>
          <w:szCs w:val="24"/>
        </w:rPr>
        <w:t>conceded to</w:t>
      </w:r>
      <w:r w:rsidR="00A6496C">
        <w:rPr>
          <w:rFonts w:cs="Tahoma"/>
          <w:szCs w:val="24"/>
        </w:rPr>
        <w:t xml:space="preserve"> the taking of that point un-procedurally</w:t>
      </w:r>
      <w:r w:rsidR="00204EF2">
        <w:rPr>
          <w:rFonts w:cs="Tahoma"/>
          <w:szCs w:val="24"/>
        </w:rPr>
        <w:t>, t</w:t>
      </w:r>
      <w:r w:rsidR="00A6496C">
        <w:rPr>
          <w:rFonts w:cs="Tahoma"/>
          <w:szCs w:val="24"/>
        </w:rPr>
        <w:t>he point of law ought to have been properly placed before the court. Having</w:t>
      </w:r>
      <w:r w:rsidR="00C20B15">
        <w:rPr>
          <w:rFonts w:cs="Tahoma"/>
          <w:szCs w:val="24"/>
        </w:rPr>
        <w:t xml:space="preserve"> already</w:t>
      </w:r>
      <w:r w:rsidR="00A6496C">
        <w:rPr>
          <w:rFonts w:cs="Tahoma"/>
          <w:szCs w:val="24"/>
        </w:rPr>
        <w:t xml:space="preserve"> heard the parties on the point the</w:t>
      </w:r>
      <w:r w:rsidR="00204EF2">
        <w:rPr>
          <w:rFonts w:cs="Tahoma"/>
          <w:szCs w:val="24"/>
        </w:rPr>
        <w:t xml:space="preserve"> court will not belabour</w:t>
      </w:r>
      <w:r w:rsidR="00572792">
        <w:rPr>
          <w:rFonts w:cs="Tahoma"/>
          <w:szCs w:val="24"/>
        </w:rPr>
        <w:t xml:space="preserve"> the point. The court’s </w:t>
      </w:r>
      <w:proofErr w:type="gramStart"/>
      <w:r w:rsidR="00572792">
        <w:rPr>
          <w:rFonts w:cs="Tahoma"/>
          <w:szCs w:val="24"/>
        </w:rPr>
        <w:t>findings therefore is</w:t>
      </w:r>
      <w:proofErr w:type="gramEnd"/>
      <w:r w:rsidR="00572792">
        <w:rPr>
          <w:rFonts w:cs="Tahoma"/>
          <w:szCs w:val="24"/>
        </w:rPr>
        <w:t xml:space="preserve"> that the point was properly taken before the court.</w:t>
      </w:r>
      <w:r w:rsidR="00A2709B">
        <w:rPr>
          <w:rFonts w:cs="Tahoma"/>
          <w:szCs w:val="24"/>
        </w:rPr>
        <w:t xml:space="preserve"> </w:t>
      </w:r>
    </w:p>
    <w:p w:rsidR="00FD1290" w:rsidRDefault="00A2709B" w:rsidP="00410EB0">
      <w:pPr>
        <w:ind w:firstLine="720"/>
        <w:rPr>
          <w:rFonts w:cs="Tahoma"/>
          <w:szCs w:val="24"/>
        </w:rPr>
      </w:pPr>
      <w:r>
        <w:rPr>
          <w:rFonts w:cs="Tahoma"/>
          <w:szCs w:val="24"/>
        </w:rPr>
        <w:t>In regards the validity</w:t>
      </w:r>
      <w:r w:rsidR="00F61EBC">
        <w:rPr>
          <w:rFonts w:cs="Tahoma"/>
          <w:szCs w:val="24"/>
        </w:rPr>
        <w:t xml:space="preserve"> of the point however it is our finding that the point is not merited. </w:t>
      </w:r>
      <w:r w:rsidR="00F61EBC">
        <w:rPr>
          <w:rFonts w:cs="Tahoma"/>
          <w:b/>
          <w:szCs w:val="24"/>
        </w:rPr>
        <w:t xml:space="preserve">Rule 14 (1) </w:t>
      </w:r>
      <w:r w:rsidR="00F61EBC">
        <w:rPr>
          <w:rFonts w:cs="Tahoma"/>
          <w:szCs w:val="24"/>
        </w:rPr>
        <w:t xml:space="preserve">of the </w:t>
      </w:r>
      <w:r w:rsidR="00F61EBC">
        <w:rPr>
          <w:rFonts w:cs="Tahoma"/>
          <w:b/>
          <w:szCs w:val="24"/>
        </w:rPr>
        <w:t xml:space="preserve">Labour Court </w:t>
      </w:r>
      <w:r w:rsidR="004C05FC">
        <w:rPr>
          <w:rFonts w:cs="Tahoma"/>
          <w:b/>
          <w:szCs w:val="24"/>
        </w:rPr>
        <w:t>Rul</w:t>
      </w:r>
      <w:r w:rsidR="00F61EBC">
        <w:rPr>
          <w:rFonts w:cs="Tahoma"/>
          <w:b/>
          <w:szCs w:val="24"/>
        </w:rPr>
        <w:t xml:space="preserve">es, 2017 </w:t>
      </w:r>
      <w:r w:rsidR="00F61EBC">
        <w:rPr>
          <w:rFonts w:cs="Tahoma"/>
          <w:szCs w:val="24"/>
        </w:rPr>
        <w:t>provide</w:t>
      </w:r>
      <w:r w:rsidR="00204EF2">
        <w:rPr>
          <w:rFonts w:cs="Tahoma"/>
          <w:szCs w:val="24"/>
        </w:rPr>
        <w:t>s</w:t>
      </w:r>
      <w:r w:rsidR="00F61EBC">
        <w:rPr>
          <w:rFonts w:cs="Tahoma"/>
          <w:szCs w:val="24"/>
        </w:rPr>
        <w:t xml:space="preserve"> for applications in the Labour Court. It provides as follows </w:t>
      </w:r>
      <w:r>
        <w:rPr>
          <w:rFonts w:cs="Tahoma"/>
          <w:szCs w:val="24"/>
        </w:rPr>
        <w:t xml:space="preserve"> </w:t>
      </w:r>
      <w:r w:rsidR="00E16CB5">
        <w:rPr>
          <w:rFonts w:cs="Tahoma"/>
          <w:szCs w:val="24"/>
        </w:rPr>
        <w:t xml:space="preserve"> </w:t>
      </w:r>
    </w:p>
    <w:p w:rsidR="0060350E" w:rsidRPr="00C20B15" w:rsidRDefault="0060350E" w:rsidP="00C20B15">
      <w:pPr>
        <w:pStyle w:val="Default"/>
        <w:spacing w:line="276" w:lineRule="auto"/>
        <w:ind w:firstLine="720"/>
        <w:jc w:val="both"/>
        <w:rPr>
          <w:rFonts w:ascii="Tahoma" w:hAnsi="Tahoma" w:cs="Tahoma"/>
          <w:sz w:val="22"/>
          <w:szCs w:val="22"/>
        </w:rPr>
      </w:pPr>
      <w:r w:rsidRPr="00C20B15">
        <w:rPr>
          <w:rFonts w:ascii="Tahoma" w:hAnsi="Tahoma" w:cs="Tahoma"/>
          <w:b/>
          <w:bCs/>
          <w:iCs/>
          <w:sz w:val="22"/>
          <w:szCs w:val="22"/>
        </w:rPr>
        <w:t xml:space="preserve">“14. Court applications </w:t>
      </w:r>
    </w:p>
    <w:p w:rsidR="0060350E" w:rsidRPr="00C20B15" w:rsidRDefault="0060350E" w:rsidP="00C20B15">
      <w:pPr>
        <w:pStyle w:val="ListParagraph"/>
        <w:numPr>
          <w:ilvl w:val="0"/>
          <w:numId w:val="1"/>
        </w:numPr>
        <w:spacing w:line="276" w:lineRule="auto"/>
        <w:rPr>
          <w:rFonts w:cs="Tahoma"/>
          <w:sz w:val="22"/>
        </w:rPr>
      </w:pPr>
      <w:r w:rsidRPr="00C20B15">
        <w:rPr>
          <w:rFonts w:cs="Tahoma"/>
          <w:sz w:val="22"/>
        </w:rPr>
        <w:t>A court application shall be in Form LC 1 and shall be supported by one or more affidavits setting out the facts upon which the applicant relies together with the draft order.”</w:t>
      </w:r>
    </w:p>
    <w:p w:rsidR="00E4306E" w:rsidRDefault="00FE395F" w:rsidP="008942FA">
      <w:pPr>
        <w:ind w:firstLine="720"/>
      </w:pPr>
      <w:r>
        <w:rPr>
          <w:b/>
        </w:rPr>
        <w:t>Rule 14 (1)</w:t>
      </w:r>
      <w:r w:rsidR="008942FA">
        <w:t xml:space="preserve"> </w:t>
      </w:r>
      <w:r w:rsidR="002D6A88">
        <w:t>on the other hand</w:t>
      </w:r>
      <w:r w:rsidR="008942FA">
        <w:t xml:space="preserve"> provides for supporting affidavits to accompany a court application </w:t>
      </w:r>
      <w:r w:rsidR="00E4306E">
        <w:t xml:space="preserve">which must be in Form LC I. </w:t>
      </w:r>
      <w:r w:rsidR="00E4306E">
        <w:rPr>
          <w:b/>
        </w:rPr>
        <w:t xml:space="preserve">Rule 14 (1) </w:t>
      </w:r>
      <w:r w:rsidR="00E4306E">
        <w:t>clearly shows the use of “shall” which suggests that it is a peremptor</w:t>
      </w:r>
      <w:r>
        <w:t>y provision</w:t>
      </w:r>
      <w:r w:rsidR="00E4306E">
        <w:t>.</w:t>
      </w:r>
    </w:p>
    <w:p w:rsidR="00E4306E" w:rsidRDefault="00E4306E" w:rsidP="00E4306E">
      <w:pPr>
        <w:ind w:firstLine="720"/>
      </w:pPr>
      <w:r>
        <w:rPr>
          <w:b/>
        </w:rPr>
        <w:t xml:space="preserve">Rule 14 (5) </w:t>
      </w:r>
      <w:r w:rsidR="00FE395F">
        <w:t>however contains an</w:t>
      </w:r>
      <w:r>
        <w:t xml:space="preserve"> exception clause. It </w:t>
      </w:r>
      <w:r w:rsidR="00FE395F">
        <w:t>reads as follows;</w:t>
      </w:r>
    </w:p>
    <w:p w:rsidR="00E01033" w:rsidRPr="00C20B15" w:rsidRDefault="00E01033" w:rsidP="00C20B15">
      <w:pPr>
        <w:spacing w:line="276" w:lineRule="auto"/>
        <w:ind w:left="720"/>
        <w:rPr>
          <w:sz w:val="22"/>
        </w:rPr>
      </w:pPr>
      <w:proofErr w:type="gramStart"/>
      <w:r w:rsidRPr="00C20B15">
        <w:rPr>
          <w:sz w:val="22"/>
        </w:rPr>
        <w:t>“(5) Except as otherwise provided in this rule, no affidavit which has not been served with a court application shall be used in support of the application unless it is otherwise ordered by the Court or a Judge.”</w:t>
      </w:r>
      <w:proofErr w:type="gramEnd"/>
    </w:p>
    <w:p w:rsidR="00BA6F69" w:rsidRDefault="00AA7474" w:rsidP="00E4306E">
      <w:pPr>
        <w:ind w:firstLine="720"/>
        <w:rPr>
          <w:szCs w:val="24"/>
        </w:rPr>
      </w:pPr>
      <w:r>
        <w:rPr>
          <w:b/>
          <w:szCs w:val="24"/>
        </w:rPr>
        <w:t xml:space="preserve">Rule 14 (5) </w:t>
      </w:r>
      <w:r>
        <w:rPr>
          <w:szCs w:val="24"/>
        </w:rPr>
        <w:t xml:space="preserve">clearly provides </w:t>
      </w:r>
      <w:r w:rsidR="008B3403">
        <w:rPr>
          <w:szCs w:val="24"/>
        </w:rPr>
        <w:t>for the filing of any further affidavits by a party</w:t>
      </w:r>
      <w:r w:rsidR="00FE395F">
        <w:rPr>
          <w:szCs w:val="24"/>
        </w:rPr>
        <w:t>/</w:t>
      </w:r>
      <w:r w:rsidR="008B3403">
        <w:rPr>
          <w:szCs w:val="24"/>
        </w:rPr>
        <w:t xml:space="preserve"> parties which affidavit</w:t>
      </w:r>
      <w:r w:rsidR="00FE395F">
        <w:rPr>
          <w:szCs w:val="24"/>
        </w:rPr>
        <w:t>s</w:t>
      </w:r>
      <w:r w:rsidR="008B3403">
        <w:rPr>
          <w:szCs w:val="24"/>
        </w:rPr>
        <w:t xml:space="preserve"> were not attached to the court application. The further affidavit</w:t>
      </w:r>
      <w:r w:rsidR="00FE395F">
        <w:rPr>
          <w:szCs w:val="24"/>
        </w:rPr>
        <w:t>/s</w:t>
      </w:r>
      <w:r w:rsidR="008B3403">
        <w:rPr>
          <w:szCs w:val="24"/>
        </w:rPr>
        <w:t xml:space="preserve"> </w:t>
      </w:r>
      <w:proofErr w:type="gramStart"/>
      <w:r w:rsidR="008B3403">
        <w:rPr>
          <w:szCs w:val="24"/>
        </w:rPr>
        <w:t>are</w:t>
      </w:r>
      <w:proofErr w:type="gramEnd"/>
      <w:r w:rsidR="008B3403">
        <w:rPr>
          <w:szCs w:val="24"/>
        </w:rPr>
        <w:t xml:space="preserve"> admitted</w:t>
      </w:r>
      <w:r w:rsidR="00FE395F">
        <w:rPr>
          <w:szCs w:val="24"/>
        </w:rPr>
        <w:t xml:space="preserve"> for use</w:t>
      </w:r>
      <w:r w:rsidR="008B3403">
        <w:rPr>
          <w:szCs w:val="24"/>
        </w:rPr>
        <w:t xml:space="preserve"> at the discretion of the court or a </w:t>
      </w:r>
      <w:r w:rsidR="00BA6F69">
        <w:rPr>
          <w:szCs w:val="24"/>
        </w:rPr>
        <w:t>Judge.</w:t>
      </w:r>
    </w:p>
    <w:p w:rsidR="00AA7474" w:rsidRDefault="00BA6F69" w:rsidP="00E4306E">
      <w:pPr>
        <w:ind w:firstLine="720"/>
        <w:rPr>
          <w:szCs w:val="24"/>
        </w:rPr>
      </w:pPr>
      <w:r>
        <w:rPr>
          <w:b/>
          <w:szCs w:val="24"/>
        </w:rPr>
        <w:t>Rule 21 (5</w:t>
      </w:r>
      <w:proofErr w:type="gramStart"/>
      <w:r>
        <w:rPr>
          <w:b/>
          <w:szCs w:val="24"/>
        </w:rPr>
        <w:t>)(</w:t>
      </w:r>
      <w:proofErr w:type="gramEnd"/>
      <w:r>
        <w:rPr>
          <w:b/>
          <w:szCs w:val="24"/>
        </w:rPr>
        <w:t xml:space="preserve">b) </w:t>
      </w:r>
      <w:r w:rsidRPr="00BA6F69">
        <w:rPr>
          <w:szCs w:val="24"/>
        </w:rPr>
        <w:t>also provides as follows</w:t>
      </w:r>
      <w:r>
        <w:rPr>
          <w:szCs w:val="24"/>
        </w:rPr>
        <w:t xml:space="preserve">, </w:t>
      </w:r>
    </w:p>
    <w:p w:rsidR="00BA6F69" w:rsidRPr="00C20B15" w:rsidRDefault="00BA6F69" w:rsidP="00C20B15">
      <w:pPr>
        <w:spacing w:line="276" w:lineRule="auto"/>
        <w:ind w:firstLine="720"/>
        <w:rPr>
          <w:sz w:val="22"/>
        </w:rPr>
      </w:pPr>
      <w:r w:rsidRPr="00C20B15">
        <w:rPr>
          <w:sz w:val="22"/>
        </w:rPr>
        <w:t>(5) An affidavit filed with a written application, appeal or review —</w:t>
      </w:r>
    </w:p>
    <w:p w:rsidR="00BA6F69" w:rsidRPr="00C20B15" w:rsidRDefault="00BA6F69" w:rsidP="00C20B15">
      <w:pPr>
        <w:spacing w:line="276" w:lineRule="auto"/>
        <w:ind w:firstLine="720"/>
        <w:rPr>
          <w:sz w:val="22"/>
        </w:rPr>
      </w:pPr>
      <w:r w:rsidRPr="00C20B15">
        <w:rPr>
          <w:sz w:val="22"/>
        </w:rPr>
        <w:t>(a)  _ _ _ _ _ _ _ _</w:t>
      </w:r>
    </w:p>
    <w:p w:rsidR="00BA6F69" w:rsidRPr="00C20B15" w:rsidRDefault="00BA6F69" w:rsidP="00C20B15">
      <w:pPr>
        <w:spacing w:line="276" w:lineRule="auto"/>
        <w:ind w:left="720"/>
        <w:rPr>
          <w:sz w:val="22"/>
        </w:rPr>
      </w:pPr>
      <w:r w:rsidRPr="00C20B15">
        <w:rPr>
          <w:sz w:val="22"/>
        </w:rPr>
        <w:lastRenderedPageBreak/>
        <w:t xml:space="preserve">(b)  </w:t>
      </w:r>
      <w:proofErr w:type="gramStart"/>
      <w:r w:rsidRPr="00C20B15">
        <w:rPr>
          <w:sz w:val="22"/>
        </w:rPr>
        <w:t>may</w:t>
      </w:r>
      <w:proofErr w:type="gramEnd"/>
      <w:r w:rsidRPr="00C20B15">
        <w:rPr>
          <w:sz w:val="22"/>
        </w:rPr>
        <w:t xml:space="preserve"> be accompanied by the documents verifying the facts or averments set out in the affidavit, and any reference in this Order to an affidavit shall be construed as including such documents</w:t>
      </w:r>
    </w:p>
    <w:p w:rsidR="00C8286D" w:rsidRDefault="00C337A5" w:rsidP="00C8286D">
      <w:pPr>
        <w:ind w:firstLine="720"/>
      </w:pPr>
      <w:r w:rsidRPr="00C337A5">
        <w:rPr>
          <w:b/>
        </w:rPr>
        <w:t>Rule 21 (5) (b)</w:t>
      </w:r>
      <w:r w:rsidR="00E4306E" w:rsidRPr="00C337A5">
        <w:rPr>
          <w:b/>
        </w:rPr>
        <w:t xml:space="preserve"> </w:t>
      </w:r>
      <w:r w:rsidR="008942FA" w:rsidRPr="00C337A5">
        <w:rPr>
          <w:b/>
        </w:rPr>
        <w:t xml:space="preserve">  </w:t>
      </w:r>
      <w:r>
        <w:t>clearly provides for the attachment of documents verifying the facts or averment</w:t>
      </w:r>
      <w:r w:rsidR="00FE395F">
        <w:t>s</w:t>
      </w:r>
      <w:r>
        <w:t xml:space="preserve"> as set out in the affidavit filed with the application.</w:t>
      </w:r>
    </w:p>
    <w:p w:rsidR="00C8286D" w:rsidRDefault="00C8286D" w:rsidP="00C8286D">
      <w:pPr>
        <w:ind w:firstLine="720"/>
      </w:pPr>
      <w:r>
        <w:t xml:space="preserve">The Applicant in this case filed a written application which was supported by </w:t>
      </w:r>
      <w:proofErr w:type="spellStart"/>
      <w:proofErr w:type="gramStart"/>
      <w:r>
        <w:t>a</w:t>
      </w:r>
      <w:proofErr w:type="spellEnd"/>
      <w:proofErr w:type="gramEnd"/>
      <w:r w:rsidR="00C20B15">
        <w:t xml:space="preserve"> </w:t>
      </w:r>
      <w:r w:rsidR="002D6A88">
        <w:t>a</w:t>
      </w:r>
      <w:r>
        <w:t xml:space="preserve">ffidavit by L. </w:t>
      </w:r>
      <w:proofErr w:type="spellStart"/>
      <w:r>
        <w:t>Kamuka</w:t>
      </w:r>
      <w:proofErr w:type="spellEnd"/>
      <w:r>
        <w:t>. In regards the rest of the Applicants i.e. 2</w:t>
      </w:r>
      <w:r w:rsidRPr="00C8286D">
        <w:rPr>
          <w:vertAlign w:val="superscript"/>
        </w:rPr>
        <w:t>nd</w:t>
      </w:r>
      <w:r>
        <w:t xml:space="preserve"> – 32</w:t>
      </w:r>
      <w:r w:rsidRPr="00C8286D">
        <w:rPr>
          <w:vertAlign w:val="superscript"/>
        </w:rPr>
        <w:t>nd</w:t>
      </w:r>
      <w:r>
        <w:t xml:space="preserve"> the Applicant included a document in which the Applicant</w:t>
      </w:r>
      <w:r w:rsidR="00FE395F">
        <w:t>s indicated their</w:t>
      </w:r>
      <w:r>
        <w:t xml:space="preserve"> support</w:t>
      </w:r>
      <w:r w:rsidR="00FE395F">
        <w:t xml:space="preserve"> for</w:t>
      </w:r>
      <w:r>
        <w:t xml:space="preserve"> the averments/facts as </w:t>
      </w:r>
      <w:r w:rsidR="00C20B15">
        <w:t xml:space="preserve">set out </w:t>
      </w:r>
      <w:r>
        <w:t xml:space="preserve">in the </w:t>
      </w:r>
      <w:r w:rsidR="002D6A88">
        <w:t>1</w:t>
      </w:r>
      <w:r w:rsidR="002D6A88" w:rsidRPr="002D6A88">
        <w:rPr>
          <w:vertAlign w:val="superscript"/>
        </w:rPr>
        <w:t>st</w:t>
      </w:r>
      <w:r w:rsidR="002D6A88">
        <w:t xml:space="preserve"> Applicant’s a</w:t>
      </w:r>
      <w:r>
        <w:t>ffidavit. The 1</w:t>
      </w:r>
      <w:r w:rsidRPr="00C8286D">
        <w:rPr>
          <w:vertAlign w:val="superscript"/>
        </w:rPr>
        <w:t>st</w:t>
      </w:r>
      <w:r>
        <w:t xml:space="preserve"> Applicant in his Founding Affidavit </w:t>
      </w:r>
      <w:r w:rsidR="00FE395F">
        <w:t>also</w:t>
      </w:r>
      <w:r>
        <w:t xml:space="preserve"> made an averment that he was repre</w:t>
      </w:r>
      <w:r w:rsidR="009071DC">
        <w:t>se</w:t>
      </w:r>
      <w:r>
        <w:t>nting 2</w:t>
      </w:r>
      <w:r w:rsidRPr="00C8286D">
        <w:rPr>
          <w:vertAlign w:val="superscript"/>
        </w:rPr>
        <w:t>nd</w:t>
      </w:r>
      <w:r>
        <w:t>- 32</w:t>
      </w:r>
      <w:r w:rsidRPr="00C8286D">
        <w:rPr>
          <w:vertAlign w:val="superscript"/>
        </w:rPr>
        <w:t>nd</w:t>
      </w:r>
      <w:r>
        <w:t xml:space="preserve"> </w:t>
      </w:r>
      <w:r w:rsidR="009071DC">
        <w:t xml:space="preserve">Applicant </w:t>
      </w:r>
      <w:r w:rsidR="00FE395F">
        <w:t>and attached</w:t>
      </w:r>
      <w:r w:rsidR="009071DC">
        <w:t xml:space="preserve"> the document referred to as ‘</w:t>
      </w:r>
      <w:r w:rsidR="00FE395F">
        <w:t>declaration of m</w:t>
      </w:r>
      <w:r w:rsidR="009071DC">
        <w:t xml:space="preserve">andate’. In light of the provisions in </w:t>
      </w:r>
      <w:r w:rsidR="009071DC">
        <w:rPr>
          <w:b/>
        </w:rPr>
        <w:t xml:space="preserve">Rule 14 (1), 14 (5) </w:t>
      </w:r>
      <w:r w:rsidR="009071DC">
        <w:t xml:space="preserve">and </w:t>
      </w:r>
      <w:r w:rsidR="009071DC">
        <w:rPr>
          <w:b/>
        </w:rPr>
        <w:t>21 (5</w:t>
      </w:r>
      <w:proofErr w:type="gramStart"/>
      <w:r w:rsidR="009071DC">
        <w:rPr>
          <w:b/>
        </w:rPr>
        <w:t>)(</w:t>
      </w:r>
      <w:proofErr w:type="gramEnd"/>
      <w:r w:rsidR="009071DC">
        <w:rPr>
          <w:b/>
        </w:rPr>
        <w:t xml:space="preserve">b) </w:t>
      </w:r>
      <w:r w:rsidR="009071DC">
        <w:t>there was in our view nothing irregular</w:t>
      </w:r>
      <w:r w:rsidR="00FE395F">
        <w:t xml:space="preserve"> in this</w:t>
      </w:r>
      <w:r w:rsidR="002D6A88">
        <w:t xml:space="preserve"> approach</w:t>
      </w:r>
      <w:r w:rsidR="009071DC">
        <w:t>. This is more especially as the record shows that all the 32 Applicants</w:t>
      </w:r>
      <w:r w:rsidR="00FE395F">
        <w:t xml:space="preserve"> sav</w:t>
      </w:r>
      <w:r w:rsidR="001649D8">
        <w:t>e for</w:t>
      </w:r>
      <w:r w:rsidR="002D6A88">
        <w:t xml:space="preserve"> Applicants</w:t>
      </w:r>
      <w:r w:rsidR="001649D8">
        <w:t xml:space="preserve"> 26 and 28 did sign the document</w:t>
      </w:r>
      <w:r w:rsidR="00FE395F">
        <w:t xml:space="preserve"> indicating their support for the averments/facts as contained in the </w:t>
      </w:r>
      <w:r w:rsidR="002D6A88">
        <w:t>1</w:t>
      </w:r>
      <w:r w:rsidR="002D6A88" w:rsidRPr="002D6A88">
        <w:rPr>
          <w:vertAlign w:val="superscript"/>
        </w:rPr>
        <w:t>st</w:t>
      </w:r>
      <w:r w:rsidR="002D6A88">
        <w:t xml:space="preserve"> Applicant’s a</w:t>
      </w:r>
      <w:r w:rsidR="00FE395F">
        <w:t>ffidavit</w:t>
      </w:r>
      <w:r w:rsidR="001649D8">
        <w:t>. In the circumstances the 32</w:t>
      </w:r>
      <w:r w:rsidR="009C6574">
        <w:t xml:space="preserve"> other</w:t>
      </w:r>
      <w:r w:rsidR="001649D8">
        <w:t xml:space="preserve"> Applicant</w:t>
      </w:r>
      <w:r w:rsidR="009C6574">
        <w:t>s</w:t>
      </w:r>
      <w:r w:rsidR="001649D8">
        <w:t xml:space="preserve"> save for Applicants 26 and 28 are properly before the court.</w:t>
      </w:r>
    </w:p>
    <w:p w:rsidR="00FE2000" w:rsidRDefault="001649D8" w:rsidP="00C8286D">
      <w:pPr>
        <w:ind w:firstLine="720"/>
      </w:pPr>
      <w:r>
        <w:t>In regards Applicants 26 and 28 there</w:t>
      </w:r>
      <w:r w:rsidR="009C6574">
        <w:t xml:space="preserve"> was</w:t>
      </w:r>
      <w:r w:rsidR="00880AFC">
        <w:t xml:space="preserve"> a concession by </w:t>
      </w:r>
      <w:r w:rsidR="009C6574">
        <w:t xml:space="preserve">Mr </w:t>
      </w:r>
      <w:proofErr w:type="spellStart"/>
      <w:r w:rsidR="009C6574">
        <w:t>Matika</w:t>
      </w:r>
      <w:proofErr w:type="spellEnd"/>
      <w:r w:rsidR="00880AFC">
        <w:t xml:space="preserve"> that they did not sign the ‘declaration of mandate’. They are consequently not properly before the Court. Their names are </w:t>
      </w:r>
      <w:r w:rsidR="00DE6637">
        <w:t xml:space="preserve">accordingly </w:t>
      </w:r>
      <w:r w:rsidR="00880AFC">
        <w:t>struck out of the proceedings.</w:t>
      </w:r>
    </w:p>
    <w:p w:rsidR="00624C27" w:rsidRDefault="00FE2000" w:rsidP="00C8286D">
      <w:pPr>
        <w:ind w:firstLine="720"/>
      </w:pPr>
      <w:r>
        <w:t>The last issue raised by Respondent related to th</w:t>
      </w:r>
      <w:r w:rsidR="00DE6637">
        <w:t xml:space="preserve">e issue of </w:t>
      </w:r>
      <w:proofErr w:type="spellStart"/>
      <w:r w:rsidR="00DE6637">
        <w:t>incongrous</w:t>
      </w:r>
      <w:proofErr w:type="spellEnd"/>
      <w:r>
        <w:t xml:space="preserve"> dates i.e. </w:t>
      </w:r>
      <w:r w:rsidR="00DE6637">
        <w:t xml:space="preserve">between </w:t>
      </w:r>
      <w:r>
        <w:t>the date of signing</w:t>
      </w:r>
      <w:r w:rsidR="00DE6637">
        <w:t xml:space="preserve"> of</w:t>
      </w:r>
      <w:r>
        <w:t xml:space="preserve"> the document and the date of commissioning of the document. That issue was adequately addressed by Mr </w:t>
      </w:r>
      <w:proofErr w:type="spellStart"/>
      <w:r>
        <w:t>Matika</w:t>
      </w:r>
      <w:proofErr w:type="spellEnd"/>
      <w:r>
        <w:t xml:space="preserve">. There was clearly a mix-up of the papers in the record of proceedings. Although there was no proper application made by Mr </w:t>
      </w:r>
      <w:proofErr w:type="spellStart"/>
      <w:r>
        <w:t>Matika</w:t>
      </w:r>
      <w:proofErr w:type="spellEnd"/>
      <w:r>
        <w:t xml:space="preserve"> to amend his paper</w:t>
      </w:r>
      <w:r w:rsidR="002D6A88">
        <w:t>s</w:t>
      </w:r>
      <w:r w:rsidR="00C17815">
        <w:t xml:space="preserve"> the Court was satisfied that the issue raised could be easily corrected through a proper application for amendments. The Respondent </w:t>
      </w:r>
      <w:r w:rsidR="00624C27">
        <w:t>in any event was unable to show</w:t>
      </w:r>
      <w:r w:rsidR="00DE6637">
        <w:t xml:space="preserve"> what, if</w:t>
      </w:r>
      <w:r w:rsidR="00624C27">
        <w:t xml:space="preserve"> any</w:t>
      </w:r>
      <w:r w:rsidR="006C2013">
        <w:t>,</w:t>
      </w:r>
      <w:r w:rsidR="00624C27">
        <w:t xml:space="preserve"> </w:t>
      </w:r>
      <w:r w:rsidR="00CF5AE3">
        <w:t>prejudice it would suffer in that</w:t>
      </w:r>
      <w:r w:rsidR="00624C27">
        <w:t xml:space="preserve"> event.</w:t>
      </w:r>
    </w:p>
    <w:p w:rsidR="00624C27" w:rsidRDefault="00624C27" w:rsidP="00C8286D">
      <w:pPr>
        <w:ind w:firstLine="720"/>
      </w:pPr>
      <w:r>
        <w:t>In the circumstances the following order is made;</w:t>
      </w:r>
    </w:p>
    <w:p w:rsidR="00624C27" w:rsidRDefault="00CF5AE3" w:rsidP="00624C27">
      <w:pPr>
        <w:pStyle w:val="ListParagraph"/>
        <w:numPr>
          <w:ilvl w:val="0"/>
          <w:numId w:val="2"/>
        </w:numPr>
      </w:pPr>
      <w:r>
        <w:lastRenderedPageBreak/>
        <w:t>Respondent</w:t>
      </w:r>
      <w:r w:rsidR="00624C27">
        <w:t xml:space="preserve"> point in </w:t>
      </w:r>
      <w:proofErr w:type="spellStart"/>
      <w:r w:rsidR="00624C27">
        <w:rPr>
          <w:i/>
        </w:rPr>
        <w:t>limine</w:t>
      </w:r>
      <w:proofErr w:type="spellEnd"/>
      <w:r w:rsidR="00624C27">
        <w:rPr>
          <w:i/>
        </w:rPr>
        <w:t xml:space="preserve"> </w:t>
      </w:r>
      <w:r w:rsidR="00624C27">
        <w:t>be and is hereby dismissed</w:t>
      </w:r>
      <w:r>
        <w:t>.</w:t>
      </w:r>
      <w:r w:rsidR="00624C27">
        <w:t xml:space="preserve"> </w:t>
      </w:r>
    </w:p>
    <w:p w:rsidR="001649D8" w:rsidRPr="009071DC" w:rsidRDefault="00624C27" w:rsidP="00624C27">
      <w:pPr>
        <w:pStyle w:val="ListParagraph"/>
        <w:numPr>
          <w:ilvl w:val="0"/>
          <w:numId w:val="2"/>
        </w:numPr>
      </w:pPr>
      <w:r>
        <w:t xml:space="preserve">The Registrar is directed to reset the matter for hearing of </w:t>
      </w:r>
      <w:r w:rsidR="00F62149">
        <w:t xml:space="preserve">the application for leave to appeal against a judgement of this court. </w:t>
      </w:r>
      <w:r w:rsidR="00C17815">
        <w:t xml:space="preserve"> </w:t>
      </w:r>
      <w:r w:rsidR="00FE2000">
        <w:t xml:space="preserve">   </w:t>
      </w:r>
    </w:p>
    <w:p w:rsidR="00C337A5" w:rsidRDefault="00C337A5" w:rsidP="00474EFE">
      <w:pPr>
        <w:rPr>
          <w:b/>
        </w:rPr>
      </w:pPr>
    </w:p>
    <w:p w:rsidR="00474EFE" w:rsidRDefault="00474EFE" w:rsidP="00474EFE">
      <w:pPr>
        <w:rPr>
          <w:b/>
        </w:rPr>
      </w:pPr>
    </w:p>
    <w:p w:rsidR="00474EFE" w:rsidRDefault="00474EFE" w:rsidP="00474EFE">
      <w:pPr>
        <w:rPr>
          <w:b/>
        </w:rPr>
      </w:pPr>
    </w:p>
    <w:p w:rsidR="00474EFE" w:rsidRPr="00474EFE" w:rsidRDefault="00474EFE" w:rsidP="00474EFE">
      <w:pPr>
        <w:pStyle w:val="NoSpacing"/>
        <w:rPr>
          <w:b/>
        </w:rPr>
      </w:pPr>
      <w:r w:rsidRPr="00474EFE">
        <w:rPr>
          <w:b/>
        </w:rPr>
        <w:t>……………………………………</w:t>
      </w:r>
    </w:p>
    <w:p w:rsidR="00474EFE" w:rsidRPr="00474EFE" w:rsidRDefault="00474EFE" w:rsidP="00474EFE">
      <w:pPr>
        <w:pStyle w:val="NoSpacing"/>
        <w:rPr>
          <w:b/>
        </w:rPr>
      </w:pPr>
      <w:r w:rsidRPr="00474EFE">
        <w:rPr>
          <w:b/>
        </w:rPr>
        <w:t>CHIVIZHE J</w:t>
      </w:r>
    </w:p>
    <w:p w:rsidR="00474EFE" w:rsidRPr="00474EFE" w:rsidRDefault="00474EFE" w:rsidP="00474EFE">
      <w:pPr>
        <w:pStyle w:val="NoSpacing"/>
        <w:rPr>
          <w:b/>
        </w:rPr>
      </w:pPr>
    </w:p>
    <w:p w:rsidR="00474EFE" w:rsidRPr="00474EFE" w:rsidRDefault="00474EFE" w:rsidP="00474EFE">
      <w:pPr>
        <w:pStyle w:val="NoSpacing"/>
        <w:rPr>
          <w:b/>
        </w:rPr>
      </w:pPr>
      <w:r w:rsidRPr="00474EFE">
        <w:rPr>
          <w:b/>
        </w:rPr>
        <w:t>…………………………………… I agree</w:t>
      </w:r>
    </w:p>
    <w:p w:rsidR="00474EFE" w:rsidRPr="00474EFE" w:rsidRDefault="00474EFE" w:rsidP="00474EFE">
      <w:pPr>
        <w:pStyle w:val="NoSpacing"/>
        <w:rPr>
          <w:b/>
        </w:rPr>
      </w:pPr>
      <w:r w:rsidRPr="00474EFE">
        <w:rPr>
          <w:b/>
        </w:rPr>
        <w:t>HOVE J</w:t>
      </w:r>
    </w:p>
    <w:p w:rsidR="00474EFE" w:rsidRPr="00474EFE" w:rsidRDefault="00474EFE" w:rsidP="00474EFE">
      <w:pPr>
        <w:pStyle w:val="NoSpacing"/>
        <w:rPr>
          <w:b/>
        </w:rPr>
      </w:pPr>
    </w:p>
    <w:p w:rsidR="00474EFE" w:rsidRPr="00474EFE" w:rsidRDefault="00474EFE" w:rsidP="00474EFE">
      <w:pPr>
        <w:pStyle w:val="NoSpacing"/>
        <w:rPr>
          <w:b/>
        </w:rPr>
      </w:pPr>
      <w:r w:rsidRPr="00474EFE">
        <w:rPr>
          <w:b/>
        </w:rPr>
        <w:t>…………………………………… I agree</w:t>
      </w:r>
    </w:p>
    <w:p w:rsidR="00474EFE" w:rsidRPr="00474EFE" w:rsidRDefault="00474EFE" w:rsidP="00474EFE">
      <w:pPr>
        <w:pStyle w:val="NoSpacing"/>
        <w:rPr>
          <w:b/>
        </w:rPr>
      </w:pPr>
      <w:r w:rsidRPr="00474EFE">
        <w:rPr>
          <w:b/>
        </w:rPr>
        <w:t>MUSARIRI J</w:t>
      </w:r>
    </w:p>
    <w:p w:rsidR="00474EFE" w:rsidRPr="00474EFE" w:rsidRDefault="00474EFE" w:rsidP="00474EFE">
      <w:pPr>
        <w:rPr>
          <w:b/>
        </w:rPr>
      </w:pPr>
    </w:p>
    <w:p w:rsidR="00474EFE" w:rsidRDefault="00474EFE" w:rsidP="00474EFE">
      <w:pPr>
        <w:rPr>
          <w:i/>
        </w:rPr>
      </w:pPr>
    </w:p>
    <w:p w:rsidR="00474EFE" w:rsidRPr="00474EFE" w:rsidRDefault="00474EFE" w:rsidP="00474EFE">
      <w:r>
        <w:rPr>
          <w:i/>
        </w:rPr>
        <w:t xml:space="preserve">Messrs </w:t>
      </w:r>
      <w:proofErr w:type="spellStart"/>
      <w:r>
        <w:rPr>
          <w:i/>
        </w:rPr>
        <w:t>Munyatadzi</w:t>
      </w:r>
      <w:proofErr w:type="spellEnd"/>
      <w:r>
        <w:rPr>
          <w:i/>
        </w:rPr>
        <w:t xml:space="preserve"> </w:t>
      </w:r>
      <w:proofErr w:type="spellStart"/>
      <w:r>
        <w:rPr>
          <w:i/>
        </w:rPr>
        <w:t>Gwisai</w:t>
      </w:r>
      <w:proofErr w:type="spellEnd"/>
      <w:r>
        <w:rPr>
          <w:i/>
        </w:rPr>
        <w:t xml:space="preserve"> &amp; Partners</w:t>
      </w:r>
      <w:r>
        <w:t>, applicant’s legal practitioners</w:t>
      </w:r>
    </w:p>
    <w:p w:rsidR="00474EFE" w:rsidRPr="00474EFE" w:rsidRDefault="00474EFE" w:rsidP="00474EFE">
      <w:proofErr w:type="spellStart"/>
      <w:r w:rsidRPr="00474EFE">
        <w:rPr>
          <w:i/>
        </w:rPr>
        <w:t>Mbidzo</w:t>
      </w:r>
      <w:proofErr w:type="spellEnd"/>
      <w:r w:rsidRPr="00474EFE">
        <w:rPr>
          <w:i/>
        </w:rPr>
        <w:t xml:space="preserve">, </w:t>
      </w:r>
      <w:proofErr w:type="spellStart"/>
      <w:r w:rsidRPr="00474EFE">
        <w:rPr>
          <w:i/>
        </w:rPr>
        <w:t>Muchadehama</w:t>
      </w:r>
      <w:proofErr w:type="spellEnd"/>
      <w:r w:rsidRPr="00474EFE">
        <w:rPr>
          <w:i/>
        </w:rPr>
        <w:t xml:space="preserve"> &amp; </w:t>
      </w:r>
      <w:proofErr w:type="spellStart"/>
      <w:r w:rsidRPr="00474EFE">
        <w:rPr>
          <w:i/>
        </w:rPr>
        <w:t>Makoni</w:t>
      </w:r>
      <w:proofErr w:type="spellEnd"/>
      <w:r>
        <w:t>, respondent’s legal practitioners</w:t>
      </w:r>
    </w:p>
    <w:sectPr w:rsidR="00474EFE" w:rsidRPr="00474EFE" w:rsidSect="00BF7CA0">
      <w:headerReference w:type="default" r:id="rId9"/>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EBD" w:rsidRDefault="00051EBD" w:rsidP="00CB4435">
      <w:pPr>
        <w:spacing w:after="0" w:line="240" w:lineRule="auto"/>
      </w:pPr>
      <w:r>
        <w:separator/>
      </w:r>
    </w:p>
  </w:endnote>
  <w:endnote w:type="continuationSeparator" w:id="0">
    <w:p w:rsidR="00051EBD" w:rsidRDefault="00051EBD" w:rsidP="00CB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224057"/>
      <w:docPartObj>
        <w:docPartGallery w:val="Page Numbers (Bottom of Page)"/>
        <w:docPartUnique/>
      </w:docPartObj>
    </w:sdtPr>
    <w:sdtEndPr>
      <w:rPr>
        <w:noProof/>
      </w:rPr>
    </w:sdtEndPr>
    <w:sdtContent>
      <w:p w:rsidR="00BF7CA0" w:rsidRDefault="00BF7CA0">
        <w:pPr>
          <w:pStyle w:val="Footer"/>
          <w:jc w:val="center"/>
        </w:pPr>
        <w:r>
          <w:fldChar w:fldCharType="begin"/>
        </w:r>
        <w:r>
          <w:instrText xml:space="preserve"> PAGE   \* MERGEFORMAT </w:instrText>
        </w:r>
        <w:r>
          <w:fldChar w:fldCharType="separate"/>
        </w:r>
        <w:r w:rsidR="004B2AD8">
          <w:rPr>
            <w:noProof/>
          </w:rPr>
          <w:t>7</w:t>
        </w:r>
        <w:r>
          <w:rPr>
            <w:noProof/>
          </w:rPr>
          <w:fldChar w:fldCharType="end"/>
        </w:r>
      </w:p>
    </w:sdtContent>
  </w:sdt>
  <w:p w:rsidR="00CB4435" w:rsidRDefault="00CB4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EBD" w:rsidRDefault="00051EBD" w:rsidP="00CB4435">
      <w:pPr>
        <w:spacing w:after="0" w:line="240" w:lineRule="auto"/>
      </w:pPr>
      <w:r>
        <w:separator/>
      </w:r>
    </w:p>
  </w:footnote>
  <w:footnote w:type="continuationSeparator" w:id="0">
    <w:p w:rsidR="00051EBD" w:rsidRDefault="00051EBD" w:rsidP="00CB44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BAA" w:rsidRDefault="00495BAA">
    <w:pPr>
      <w:pStyle w:val="Header"/>
    </w:pPr>
    <w:r>
      <w:tab/>
    </w:r>
    <w:r>
      <w:tab/>
      <w:t>JUDGMENT NO. LC/H/110/2020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96CC2"/>
    <w:multiLevelType w:val="hybridMultilevel"/>
    <w:tmpl w:val="06147212"/>
    <w:lvl w:ilvl="0" w:tplc="23027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053C63"/>
    <w:multiLevelType w:val="hybridMultilevel"/>
    <w:tmpl w:val="EBA0F9B0"/>
    <w:lvl w:ilvl="0" w:tplc="81F4F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009"/>
    <w:rsid w:val="000171B6"/>
    <w:rsid w:val="00023241"/>
    <w:rsid w:val="00037437"/>
    <w:rsid w:val="00051EBD"/>
    <w:rsid w:val="000A02D2"/>
    <w:rsid w:val="000B2850"/>
    <w:rsid w:val="000B78E8"/>
    <w:rsid w:val="000C0035"/>
    <w:rsid w:val="000F06B9"/>
    <w:rsid w:val="000F2C4A"/>
    <w:rsid w:val="0011002E"/>
    <w:rsid w:val="001122AB"/>
    <w:rsid w:val="00163401"/>
    <w:rsid w:val="001649D8"/>
    <w:rsid w:val="001944B1"/>
    <w:rsid w:val="001B79E1"/>
    <w:rsid w:val="001C02D7"/>
    <w:rsid w:val="001F33C9"/>
    <w:rsid w:val="001F4643"/>
    <w:rsid w:val="00204EF2"/>
    <w:rsid w:val="00221069"/>
    <w:rsid w:val="0022177B"/>
    <w:rsid w:val="002223C6"/>
    <w:rsid w:val="002235D3"/>
    <w:rsid w:val="0023242C"/>
    <w:rsid w:val="0025111A"/>
    <w:rsid w:val="00283225"/>
    <w:rsid w:val="00295E2D"/>
    <w:rsid w:val="002A62CC"/>
    <w:rsid w:val="002D6A88"/>
    <w:rsid w:val="002E3FD2"/>
    <w:rsid w:val="00304BB7"/>
    <w:rsid w:val="00313C68"/>
    <w:rsid w:val="0032531B"/>
    <w:rsid w:val="003441AE"/>
    <w:rsid w:val="0036271A"/>
    <w:rsid w:val="00363F91"/>
    <w:rsid w:val="00380DA4"/>
    <w:rsid w:val="00380E1A"/>
    <w:rsid w:val="00392CB1"/>
    <w:rsid w:val="003C5B2C"/>
    <w:rsid w:val="003D513A"/>
    <w:rsid w:val="003F071B"/>
    <w:rsid w:val="003F31A6"/>
    <w:rsid w:val="00406D10"/>
    <w:rsid w:val="00410EB0"/>
    <w:rsid w:val="00420FB6"/>
    <w:rsid w:val="004522E4"/>
    <w:rsid w:val="004553AA"/>
    <w:rsid w:val="00455A27"/>
    <w:rsid w:val="00474EFE"/>
    <w:rsid w:val="00481424"/>
    <w:rsid w:val="00495BAA"/>
    <w:rsid w:val="004A3DA1"/>
    <w:rsid w:val="004B2AD8"/>
    <w:rsid w:val="004C05FC"/>
    <w:rsid w:val="00533D97"/>
    <w:rsid w:val="00540907"/>
    <w:rsid w:val="00545E9B"/>
    <w:rsid w:val="00572792"/>
    <w:rsid w:val="00584B10"/>
    <w:rsid w:val="00590B21"/>
    <w:rsid w:val="005B4D9D"/>
    <w:rsid w:val="005D0537"/>
    <w:rsid w:val="005F7004"/>
    <w:rsid w:val="00601EF5"/>
    <w:rsid w:val="0060350E"/>
    <w:rsid w:val="006163AE"/>
    <w:rsid w:val="00624C27"/>
    <w:rsid w:val="00661AA6"/>
    <w:rsid w:val="00670CEB"/>
    <w:rsid w:val="006C2013"/>
    <w:rsid w:val="006F3AA4"/>
    <w:rsid w:val="00730F64"/>
    <w:rsid w:val="007320F2"/>
    <w:rsid w:val="00734EC4"/>
    <w:rsid w:val="0074011A"/>
    <w:rsid w:val="00756976"/>
    <w:rsid w:val="00757E8D"/>
    <w:rsid w:val="007D3CFB"/>
    <w:rsid w:val="007F3D2D"/>
    <w:rsid w:val="008160B3"/>
    <w:rsid w:val="008227FC"/>
    <w:rsid w:val="00835A6E"/>
    <w:rsid w:val="00880AFC"/>
    <w:rsid w:val="0088712A"/>
    <w:rsid w:val="008942FA"/>
    <w:rsid w:val="008A58FB"/>
    <w:rsid w:val="008B3403"/>
    <w:rsid w:val="008D2DDB"/>
    <w:rsid w:val="00903C32"/>
    <w:rsid w:val="009071DC"/>
    <w:rsid w:val="009275EB"/>
    <w:rsid w:val="00934B83"/>
    <w:rsid w:val="00971AFC"/>
    <w:rsid w:val="00980D63"/>
    <w:rsid w:val="00984CBE"/>
    <w:rsid w:val="009863F5"/>
    <w:rsid w:val="009A4368"/>
    <w:rsid w:val="009C6574"/>
    <w:rsid w:val="009E06F0"/>
    <w:rsid w:val="009F2F16"/>
    <w:rsid w:val="00A2457A"/>
    <w:rsid w:val="00A2709B"/>
    <w:rsid w:val="00A3281C"/>
    <w:rsid w:val="00A3781D"/>
    <w:rsid w:val="00A640F5"/>
    <w:rsid w:val="00A6496C"/>
    <w:rsid w:val="00A90F97"/>
    <w:rsid w:val="00AA7474"/>
    <w:rsid w:val="00AC7404"/>
    <w:rsid w:val="00AF0D36"/>
    <w:rsid w:val="00B5119D"/>
    <w:rsid w:val="00B75578"/>
    <w:rsid w:val="00BA13B7"/>
    <w:rsid w:val="00BA264F"/>
    <w:rsid w:val="00BA6F69"/>
    <w:rsid w:val="00BB3CDA"/>
    <w:rsid w:val="00BE6663"/>
    <w:rsid w:val="00BF5BF2"/>
    <w:rsid w:val="00BF7CA0"/>
    <w:rsid w:val="00C07D12"/>
    <w:rsid w:val="00C10B7D"/>
    <w:rsid w:val="00C17815"/>
    <w:rsid w:val="00C20B15"/>
    <w:rsid w:val="00C3296B"/>
    <w:rsid w:val="00C337A5"/>
    <w:rsid w:val="00C8286D"/>
    <w:rsid w:val="00C94C6F"/>
    <w:rsid w:val="00CB4435"/>
    <w:rsid w:val="00CB7C0A"/>
    <w:rsid w:val="00CC4838"/>
    <w:rsid w:val="00CF0E14"/>
    <w:rsid w:val="00CF5AE3"/>
    <w:rsid w:val="00CF6401"/>
    <w:rsid w:val="00D04C22"/>
    <w:rsid w:val="00D215E8"/>
    <w:rsid w:val="00D26009"/>
    <w:rsid w:val="00D30B30"/>
    <w:rsid w:val="00D57905"/>
    <w:rsid w:val="00D65421"/>
    <w:rsid w:val="00D6638E"/>
    <w:rsid w:val="00D6788C"/>
    <w:rsid w:val="00D70E87"/>
    <w:rsid w:val="00DC37B7"/>
    <w:rsid w:val="00DC7649"/>
    <w:rsid w:val="00DC7A6E"/>
    <w:rsid w:val="00DE6637"/>
    <w:rsid w:val="00DF4082"/>
    <w:rsid w:val="00E01033"/>
    <w:rsid w:val="00E04F44"/>
    <w:rsid w:val="00E16CB5"/>
    <w:rsid w:val="00E4306E"/>
    <w:rsid w:val="00E479A9"/>
    <w:rsid w:val="00E518B1"/>
    <w:rsid w:val="00E57CDD"/>
    <w:rsid w:val="00E90E82"/>
    <w:rsid w:val="00E9115F"/>
    <w:rsid w:val="00F12D64"/>
    <w:rsid w:val="00F14D59"/>
    <w:rsid w:val="00F32285"/>
    <w:rsid w:val="00F34697"/>
    <w:rsid w:val="00F43E31"/>
    <w:rsid w:val="00F54B12"/>
    <w:rsid w:val="00F61EBC"/>
    <w:rsid w:val="00F62149"/>
    <w:rsid w:val="00F67E31"/>
    <w:rsid w:val="00F7427E"/>
    <w:rsid w:val="00F82722"/>
    <w:rsid w:val="00F91D81"/>
    <w:rsid w:val="00FC57C3"/>
    <w:rsid w:val="00FD1290"/>
    <w:rsid w:val="00FE2000"/>
    <w:rsid w:val="00FE395F"/>
    <w:rsid w:val="00FF0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7B7"/>
    <w:pPr>
      <w:spacing w:line="360" w:lineRule="auto"/>
      <w:jc w:val="both"/>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435"/>
  </w:style>
  <w:style w:type="paragraph" w:styleId="Footer">
    <w:name w:val="footer"/>
    <w:basedOn w:val="Normal"/>
    <w:link w:val="FooterChar"/>
    <w:uiPriority w:val="99"/>
    <w:unhideWhenUsed/>
    <w:rsid w:val="00CB4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435"/>
  </w:style>
  <w:style w:type="paragraph" w:styleId="BalloonText">
    <w:name w:val="Balloon Text"/>
    <w:basedOn w:val="Normal"/>
    <w:link w:val="BalloonTextChar"/>
    <w:uiPriority w:val="99"/>
    <w:semiHidden/>
    <w:unhideWhenUsed/>
    <w:rsid w:val="00CB4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435"/>
    <w:rPr>
      <w:rFonts w:ascii="Segoe UI" w:hAnsi="Segoe UI" w:cs="Segoe UI"/>
      <w:sz w:val="18"/>
      <w:szCs w:val="18"/>
    </w:rPr>
  </w:style>
  <w:style w:type="paragraph" w:customStyle="1" w:styleId="Default">
    <w:name w:val="Default"/>
    <w:rsid w:val="0060350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8942FA"/>
    <w:pPr>
      <w:ind w:left="720"/>
      <w:contextualSpacing/>
    </w:pPr>
  </w:style>
  <w:style w:type="paragraph" w:styleId="NoSpacing">
    <w:name w:val="No Spacing"/>
    <w:uiPriority w:val="1"/>
    <w:qFormat/>
    <w:rsid w:val="00474EFE"/>
    <w:pPr>
      <w:spacing w:after="0" w:line="240" w:lineRule="auto"/>
      <w:jc w:val="both"/>
    </w:pPr>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7B7"/>
    <w:pPr>
      <w:spacing w:line="360" w:lineRule="auto"/>
      <w:jc w:val="both"/>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435"/>
  </w:style>
  <w:style w:type="paragraph" w:styleId="Footer">
    <w:name w:val="footer"/>
    <w:basedOn w:val="Normal"/>
    <w:link w:val="FooterChar"/>
    <w:uiPriority w:val="99"/>
    <w:unhideWhenUsed/>
    <w:rsid w:val="00CB4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435"/>
  </w:style>
  <w:style w:type="paragraph" w:styleId="BalloonText">
    <w:name w:val="Balloon Text"/>
    <w:basedOn w:val="Normal"/>
    <w:link w:val="BalloonTextChar"/>
    <w:uiPriority w:val="99"/>
    <w:semiHidden/>
    <w:unhideWhenUsed/>
    <w:rsid w:val="00CB4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435"/>
    <w:rPr>
      <w:rFonts w:ascii="Segoe UI" w:hAnsi="Segoe UI" w:cs="Segoe UI"/>
      <w:sz w:val="18"/>
      <w:szCs w:val="18"/>
    </w:rPr>
  </w:style>
  <w:style w:type="paragraph" w:customStyle="1" w:styleId="Default">
    <w:name w:val="Default"/>
    <w:rsid w:val="0060350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8942FA"/>
    <w:pPr>
      <w:ind w:left="720"/>
      <w:contextualSpacing/>
    </w:pPr>
  </w:style>
  <w:style w:type="paragraph" w:styleId="NoSpacing">
    <w:name w:val="No Spacing"/>
    <w:uiPriority w:val="1"/>
    <w:qFormat/>
    <w:rsid w:val="00474EFE"/>
    <w:pPr>
      <w:spacing w:after="0" w:line="240" w:lineRule="auto"/>
      <w:jc w:val="both"/>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BDB6A69-4B96-4082-871F-3EDE2964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library</cp:lastModifiedBy>
  <cp:revision>19</cp:revision>
  <cp:lastPrinted>2020-05-28T10:51:00Z</cp:lastPrinted>
  <dcterms:created xsi:type="dcterms:W3CDTF">2020-03-09T09:17:00Z</dcterms:created>
  <dcterms:modified xsi:type="dcterms:W3CDTF">2020-05-28T10:52:00Z</dcterms:modified>
</cp:coreProperties>
</file>