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EB" w:rsidRPr="00C6752E" w:rsidRDefault="00BF25EB" w:rsidP="00BF25EB">
      <w:pPr>
        <w:spacing w:line="360" w:lineRule="auto"/>
        <w:jc w:val="both"/>
        <w:rPr>
          <w:b/>
        </w:rPr>
      </w:pPr>
      <w:r w:rsidRPr="00C6752E">
        <w:rPr>
          <w:b/>
        </w:rPr>
        <w:t>IN TH</w:t>
      </w:r>
      <w:r>
        <w:rPr>
          <w:b/>
        </w:rPr>
        <w:t>E LABOUR COURT OF ZIMBABWE</w:t>
      </w:r>
      <w:r>
        <w:rPr>
          <w:b/>
        </w:rPr>
        <w:tab/>
        <w:t xml:space="preserve"> JUDGMENT NO. LC/H/</w:t>
      </w:r>
      <w:r w:rsidR="006A1EDC">
        <w:rPr>
          <w:b/>
        </w:rPr>
        <w:t>334</w:t>
      </w:r>
      <w:r>
        <w:rPr>
          <w:b/>
        </w:rPr>
        <w:t>/2016</w:t>
      </w:r>
    </w:p>
    <w:p w:rsidR="00BF25EB" w:rsidRDefault="00BF25EB" w:rsidP="00BF25EB">
      <w:pPr>
        <w:spacing w:line="360" w:lineRule="auto"/>
        <w:jc w:val="both"/>
        <w:rPr>
          <w:b/>
        </w:rPr>
      </w:pPr>
      <w:r>
        <w:rPr>
          <w:b/>
        </w:rPr>
        <w:t>HARARE, 17 MARCH 2016</w:t>
      </w:r>
      <w:r w:rsidR="00515712">
        <w:rPr>
          <w:b/>
        </w:rPr>
        <w:tab/>
      </w:r>
      <w:r>
        <w:rPr>
          <w:b/>
        </w:rPr>
        <w:tab/>
      </w:r>
      <w:r>
        <w:rPr>
          <w:b/>
        </w:rPr>
        <w:tab/>
      </w:r>
      <w:r>
        <w:rPr>
          <w:b/>
        </w:rPr>
        <w:tab/>
        <w:t xml:space="preserve">  </w:t>
      </w:r>
      <w:r w:rsidR="00515712">
        <w:rPr>
          <w:b/>
        </w:rPr>
        <w:t xml:space="preserve">   </w:t>
      </w:r>
      <w:r w:rsidRPr="00C6752E">
        <w:rPr>
          <w:b/>
        </w:rPr>
        <w:t>CASE NO. LC/</w:t>
      </w:r>
      <w:r>
        <w:rPr>
          <w:b/>
        </w:rPr>
        <w:t>H/</w:t>
      </w:r>
      <w:r w:rsidR="00515712">
        <w:rPr>
          <w:b/>
        </w:rPr>
        <w:t>04/16</w:t>
      </w:r>
    </w:p>
    <w:p w:rsidR="00BF25EB" w:rsidRDefault="00BF25EB" w:rsidP="00BF25EB">
      <w:pPr>
        <w:spacing w:line="360" w:lineRule="auto"/>
        <w:jc w:val="both"/>
        <w:rPr>
          <w:b/>
        </w:rPr>
      </w:pPr>
      <w:r>
        <w:rPr>
          <w:b/>
        </w:rPr>
        <w:t xml:space="preserve">AND </w:t>
      </w:r>
      <w:r w:rsidR="006A1EDC">
        <w:rPr>
          <w:b/>
        </w:rPr>
        <w:t>27 MAY</w:t>
      </w:r>
      <w:bookmarkStart w:id="0" w:name="_GoBack"/>
      <w:bookmarkEnd w:id="0"/>
      <w:r>
        <w:rPr>
          <w:b/>
        </w:rPr>
        <w:t xml:space="preserve"> 2016</w:t>
      </w:r>
    </w:p>
    <w:p w:rsidR="00BF25EB" w:rsidRDefault="00BF25EB" w:rsidP="00BF25EB">
      <w:pPr>
        <w:spacing w:line="360" w:lineRule="auto"/>
        <w:jc w:val="both"/>
      </w:pPr>
      <w:r w:rsidRPr="00C6752E">
        <w:t>In the matter between:-</w:t>
      </w:r>
    </w:p>
    <w:p w:rsidR="00BF25EB" w:rsidRPr="00C6752E" w:rsidRDefault="00BF25EB" w:rsidP="00BF25EB">
      <w:pPr>
        <w:jc w:val="both"/>
      </w:pPr>
    </w:p>
    <w:p w:rsidR="00BF25EB" w:rsidRDefault="00515712" w:rsidP="00BF25EB">
      <w:pPr>
        <w:jc w:val="both"/>
        <w:outlineLvl w:val="0"/>
        <w:rPr>
          <w:b/>
        </w:rPr>
      </w:pPr>
      <w:r>
        <w:rPr>
          <w:b/>
        </w:rPr>
        <w:t>LLOYD MARECHERA</w:t>
      </w:r>
      <w:r>
        <w:rPr>
          <w:b/>
        </w:rPr>
        <w:tab/>
      </w:r>
      <w:r>
        <w:rPr>
          <w:b/>
        </w:rPr>
        <w:tab/>
      </w:r>
      <w:r>
        <w:rPr>
          <w:b/>
        </w:rPr>
        <w:tab/>
      </w:r>
      <w:r w:rsidR="00BF25EB">
        <w:rPr>
          <w:b/>
        </w:rPr>
        <w:tab/>
      </w:r>
      <w:r w:rsidR="00BF25EB">
        <w:rPr>
          <w:b/>
        </w:rPr>
        <w:tab/>
        <w:t xml:space="preserve"> </w:t>
      </w:r>
      <w:r w:rsidR="00BF25EB">
        <w:rPr>
          <w:b/>
        </w:rPr>
        <w:tab/>
      </w:r>
      <w:r w:rsidR="00BF25EB">
        <w:rPr>
          <w:b/>
        </w:rPr>
        <w:tab/>
        <w:t>Appellant</w:t>
      </w:r>
    </w:p>
    <w:p w:rsidR="00BF25EB" w:rsidRDefault="00BF25EB" w:rsidP="00BF25EB">
      <w:pPr>
        <w:jc w:val="both"/>
        <w:outlineLvl w:val="0"/>
        <w:rPr>
          <w:b/>
        </w:rPr>
      </w:pPr>
    </w:p>
    <w:p w:rsidR="00BF25EB" w:rsidRDefault="00BF25EB" w:rsidP="00BF25EB">
      <w:pPr>
        <w:jc w:val="both"/>
        <w:outlineLvl w:val="0"/>
      </w:pPr>
      <w:r w:rsidRPr="00C6752E">
        <w:t>And</w:t>
      </w:r>
    </w:p>
    <w:p w:rsidR="00BF25EB" w:rsidRPr="00C6752E" w:rsidRDefault="00BF25EB" w:rsidP="00BF25EB">
      <w:pPr>
        <w:jc w:val="both"/>
        <w:outlineLvl w:val="0"/>
      </w:pPr>
    </w:p>
    <w:p w:rsidR="00BF25EB" w:rsidRDefault="00515712" w:rsidP="00BF25EB">
      <w:pPr>
        <w:jc w:val="both"/>
        <w:rPr>
          <w:b/>
        </w:rPr>
      </w:pPr>
      <w:r>
        <w:rPr>
          <w:b/>
        </w:rPr>
        <w:t>NATIONAL SOCIAL SECURITY AUTHORITY</w:t>
      </w:r>
      <w:r w:rsidR="00BF25EB">
        <w:rPr>
          <w:b/>
        </w:rPr>
        <w:tab/>
      </w:r>
      <w:r w:rsidR="00BF25EB">
        <w:rPr>
          <w:b/>
        </w:rPr>
        <w:tab/>
      </w:r>
      <w:r w:rsidR="00BF25EB">
        <w:rPr>
          <w:b/>
        </w:rPr>
        <w:tab/>
        <w:t>Respondent</w:t>
      </w:r>
    </w:p>
    <w:p w:rsidR="00BF25EB" w:rsidRDefault="00BF25EB" w:rsidP="00BF25EB">
      <w:pPr>
        <w:jc w:val="both"/>
        <w:rPr>
          <w:b/>
        </w:rPr>
      </w:pPr>
    </w:p>
    <w:p w:rsidR="00BF25EB" w:rsidRPr="00C6752E" w:rsidRDefault="00BF25EB" w:rsidP="00BF25EB">
      <w:pPr>
        <w:jc w:val="both"/>
        <w:rPr>
          <w:b/>
        </w:rPr>
      </w:pPr>
    </w:p>
    <w:p w:rsidR="00BF25EB" w:rsidRDefault="00BF25EB" w:rsidP="00BF25EB">
      <w:pPr>
        <w:jc w:val="both"/>
        <w:outlineLvl w:val="0"/>
      </w:pPr>
      <w:r w:rsidRPr="00C6752E">
        <w:t>Before Honourable</w:t>
      </w:r>
      <w:r>
        <w:t xml:space="preserve"> B.S.</w:t>
      </w:r>
      <w:r w:rsidRPr="00C6752E">
        <w:t xml:space="preserve"> </w:t>
      </w:r>
      <w:r>
        <w:t>Chidziva, Judge</w:t>
      </w:r>
    </w:p>
    <w:p w:rsidR="00BF25EB" w:rsidRDefault="00BF25EB" w:rsidP="00BF25EB">
      <w:pPr>
        <w:jc w:val="both"/>
      </w:pPr>
    </w:p>
    <w:p w:rsidR="00BF25EB" w:rsidRPr="00DC0454" w:rsidRDefault="00BF25EB" w:rsidP="00BF25EB">
      <w:pPr>
        <w:jc w:val="both"/>
      </w:pPr>
      <w:r>
        <w:tab/>
      </w:r>
      <w:r>
        <w:tab/>
      </w:r>
      <w:r>
        <w:tab/>
        <w:t xml:space="preserve"> </w:t>
      </w:r>
      <w:r w:rsidRPr="00C6752E">
        <w:rPr>
          <w:b/>
        </w:rPr>
        <w:tab/>
      </w:r>
      <w:r w:rsidRPr="00C6752E">
        <w:rPr>
          <w:b/>
        </w:rPr>
        <w:tab/>
      </w:r>
    </w:p>
    <w:p w:rsidR="00BF25EB" w:rsidRDefault="00BF25EB" w:rsidP="00BF25EB">
      <w:pPr>
        <w:spacing w:line="360" w:lineRule="auto"/>
        <w:jc w:val="both"/>
        <w:rPr>
          <w:b/>
        </w:rPr>
      </w:pPr>
      <w:r>
        <w:rPr>
          <w:b/>
        </w:rPr>
        <w:t>For Appellant</w:t>
      </w:r>
      <w:r>
        <w:rPr>
          <w:b/>
        </w:rPr>
        <w:tab/>
      </w:r>
      <w:r>
        <w:rPr>
          <w:b/>
        </w:rPr>
        <w:tab/>
        <w:t xml:space="preserve">Mr </w:t>
      </w:r>
      <w:r w:rsidR="00351C34">
        <w:rPr>
          <w:b/>
        </w:rPr>
        <w:t>C. Mavhondo</w:t>
      </w:r>
      <w:r>
        <w:rPr>
          <w:b/>
        </w:rPr>
        <w:t xml:space="preserve"> (Legal Practitioner)</w:t>
      </w:r>
    </w:p>
    <w:p w:rsidR="00BF25EB" w:rsidRDefault="00BF25EB" w:rsidP="00BF25EB">
      <w:pPr>
        <w:spacing w:line="360" w:lineRule="auto"/>
        <w:ind w:left="720" w:hanging="720"/>
        <w:jc w:val="both"/>
        <w:rPr>
          <w:b/>
        </w:rPr>
      </w:pPr>
      <w:r>
        <w:rPr>
          <w:b/>
        </w:rPr>
        <w:t>For Respondent</w:t>
      </w:r>
      <w:r>
        <w:rPr>
          <w:b/>
        </w:rPr>
        <w:tab/>
      </w:r>
      <w:r>
        <w:rPr>
          <w:b/>
        </w:rPr>
        <w:tab/>
        <w:t xml:space="preserve">Mr </w:t>
      </w:r>
      <w:r w:rsidR="00351C34">
        <w:rPr>
          <w:b/>
        </w:rPr>
        <w:t>S. Bhebhe</w:t>
      </w:r>
      <w:r>
        <w:rPr>
          <w:b/>
        </w:rPr>
        <w:t xml:space="preserve"> (Legal Practitioner)</w:t>
      </w:r>
    </w:p>
    <w:p w:rsidR="00BF25EB" w:rsidRDefault="00BF25EB" w:rsidP="00BF25EB">
      <w:pPr>
        <w:jc w:val="both"/>
        <w:rPr>
          <w:b/>
        </w:rPr>
      </w:pPr>
    </w:p>
    <w:p w:rsidR="00BF25EB" w:rsidRDefault="00BF25EB" w:rsidP="00BF25EB">
      <w:pPr>
        <w:jc w:val="both"/>
        <w:outlineLvl w:val="0"/>
        <w:rPr>
          <w:b/>
        </w:rPr>
      </w:pPr>
      <w:r>
        <w:rPr>
          <w:b/>
        </w:rPr>
        <w:t>CHIDZIVA, J:</w:t>
      </w:r>
    </w:p>
    <w:p w:rsidR="00BF25EB" w:rsidRDefault="00BF25EB" w:rsidP="00BF25EB">
      <w:pPr>
        <w:spacing w:line="360" w:lineRule="auto"/>
        <w:jc w:val="both"/>
      </w:pPr>
    </w:p>
    <w:p w:rsidR="00F03DFC" w:rsidRDefault="00F03DFC" w:rsidP="003C2F7A">
      <w:pPr>
        <w:jc w:val="both"/>
      </w:pPr>
    </w:p>
    <w:p w:rsidR="0053056E" w:rsidRDefault="0053056E" w:rsidP="000939C2">
      <w:pPr>
        <w:spacing w:line="360" w:lineRule="auto"/>
        <w:ind w:firstLine="720"/>
        <w:jc w:val="both"/>
      </w:pPr>
      <w:r>
        <w:t xml:space="preserve">This is an appeal against the decision of the Disciplinary Appeals Committee that upheld the decision of the </w:t>
      </w:r>
      <w:r w:rsidR="00F961BC">
        <w:t>Disciplinary Committee to dismiss the Appellant from employment after</w:t>
      </w:r>
      <w:r w:rsidR="00236181">
        <w:t xml:space="preserve"> committing a number of misconducts.</w:t>
      </w:r>
    </w:p>
    <w:p w:rsidR="000939C2" w:rsidRDefault="000939C2" w:rsidP="003C2F7A">
      <w:pPr>
        <w:ind w:firstLine="720"/>
        <w:jc w:val="both"/>
      </w:pPr>
    </w:p>
    <w:p w:rsidR="000939C2" w:rsidRDefault="000939C2" w:rsidP="000939C2">
      <w:pPr>
        <w:spacing w:line="360" w:lineRule="auto"/>
        <w:ind w:firstLine="720"/>
        <w:jc w:val="both"/>
      </w:pPr>
      <w:r>
        <w:t>The background of this matter is that,</w:t>
      </w:r>
    </w:p>
    <w:p w:rsidR="000939C2" w:rsidRDefault="000939C2" w:rsidP="000939C2">
      <w:pPr>
        <w:pStyle w:val="ListParagraph"/>
        <w:numPr>
          <w:ilvl w:val="0"/>
          <w:numId w:val="1"/>
        </w:numPr>
        <w:spacing w:line="360" w:lineRule="auto"/>
        <w:jc w:val="both"/>
      </w:pPr>
      <w:r>
        <w:t>Appellant was employed by the Respondent for 11 years.</w:t>
      </w:r>
    </w:p>
    <w:p w:rsidR="000939C2" w:rsidRDefault="000939C2" w:rsidP="000939C2">
      <w:pPr>
        <w:pStyle w:val="ListParagraph"/>
        <w:numPr>
          <w:ilvl w:val="0"/>
          <w:numId w:val="1"/>
        </w:numPr>
        <w:spacing w:line="360" w:lineRule="auto"/>
        <w:jc w:val="both"/>
      </w:pPr>
      <w:r>
        <w:t>Appellant was a clerk responsible for filing and opening new files.  He could also be sent to stores to collect stationery.</w:t>
      </w:r>
    </w:p>
    <w:p w:rsidR="000939C2" w:rsidRDefault="004872E7" w:rsidP="000939C2">
      <w:pPr>
        <w:pStyle w:val="ListParagraph"/>
        <w:numPr>
          <w:ilvl w:val="0"/>
          <w:numId w:val="1"/>
        </w:numPr>
        <w:spacing w:line="360" w:lineRule="auto"/>
        <w:jc w:val="both"/>
      </w:pPr>
      <w:r>
        <w:t>Appellant</w:t>
      </w:r>
      <w:r w:rsidR="000939C2">
        <w:t xml:space="preserve"> was charged with </w:t>
      </w:r>
      <w:r w:rsidR="0069500B">
        <w:t xml:space="preserve">fraud and theft in that </w:t>
      </w:r>
    </w:p>
    <w:p w:rsidR="0069500B" w:rsidRDefault="00894121" w:rsidP="00894121">
      <w:pPr>
        <w:pStyle w:val="ListParagraph"/>
        <w:numPr>
          <w:ilvl w:val="0"/>
          <w:numId w:val="2"/>
        </w:numPr>
        <w:spacing w:line="360" w:lineRule="auto"/>
        <w:jc w:val="both"/>
      </w:pPr>
      <w:r>
        <w:t>On 30/4/15 he collect 1</w:t>
      </w:r>
      <w:r w:rsidR="00B81B67">
        <w:t xml:space="preserve"> x 05A t</w:t>
      </w:r>
      <w:r w:rsidR="00FA098D">
        <w:t>onner purportedly for compliance</w:t>
      </w:r>
      <w:r w:rsidR="00FC1F89">
        <w:t>.</w:t>
      </w:r>
    </w:p>
    <w:p w:rsidR="00FC1F89" w:rsidRDefault="00FC1F89" w:rsidP="00894121">
      <w:pPr>
        <w:pStyle w:val="ListParagraph"/>
        <w:numPr>
          <w:ilvl w:val="0"/>
          <w:numId w:val="2"/>
        </w:numPr>
        <w:spacing w:line="360" w:lineRule="auto"/>
        <w:jc w:val="both"/>
      </w:pPr>
      <w:r>
        <w:t xml:space="preserve">15/5/2015 he collected 1 x 05A </w:t>
      </w:r>
      <w:r w:rsidR="00B81B67">
        <w:t>tonner purportedly co Compliance.  Compliance however does not have a printer that uses 05A tonner.</w:t>
      </w:r>
    </w:p>
    <w:p w:rsidR="00B81B67" w:rsidRDefault="00B81B67" w:rsidP="00894121">
      <w:pPr>
        <w:pStyle w:val="ListParagraph"/>
        <w:numPr>
          <w:ilvl w:val="0"/>
          <w:numId w:val="2"/>
        </w:numPr>
        <w:spacing w:line="360" w:lineRule="auto"/>
        <w:jc w:val="both"/>
      </w:pPr>
      <w:r>
        <w:t>12/6/2015 he collected 2 x 05A tonner</w:t>
      </w:r>
      <w:r w:rsidR="00D204A7">
        <w:t>s purportedly for NPS Registry.</w:t>
      </w:r>
    </w:p>
    <w:p w:rsidR="00D204A7" w:rsidRDefault="00D204A7" w:rsidP="00894121">
      <w:pPr>
        <w:pStyle w:val="ListParagraph"/>
        <w:numPr>
          <w:ilvl w:val="0"/>
          <w:numId w:val="2"/>
        </w:numPr>
        <w:spacing w:line="360" w:lineRule="auto"/>
        <w:jc w:val="both"/>
      </w:pPr>
      <w:r>
        <w:t xml:space="preserve">3/7/2015 he also collected 2 x 55A </w:t>
      </w:r>
      <w:r w:rsidR="005A2D1C">
        <w:t>tonners</w:t>
      </w:r>
      <w:r>
        <w:t xml:space="preserve"> </w:t>
      </w:r>
      <w:r w:rsidR="00910E6D">
        <w:t>of</w:t>
      </w:r>
      <w:r w:rsidR="005A2D1C">
        <w:t xml:space="preserve"> NPS Registry.  This department does not have a printer that uses that tonner.</w:t>
      </w:r>
    </w:p>
    <w:p w:rsidR="005A2D1C" w:rsidRDefault="00503DFD" w:rsidP="00894121">
      <w:pPr>
        <w:pStyle w:val="ListParagraph"/>
        <w:numPr>
          <w:ilvl w:val="0"/>
          <w:numId w:val="2"/>
        </w:numPr>
        <w:spacing w:line="360" w:lineRule="auto"/>
        <w:jc w:val="both"/>
      </w:pPr>
      <w:r>
        <w:lastRenderedPageBreak/>
        <w:t>16/7/2015 Appellant made an attempt to make a requisition of 2x 05A tonners but this was cancelled before Appellant had taken the tonners.  This is the incident that alerted the</w:t>
      </w:r>
      <w:r w:rsidR="0044716E">
        <w:t xml:space="preserve"> employer which led to investigation that unearthed all the other incidences.</w:t>
      </w:r>
    </w:p>
    <w:p w:rsidR="00203E36" w:rsidRDefault="00203E36" w:rsidP="003C2F7A">
      <w:pPr>
        <w:jc w:val="both"/>
      </w:pPr>
    </w:p>
    <w:p w:rsidR="00203E36" w:rsidRDefault="000A1565" w:rsidP="000A1565">
      <w:pPr>
        <w:spacing w:line="360" w:lineRule="auto"/>
        <w:ind w:left="360" w:firstLine="720"/>
        <w:jc w:val="both"/>
      </w:pPr>
      <w:r>
        <w:t>The grounds of appeal before this court are that,</w:t>
      </w:r>
    </w:p>
    <w:p w:rsidR="000A1565" w:rsidRDefault="000A1565" w:rsidP="003C2F7A">
      <w:pPr>
        <w:ind w:left="360" w:firstLine="720"/>
        <w:jc w:val="both"/>
      </w:pPr>
    </w:p>
    <w:p w:rsidR="000A1565" w:rsidRDefault="000A1565" w:rsidP="000A1565">
      <w:pPr>
        <w:pStyle w:val="ListParagraph"/>
        <w:numPr>
          <w:ilvl w:val="0"/>
          <w:numId w:val="4"/>
        </w:numPr>
        <w:spacing w:line="360" w:lineRule="auto"/>
        <w:jc w:val="both"/>
      </w:pPr>
      <w:r>
        <w:t xml:space="preserve">The </w:t>
      </w:r>
      <w:r w:rsidR="009D014B">
        <w:t>A</w:t>
      </w:r>
      <w:r>
        <w:t xml:space="preserve">ppeals </w:t>
      </w:r>
      <w:r w:rsidR="009D014B">
        <w:t>C</w:t>
      </w:r>
      <w:r>
        <w:t>ommittee erred on a point of law by</w:t>
      </w:r>
      <w:r w:rsidR="007919D2">
        <w:t xml:space="preserve"> finding that the Appellant had not demonstrated any prejudice yet </w:t>
      </w:r>
      <w:r w:rsidR="00C64C33">
        <w:t>i</w:t>
      </w:r>
      <w:r w:rsidR="007919D2">
        <w:t>t was mandatory in terms of the applicable Code that the decision in question</w:t>
      </w:r>
      <w:r w:rsidR="009D014B">
        <w:t xml:space="preserve"> be communicated within three days.  The Appellant was clearly prejudiced by the delay.</w:t>
      </w:r>
    </w:p>
    <w:p w:rsidR="000D48C3" w:rsidRDefault="009D014B" w:rsidP="000A1565">
      <w:pPr>
        <w:pStyle w:val="ListParagraph"/>
        <w:numPr>
          <w:ilvl w:val="0"/>
          <w:numId w:val="4"/>
        </w:numPr>
        <w:spacing w:line="360" w:lineRule="auto"/>
        <w:jc w:val="both"/>
      </w:pPr>
      <w:r>
        <w:t xml:space="preserve">The Appeals </w:t>
      </w:r>
      <w:r w:rsidR="00760335">
        <w:t xml:space="preserve">Committee </w:t>
      </w:r>
      <w:r w:rsidR="00CE2D87">
        <w:t>g</w:t>
      </w:r>
      <w:r w:rsidR="00760335">
        <w:t xml:space="preserve">rossly misdirected itself on the facts as to amount to gross </w:t>
      </w:r>
      <w:r w:rsidR="00CE2D87">
        <w:t>misdirection</w:t>
      </w:r>
      <w:r w:rsidR="00760335">
        <w:t xml:space="preserve"> on law when it found that the</w:t>
      </w:r>
      <w:r w:rsidR="002664A3">
        <w:t xml:space="preserve"> Appellant did not argue that the witnesses called were not </w:t>
      </w:r>
      <w:r w:rsidR="000D48C3">
        <w:t>credible</w:t>
      </w:r>
      <w:r w:rsidR="002664A3">
        <w:t>, yet the Appellant clearly challenged the credibility of the witne</w:t>
      </w:r>
      <w:r w:rsidR="000D48C3">
        <w:t>sses called.</w:t>
      </w:r>
    </w:p>
    <w:p w:rsidR="00E63864" w:rsidRDefault="000D48C3" w:rsidP="000A1565">
      <w:pPr>
        <w:pStyle w:val="ListParagraph"/>
        <w:numPr>
          <w:ilvl w:val="0"/>
          <w:numId w:val="4"/>
        </w:numPr>
        <w:spacing w:line="360" w:lineRule="auto"/>
        <w:jc w:val="both"/>
      </w:pPr>
      <w:r>
        <w:t>The Appeals Committee grossly misdirected itself on the facts when it dismissed the Appellant’s grounds</w:t>
      </w:r>
      <w:r w:rsidR="00E63864">
        <w:t xml:space="preserve"> of appeal 3 and 4 in a manner that clearly shows lack of appreciation of the facts surrounding the Appellant’s defence to the charges.</w:t>
      </w:r>
    </w:p>
    <w:p w:rsidR="00EF0674" w:rsidRDefault="00CE7672" w:rsidP="000A1565">
      <w:pPr>
        <w:pStyle w:val="ListParagraph"/>
        <w:numPr>
          <w:ilvl w:val="0"/>
          <w:numId w:val="4"/>
        </w:numPr>
        <w:spacing w:line="360" w:lineRule="auto"/>
        <w:jc w:val="both"/>
      </w:pPr>
      <w:r>
        <w:t xml:space="preserve">The Appeals Committee </w:t>
      </w:r>
      <w:r w:rsidR="00F03DFC">
        <w:t>grossly misdirected itself on the law by failing to uphold the Appellant’s legal defence to the charge which defence was simply that the Respondent could not discipline</w:t>
      </w:r>
      <w:r w:rsidR="00EF0674">
        <w:t xml:space="preserve"> the Appellant on a misconduct it had induce or created due to the inadequate controls.</w:t>
      </w:r>
    </w:p>
    <w:p w:rsidR="000A5152" w:rsidRDefault="00EF0674" w:rsidP="000A1565">
      <w:pPr>
        <w:pStyle w:val="ListParagraph"/>
        <w:numPr>
          <w:ilvl w:val="0"/>
          <w:numId w:val="4"/>
        </w:numPr>
        <w:spacing w:line="360" w:lineRule="auto"/>
        <w:jc w:val="both"/>
      </w:pPr>
      <w:r>
        <w:t xml:space="preserve">The </w:t>
      </w:r>
      <w:r w:rsidR="00763A71">
        <w:t>Appeals Committee</w:t>
      </w:r>
      <w:r w:rsidR="00782E7F">
        <w:t xml:space="preserve"> grossly misdirected itself on the facts</w:t>
      </w:r>
      <w:r w:rsidR="007173F9">
        <w:t xml:space="preserve"> when</w:t>
      </w:r>
      <w:r w:rsidR="00732369">
        <w:t xml:space="preserve"> it upheld the penalty meted out on the Appellant without </w:t>
      </w:r>
      <w:r w:rsidR="00EE4EB6">
        <w:t>investigating the</w:t>
      </w:r>
      <w:r w:rsidR="00732369">
        <w:t xml:space="preserve"> Appellant</w:t>
      </w:r>
      <w:r w:rsidR="00BD494E">
        <w:t>’s mitigatory factors especially that the Respondent had relied on a misconduct it had induced via ina</w:t>
      </w:r>
      <w:r w:rsidR="000A5152">
        <w:t>dequate controls.</w:t>
      </w:r>
    </w:p>
    <w:p w:rsidR="000A5152" w:rsidRDefault="000A5152" w:rsidP="003C2F7A">
      <w:pPr>
        <w:jc w:val="both"/>
      </w:pPr>
    </w:p>
    <w:p w:rsidR="009D014B" w:rsidRDefault="000A5152" w:rsidP="00E30380">
      <w:pPr>
        <w:spacing w:line="360" w:lineRule="auto"/>
        <w:ind w:firstLine="720"/>
        <w:jc w:val="both"/>
      </w:pPr>
      <w:r>
        <w:t xml:space="preserve">On these grounds the Appellant prayed that he should be reinstated without </w:t>
      </w:r>
      <w:r w:rsidR="00034CE2">
        <w:t xml:space="preserve">loss </w:t>
      </w:r>
      <w:r w:rsidR="00653455">
        <w:t xml:space="preserve">of salary and benefits.  </w:t>
      </w:r>
      <w:r w:rsidR="00554C34">
        <w:t>In the event that reinstatement is no longer possible that the Respondent be and is hereby ordered to pay damages in lieu of reinstatement.</w:t>
      </w:r>
    </w:p>
    <w:p w:rsidR="00E30380" w:rsidRDefault="00E30380" w:rsidP="003C2F7A">
      <w:pPr>
        <w:ind w:firstLine="720"/>
        <w:jc w:val="both"/>
      </w:pPr>
    </w:p>
    <w:p w:rsidR="00E30380" w:rsidRDefault="00E30380" w:rsidP="00E30380">
      <w:pPr>
        <w:spacing w:line="360" w:lineRule="auto"/>
        <w:ind w:firstLine="720"/>
        <w:jc w:val="both"/>
      </w:pPr>
      <w:r>
        <w:t>The Respondent in response submitted that,</w:t>
      </w:r>
    </w:p>
    <w:p w:rsidR="00E30380" w:rsidRDefault="00E30380" w:rsidP="003C2F7A">
      <w:pPr>
        <w:ind w:firstLine="720"/>
        <w:jc w:val="both"/>
      </w:pPr>
    </w:p>
    <w:p w:rsidR="00995CC8" w:rsidRDefault="00995CC8" w:rsidP="00995CC8">
      <w:pPr>
        <w:pStyle w:val="ListParagraph"/>
        <w:numPr>
          <w:ilvl w:val="0"/>
          <w:numId w:val="5"/>
        </w:numPr>
        <w:spacing w:line="360" w:lineRule="auto"/>
        <w:jc w:val="both"/>
      </w:pPr>
      <w:r>
        <w:t>Appellant was informed of the verdict at the close of the hearing on 27 November 2015.</w:t>
      </w:r>
    </w:p>
    <w:p w:rsidR="00995CC8" w:rsidRDefault="00995CC8" w:rsidP="00995CC8">
      <w:pPr>
        <w:pStyle w:val="ListParagraph"/>
        <w:numPr>
          <w:ilvl w:val="0"/>
          <w:numId w:val="5"/>
        </w:numPr>
        <w:spacing w:line="360" w:lineRule="auto"/>
        <w:jc w:val="both"/>
      </w:pPr>
      <w:r>
        <w:t>The Appellant was not prejudiced by any alleged delay in delivering the written determination</w:t>
      </w:r>
    </w:p>
    <w:p w:rsidR="00995CC8" w:rsidRDefault="006C14CE" w:rsidP="00995CC8">
      <w:pPr>
        <w:pStyle w:val="ListParagraph"/>
        <w:numPr>
          <w:ilvl w:val="0"/>
          <w:numId w:val="5"/>
        </w:numPr>
        <w:spacing w:line="360" w:lineRule="auto"/>
        <w:jc w:val="both"/>
      </w:pPr>
      <w:r>
        <w:t>The evidence of the Complainant’s witnesses was not sufficiently controverted.</w:t>
      </w:r>
    </w:p>
    <w:p w:rsidR="006C14CE" w:rsidRDefault="006C14CE" w:rsidP="00995CC8">
      <w:pPr>
        <w:pStyle w:val="ListParagraph"/>
        <w:numPr>
          <w:ilvl w:val="0"/>
          <w:numId w:val="5"/>
        </w:numPr>
        <w:spacing w:line="360" w:lineRule="auto"/>
        <w:jc w:val="both"/>
      </w:pPr>
      <w:r>
        <w:t>The complainant’s witnesses were credible.</w:t>
      </w:r>
    </w:p>
    <w:p w:rsidR="006C14CE" w:rsidRDefault="006C14CE" w:rsidP="00995CC8">
      <w:pPr>
        <w:pStyle w:val="ListParagraph"/>
        <w:numPr>
          <w:ilvl w:val="0"/>
          <w:numId w:val="5"/>
        </w:numPr>
        <w:spacing w:line="360" w:lineRule="auto"/>
        <w:jc w:val="both"/>
      </w:pPr>
      <w:r>
        <w:t xml:space="preserve">Any alleged </w:t>
      </w:r>
      <w:r w:rsidR="0044670F">
        <w:t>inadequacy of controls was not a proper defence to the charges that the Appellant was facing.</w:t>
      </w:r>
    </w:p>
    <w:p w:rsidR="0044670F" w:rsidRDefault="0044670F" w:rsidP="00995CC8">
      <w:pPr>
        <w:pStyle w:val="ListParagraph"/>
        <w:numPr>
          <w:ilvl w:val="0"/>
          <w:numId w:val="5"/>
        </w:numPr>
        <w:spacing w:line="360" w:lineRule="auto"/>
        <w:jc w:val="both"/>
      </w:pPr>
      <w:r>
        <w:t>The Appellant was the last person to be seen with the missing tonners and that the tonners and that</w:t>
      </w:r>
      <w:r w:rsidR="00125ADD">
        <w:t xml:space="preserve"> he did </w:t>
      </w:r>
      <w:r w:rsidR="003C2F7A">
        <w:t>not</w:t>
      </w:r>
      <w:r w:rsidR="00125ADD">
        <w:t xml:space="preserve"> hand them over the people he alleged he had given them to.</w:t>
      </w:r>
    </w:p>
    <w:p w:rsidR="00125ADD" w:rsidRDefault="00125ADD" w:rsidP="00995CC8">
      <w:pPr>
        <w:pStyle w:val="ListParagraph"/>
        <w:numPr>
          <w:ilvl w:val="0"/>
          <w:numId w:val="5"/>
        </w:numPr>
        <w:spacing w:line="360" w:lineRule="auto"/>
        <w:jc w:val="both"/>
      </w:pPr>
      <w:r>
        <w:t>It was improbable for all the witnesses from different departments to team up against the Appellant.</w:t>
      </w:r>
    </w:p>
    <w:p w:rsidR="00761032" w:rsidRDefault="00761032" w:rsidP="00995CC8">
      <w:pPr>
        <w:pStyle w:val="ListParagraph"/>
        <w:numPr>
          <w:ilvl w:val="0"/>
          <w:numId w:val="5"/>
        </w:numPr>
        <w:spacing w:line="360" w:lineRule="auto"/>
        <w:jc w:val="both"/>
      </w:pPr>
      <w:r>
        <w:t>The stealing of tonners was systematic, properly and carefully executed and was not a once off incident</w:t>
      </w:r>
      <w:r w:rsidR="002A2E9F">
        <w:t>.</w:t>
      </w:r>
    </w:p>
    <w:p w:rsidR="002A2E9F" w:rsidRDefault="002A2E9F" w:rsidP="00995CC8">
      <w:pPr>
        <w:pStyle w:val="ListParagraph"/>
        <w:numPr>
          <w:ilvl w:val="0"/>
          <w:numId w:val="5"/>
        </w:numPr>
        <w:spacing w:line="360" w:lineRule="auto"/>
        <w:jc w:val="both"/>
      </w:pPr>
      <w:r>
        <w:t>The penalty by the Disciplinary Committee met the justice of the case.</w:t>
      </w:r>
    </w:p>
    <w:p w:rsidR="00683211" w:rsidRDefault="00683211" w:rsidP="00995CC8">
      <w:pPr>
        <w:pStyle w:val="ListParagraph"/>
        <w:numPr>
          <w:ilvl w:val="0"/>
          <w:numId w:val="5"/>
        </w:numPr>
        <w:spacing w:line="360" w:lineRule="auto"/>
        <w:jc w:val="both"/>
      </w:pPr>
      <w:r>
        <w:t>The penalty of dismissal was consistent with Section 18</w:t>
      </w:r>
      <w:r w:rsidR="005345F0">
        <w:t>.6 of the Respondent’s Code of Conduct.</w:t>
      </w:r>
    </w:p>
    <w:p w:rsidR="005345F0" w:rsidRDefault="005345F0" w:rsidP="00EC04F1">
      <w:pPr>
        <w:jc w:val="both"/>
      </w:pPr>
    </w:p>
    <w:p w:rsidR="005345F0" w:rsidRDefault="005345F0" w:rsidP="008C0656">
      <w:pPr>
        <w:spacing w:line="360" w:lineRule="auto"/>
        <w:ind w:firstLine="720"/>
        <w:jc w:val="both"/>
      </w:pPr>
      <w:r>
        <w:t xml:space="preserve">On these grounds the </w:t>
      </w:r>
      <w:r w:rsidR="008C0656">
        <w:t>Respondent prayed that the appeal should be dismissed with costs.</w:t>
      </w:r>
    </w:p>
    <w:p w:rsidR="00837AF3" w:rsidRDefault="00837AF3" w:rsidP="00EC04F1">
      <w:pPr>
        <w:ind w:firstLine="720"/>
        <w:jc w:val="both"/>
      </w:pPr>
    </w:p>
    <w:p w:rsidR="00837AF3" w:rsidRDefault="00837AF3" w:rsidP="008C0656">
      <w:pPr>
        <w:spacing w:line="360" w:lineRule="auto"/>
        <w:ind w:firstLine="720"/>
        <w:jc w:val="both"/>
      </w:pPr>
      <w:r>
        <w:t>It is common cause that</w:t>
      </w:r>
      <w:r w:rsidR="003030EC">
        <w:t>,</w:t>
      </w:r>
    </w:p>
    <w:p w:rsidR="003030EC" w:rsidRDefault="003030EC" w:rsidP="00EC04F1">
      <w:pPr>
        <w:ind w:firstLine="720"/>
        <w:jc w:val="both"/>
      </w:pPr>
    </w:p>
    <w:p w:rsidR="003030EC" w:rsidRDefault="003030EC" w:rsidP="003030EC">
      <w:pPr>
        <w:pStyle w:val="ListParagraph"/>
        <w:numPr>
          <w:ilvl w:val="0"/>
          <w:numId w:val="6"/>
        </w:numPr>
        <w:spacing w:line="360" w:lineRule="auto"/>
        <w:jc w:val="both"/>
      </w:pPr>
      <w:r>
        <w:t xml:space="preserve">Tonners were </w:t>
      </w:r>
      <w:r w:rsidR="009D1799">
        <w:t>collected from stories and they were not received in any department on any of the said occasions despite different department being involved.</w:t>
      </w:r>
    </w:p>
    <w:p w:rsidR="00DD1639" w:rsidRDefault="00DD1639" w:rsidP="003030EC">
      <w:pPr>
        <w:pStyle w:val="ListParagraph"/>
        <w:numPr>
          <w:ilvl w:val="0"/>
          <w:numId w:val="6"/>
        </w:numPr>
        <w:spacing w:line="360" w:lineRule="auto"/>
        <w:jc w:val="both"/>
      </w:pPr>
      <w:r>
        <w:t>Appellant denied all the charges and claimed that</w:t>
      </w:r>
      <w:r w:rsidR="000E19BF">
        <w:t xml:space="preserve"> he had signed and collected all the cartridges he collected as </w:t>
      </w:r>
      <w:r w:rsidR="005618A4">
        <w:t xml:space="preserve">instructed and approved by </w:t>
      </w:r>
      <w:r w:rsidR="005618A4">
        <w:lastRenderedPageBreak/>
        <w:t xml:space="preserve">his supervisors </w:t>
      </w:r>
      <w:r w:rsidR="000750F9">
        <w:t>under a confused procedure of accessing stationery from stores.</w:t>
      </w:r>
    </w:p>
    <w:p w:rsidR="00C13E41" w:rsidRDefault="00C13E41" w:rsidP="00EC04F1">
      <w:pPr>
        <w:pStyle w:val="ListParagraph"/>
        <w:ind w:left="1440"/>
        <w:jc w:val="both"/>
      </w:pPr>
    </w:p>
    <w:p w:rsidR="000750F9" w:rsidRDefault="000750F9" w:rsidP="00676B35">
      <w:pPr>
        <w:spacing w:line="360" w:lineRule="auto"/>
        <w:ind w:firstLine="720"/>
        <w:jc w:val="both"/>
      </w:pPr>
      <w:r>
        <w:t>What is to be decided is whether</w:t>
      </w:r>
    </w:p>
    <w:p w:rsidR="00C13E41" w:rsidRDefault="00C13E41" w:rsidP="00EC04F1">
      <w:pPr>
        <w:jc w:val="both"/>
      </w:pPr>
    </w:p>
    <w:p w:rsidR="00C13E41" w:rsidRDefault="00F21ADB" w:rsidP="00C13E41">
      <w:pPr>
        <w:pStyle w:val="ListParagraph"/>
        <w:numPr>
          <w:ilvl w:val="0"/>
          <w:numId w:val="7"/>
        </w:numPr>
        <w:spacing w:line="360" w:lineRule="auto"/>
        <w:jc w:val="both"/>
      </w:pPr>
      <w:r>
        <w:t>Communication of the verdict outside of time frame stipulated in the Code of Conduct vitiates and nullifies</w:t>
      </w:r>
      <w:r w:rsidR="00FB70E2">
        <w:t xml:space="preserve"> proceedings</w:t>
      </w:r>
      <w:r w:rsidR="00DC7FB9">
        <w:t>.</w:t>
      </w:r>
    </w:p>
    <w:p w:rsidR="00FB70E2" w:rsidRDefault="00DC7FB9" w:rsidP="00C13E41">
      <w:pPr>
        <w:pStyle w:val="ListParagraph"/>
        <w:numPr>
          <w:ilvl w:val="0"/>
          <w:numId w:val="7"/>
        </w:numPr>
        <w:spacing w:line="360" w:lineRule="auto"/>
        <w:jc w:val="both"/>
      </w:pPr>
      <w:r>
        <w:t>The Appeals Committee can be faulted for finding that the testimony of the witnesses was not false.</w:t>
      </w:r>
    </w:p>
    <w:p w:rsidR="00DC7FB9" w:rsidRDefault="00DF0771" w:rsidP="00C13E41">
      <w:pPr>
        <w:pStyle w:val="ListParagraph"/>
        <w:numPr>
          <w:ilvl w:val="0"/>
          <w:numId w:val="7"/>
        </w:numPr>
        <w:spacing w:line="360" w:lineRule="auto"/>
        <w:jc w:val="both"/>
      </w:pPr>
      <w:r>
        <w:t>The Respondent’s evidence was on a balance of probabilities sufficient to tip the scales against the Appellant.</w:t>
      </w:r>
    </w:p>
    <w:p w:rsidR="00DF0771" w:rsidRDefault="00DF0771" w:rsidP="00C13E41">
      <w:pPr>
        <w:pStyle w:val="ListParagraph"/>
        <w:numPr>
          <w:ilvl w:val="0"/>
          <w:numId w:val="7"/>
        </w:numPr>
        <w:spacing w:line="360" w:lineRule="auto"/>
        <w:jc w:val="both"/>
      </w:pPr>
      <w:r>
        <w:t>The misconduct committed by the Appellant warranted a penalty of dismissal.</w:t>
      </w:r>
    </w:p>
    <w:p w:rsidR="00EC04F1" w:rsidRDefault="00EC04F1" w:rsidP="00EC04F1">
      <w:pPr>
        <w:pStyle w:val="ListParagraph"/>
        <w:ind w:left="1440"/>
        <w:jc w:val="both"/>
      </w:pPr>
    </w:p>
    <w:p w:rsidR="005D73CB" w:rsidRDefault="005D73CB" w:rsidP="005D73CB">
      <w:pPr>
        <w:spacing w:line="360" w:lineRule="auto"/>
        <w:jc w:val="both"/>
      </w:pPr>
      <w:r>
        <w:t>Communication of Verdict</w:t>
      </w:r>
    </w:p>
    <w:p w:rsidR="007D55AA" w:rsidRDefault="007D55AA" w:rsidP="00EC04F1">
      <w:pPr>
        <w:jc w:val="both"/>
      </w:pPr>
    </w:p>
    <w:p w:rsidR="007D55AA" w:rsidRDefault="00EA5A36" w:rsidP="005D73CB">
      <w:pPr>
        <w:spacing w:line="360" w:lineRule="auto"/>
        <w:jc w:val="both"/>
      </w:pPr>
      <w:r>
        <w:tab/>
        <w:t xml:space="preserve">The Appeals Committee in its findings stated that on 27 November 2015 the Appellant was </w:t>
      </w:r>
      <w:r w:rsidR="00F06EC6">
        <w:t xml:space="preserve">informed verbally that </w:t>
      </w:r>
      <w:r w:rsidR="00135B20">
        <w:t>above the outcome of the hearing.  The minutes on record show that the hearing was conducted from 7</w:t>
      </w:r>
      <w:r w:rsidR="00782761">
        <w:t xml:space="preserve"> </w:t>
      </w:r>
      <w:r w:rsidR="00135B20">
        <w:t>-</w:t>
      </w:r>
      <w:r w:rsidR="00782761">
        <w:t xml:space="preserve"> </w:t>
      </w:r>
      <w:r w:rsidR="00135B20">
        <w:t xml:space="preserve">9 </w:t>
      </w:r>
      <w:r w:rsidR="00782761">
        <w:t xml:space="preserve">September 2015.  The minutes of the hearing were signed from 17 to 14 September 2015.  </w:t>
      </w:r>
      <w:r w:rsidR="004A0691">
        <w:t xml:space="preserve">This could have been a typing error.  However the Appellant stated that the verdict was </w:t>
      </w:r>
      <w:r w:rsidR="00EC04F1">
        <w:t>supposed to</w:t>
      </w:r>
      <w:r w:rsidR="004A0691">
        <w:t xml:space="preserve"> be delivered within 3 days but it</w:t>
      </w:r>
      <w:r w:rsidR="000A136C">
        <w:t xml:space="preserve"> was delivered two days out of time stipulated by the Code of Conduct.</w:t>
      </w:r>
    </w:p>
    <w:p w:rsidR="00CD5179" w:rsidRDefault="00CD5179" w:rsidP="00EC04F1">
      <w:pPr>
        <w:jc w:val="both"/>
      </w:pPr>
    </w:p>
    <w:p w:rsidR="00CD5179" w:rsidRDefault="00206CFF" w:rsidP="005D73CB">
      <w:pPr>
        <w:spacing w:line="360" w:lineRule="auto"/>
        <w:jc w:val="both"/>
      </w:pPr>
      <w:r>
        <w:tab/>
        <w:t xml:space="preserve">In the case of </w:t>
      </w:r>
      <w:r w:rsidRPr="00E81222">
        <w:rPr>
          <w:i/>
        </w:rPr>
        <w:t xml:space="preserve">Stella </w:t>
      </w:r>
      <w:proofErr w:type="spellStart"/>
      <w:r w:rsidRPr="00E81222">
        <w:rPr>
          <w:i/>
        </w:rPr>
        <w:t>Nhari</w:t>
      </w:r>
      <w:proofErr w:type="spellEnd"/>
      <w:r w:rsidR="00CD5179">
        <w:t xml:space="preserve"> v </w:t>
      </w:r>
      <w:r w:rsidR="00CD5179" w:rsidRPr="00E81222">
        <w:rPr>
          <w:i/>
        </w:rPr>
        <w:t>Zimbabwe Allied Banking Group</w:t>
      </w:r>
      <w:r w:rsidR="00CD5179">
        <w:t xml:space="preserve"> SC 51/14 it was held that</w:t>
      </w:r>
      <w:r w:rsidR="0084545B">
        <w:t>,</w:t>
      </w:r>
    </w:p>
    <w:p w:rsidR="0084545B" w:rsidRDefault="0084545B" w:rsidP="005D73CB">
      <w:pPr>
        <w:spacing w:line="360" w:lineRule="auto"/>
        <w:jc w:val="both"/>
      </w:pPr>
    </w:p>
    <w:p w:rsidR="00164F4C" w:rsidRPr="00EC04F1" w:rsidRDefault="0084545B" w:rsidP="00EC04F1">
      <w:pPr>
        <w:spacing w:line="276" w:lineRule="auto"/>
        <w:ind w:left="720"/>
        <w:jc w:val="both"/>
        <w:rPr>
          <w:sz w:val="22"/>
          <w:szCs w:val="22"/>
        </w:rPr>
      </w:pPr>
      <w:r w:rsidRPr="00EC04F1">
        <w:rPr>
          <w:sz w:val="22"/>
          <w:szCs w:val="22"/>
        </w:rPr>
        <w:t xml:space="preserve">“Attention should however be drawn to the decisions </w:t>
      </w:r>
      <w:r w:rsidRPr="00F21ADB">
        <w:rPr>
          <w:i/>
          <w:sz w:val="22"/>
          <w:szCs w:val="22"/>
        </w:rPr>
        <w:t>in Nyaru</w:t>
      </w:r>
      <w:r w:rsidRPr="00EC04F1">
        <w:rPr>
          <w:sz w:val="22"/>
          <w:szCs w:val="22"/>
        </w:rPr>
        <w:t xml:space="preserve"> v </w:t>
      </w:r>
      <w:r w:rsidRPr="008E178F">
        <w:rPr>
          <w:i/>
          <w:sz w:val="22"/>
          <w:szCs w:val="22"/>
        </w:rPr>
        <w:t>Secretary for Public</w:t>
      </w:r>
      <w:r w:rsidRPr="00EC04F1">
        <w:rPr>
          <w:sz w:val="22"/>
          <w:szCs w:val="22"/>
        </w:rPr>
        <w:t xml:space="preserve"> </w:t>
      </w:r>
      <w:r w:rsidRPr="008E178F">
        <w:rPr>
          <w:i/>
          <w:sz w:val="22"/>
          <w:szCs w:val="22"/>
        </w:rPr>
        <w:t>Service Labour and Social Welfare &amp; Anor</w:t>
      </w:r>
      <w:r w:rsidRPr="00EC04F1">
        <w:rPr>
          <w:sz w:val="22"/>
          <w:szCs w:val="22"/>
        </w:rPr>
        <w:t xml:space="preserve"> 1997 (2) </w:t>
      </w:r>
      <w:r w:rsidR="009C5A1B" w:rsidRPr="00EC04F1">
        <w:rPr>
          <w:sz w:val="22"/>
          <w:szCs w:val="22"/>
        </w:rPr>
        <w:t xml:space="preserve">ZLR 516, 522-523 A-B and </w:t>
      </w:r>
      <w:r w:rsidR="009C5A1B" w:rsidRPr="008E178F">
        <w:rPr>
          <w:i/>
          <w:sz w:val="22"/>
          <w:szCs w:val="22"/>
        </w:rPr>
        <w:t xml:space="preserve">Posts and </w:t>
      </w:r>
      <w:r w:rsidR="004518F7" w:rsidRPr="008E178F">
        <w:rPr>
          <w:i/>
          <w:sz w:val="22"/>
          <w:szCs w:val="22"/>
        </w:rPr>
        <w:t>Telecommunications Corporation</w:t>
      </w:r>
      <w:r w:rsidR="004518F7" w:rsidRPr="00EC04F1">
        <w:rPr>
          <w:sz w:val="22"/>
          <w:szCs w:val="22"/>
        </w:rPr>
        <w:t xml:space="preserve"> v </w:t>
      </w:r>
      <w:r w:rsidR="004518F7" w:rsidRPr="008E178F">
        <w:rPr>
          <w:i/>
          <w:sz w:val="22"/>
          <w:szCs w:val="22"/>
        </w:rPr>
        <w:t>Zvenyika Chizema</w:t>
      </w:r>
      <w:r w:rsidR="004518F7" w:rsidRPr="00EC04F1">
        <w:rPr>
          <w:sz w:val="22"/>
          <w:szCs w:val="22"/>
        </w:rPr>
        <w:t xml:space="preserve"> SC 108/04 which suggests that delay alone cannot justif</w:t>
      </w:r>
      <w:r w:rsidR="00E81222">
        <w:rPr>
          <w:sz w:val="22"/>
          <w:szCs w:val="22"/>
        </w:rPr>
        <w:t>y</w:t>
      </w:r>
      <w:r w:rsidR="00D664B1" w:rsidRPr="00EC04F1">
        <w:rPr>
          <w:sz w:val="22"/>
          <w:szCs w:val="22"/>
        </w:rPr>
        <w:t xml:space="preserve"> reinstatement and that delay merely gives the aggrieved party the right to the remedy </w:t>
      </w:r>
      <w:r w:rsidR="00FC4C81" w:rsidRPr="00EC04F1">
        <w:rPr>
          <w:sz w:val="22"/>
          <w:szCs w:val="22"/>
        </w:rPr>
        <w:t>of a mandamus to enforce due compliance with any time limits.”</w:t>
      </w:r>
    </w:p>
    <w:p w:rsidR="00164F4C" w:rsidRDefault="00164F4C" w:rsidP="00EC04F1">
      <w:pPr>
        <w:jc w:val="both"/>
      </w:pPr>
    </w:p>
    <w:p w:rsidR="0084545B" w:rsidRDefault="00164F4C" w:rsidP="008819D9">
      <w:pPr>
        <w:spacing w:line="360" w:lineRule="auto"/>
        <w:ind w:firstLine="720"/>
        <w:jc w:val="both"/>
      </w:pPr>
      <w:r>
        <w:lastRenderedPageBreak/>
        <w:t>This case clearly shows that the delay could not nullify the hearing and the verdict.  If he was not happy with the delay his remedy was to expedite the release of the decision.</w:t>
      </w:r>
      <w:r w:rsidR="00FC4C81">
        <w:t xml:space="preserve"> </w:t>
      </w:r>
    </w:p>
    <w:p w:rsidR="004C25BE" w:rsidRDefault="004C25BE" w:rsidP="0086544E">
      <w:pPr>
        <w:ind w:firstLine="720"/>
        <w:jc w:val="both"/>
      </w:pPr>
    </w:p>
    <w:p w:rsidR="006D04C5" w:rsidRDefault="00584142" w:rsidP="008819D9">
      <w:pPr>
        <w:spacing w:line="360" w:lineRule="auto"/>
        <w:ind w:firstLine="720"/>
        <w:jc w:val="both"/>
      </w:pPr>
      <w:r>
        <w:t>Coming on to the credibility of the witnesses the Appellant never argued</w:t>
      </w:r>
      <w:r w:rsidR="00112DFF">
        <w:t xml:space="preserve"> before the Disciplinary Committee that the </w:t>
      </w:r>
      <w:r w:rsidR="00063B08">
        <w:t>witness’s</w:t>
      </w:r>
      <w:r w:rsidR="00112DFF">
        <w:t xml:space="preserve"> story was not credible.  The witnesses were from different departments </w:t>
      </w:r>
      <w:r w:rsidR="00063B08">
        <w:t>and there</w:t>
      </w:r>
      <w:r w:rsidR="00486A35">
        <w:t xml:space="preserve"> is no way they </w:t>
      </w:r>
      <w:r w:rsidR="004027FB">
        <w:t xml:space="preserve">could connive to falsely </w:t>
      </w:r>
      <w:r w:rsidR="00E94C5E">
        <w:t>implicate</w:t>
      </w:r>
      <w:r w:rsidR="004027FB">
        <w:t xml:space="preserve"> him.  Mrs Hwingire who had been </w:t>
      </w:r>
      <w:r w:rsidR="00E94C5E">
        <w:t>with the institution for 3 months would also have no</w:t>
      </w:r>
      <w:r w:rsidR="003F0D6C">
        <w:t xml:space="preserve"> reason to falsely implicate the appellant</w:t>
      </w:r>
      <w:r w:rsidR="004D21AB">
        <w:t>.  Appellant admitted that he collected the tonners.  Had</w:t>
      </w:r>
      <w:r w:rsidR="00F01F1B">
        <w:t xml:space="preserve"> it been that he delivered </w:t>
      </w:r>
      <w:r w:rsidR="00CE6D64">
        <w:t>them to the departments they would have noticed that the tonners were of incorrect specifications for the printers in the department</w:t>
      </w:r>
      <w:r w:rsidR="006D04C5">
        <w:t xml:space="preserve">s.  This is a clear sign that the tonners were collected but were never delivered.  </w:t>
      </w:r>
    </w:p>
    <w:p w:rsidR="006D04C5" w:rsidRDefault="006D04C5" w:rsidP="0086544E">
      <w:pPr>
        <w:ind w:firstLine="720"/>
        <w:jc w:val="both"/>
      </w:pPr>
    </w:p>
    <w:p w:rsidR="00DB4052" w:rsidRDefault="006D04C5" w:rsidP="008819D9">
      <w:pPr>
        <w:spacing w:line="360" w:lineRule="auto"/>
        <w:ind w:firstLine="720"/>
        <w:jc w:val="both"/>
      </w:pPr>
      <w:r>
        <w:t>Since the Appellant is alleging that the witne</w:t>
      </w:r>
      <w:r w:rsidR="00F700A9">
        <w:t>sses were not credible it was his duty to prove in what way they were not</w:t>
      </w:r>
      <w:r w:rsidR="00502538">
        <w:t xml:space="preserve"> credible.  This is corroborated by the case of </w:t>
      </w:r>
      <w:r w:rsidR="00502538" w:rsidRPr="00863348">
        <w:rPr>
          <w:i/>
        </w:rPr>
        <w:t>Astra Industries Ltd</w:t>
      </w:r>
      <w:r w:rsidR="00502538">
        <w:t xml:space="preserve"> vs </w:t>
      </w:r>
      <w:r w:rsidR="00502538" w:rsidRPr="00863348">
        <w:rPr>
          <w:i/>
        </w:rPr>
        <w:t>Peter Chamburuka</w:t>
      </w:r>
      <w:r w:rsidR="00502538">
        <w:t xml:space="preserve"> SC 27/12</w:t>
      </w:r>
      <w:r w:rsidR="003F0D6C">
        <w:t xml:space="preserve"> </w:t>
      </w:r>
      <w:r w:rsidR="00DB4052">
        <w:t>where it was held that,</w:t>
      </w:r>
    </w:p>
    <w:p w:rsidR="00DB4052" w:rsidRDefault="00DB4052" w:rsidP="0086544E">
      <w:pPr>
        <w:ind w:firstLine="720"/>
        <w:jc w:val="both"/>
      </w:pPr>
    </w:p>
    <w:p w:rsidR="002711DB" w:rsidRPr="0086544E" w:rsidRDefault="00DB4052" w:rsidP="0086544E">
      <w:pPr>
        <w:spacing w:line="276" w:lineRule="auto"/>
        <w:ind w:left="720"/>
        <w:jc w:val="both"/>
        <w:rPr>
          <w:sz w:val="22"/>
          <w:szCs w:val="22"/>
        </w:rPr>
      </w:pPr>
      <w:r w:rsidRPr="0086544E">
        <w:rPr>
          <w:sz w:val="22"/>
          <w:szCs w:val="22"/>
        </w:rPr>
        <w:t>“The position is now settled in our law that in civil proceedings a party who</w:t>
      </w:r>
      <w:r w:rsidR="002711DB" w:rsidRPr="0086544E">
        <w:rPr>
          <w:sz w:val="22"/>
          <w:szCs w:val="22"/>
        </w:rPr>
        <w:t xml:space="preserve"> makes a positive allegation bears the burden to prove such allegation.”</w:t>
      </w:r>
    </w:p>
    <w:p w:rsidR="002711DB" w:rsidRDefault="002711DB" w:rsidP="0086544E">
      <w:pPr>
        <w:ind w:firstLine="720"/>
        <w:jc w:val="both"/>
      </w:pPr>
    </w:p>
    <w:p w:rsidR="006512B0" w:rsidRDefault="002711DB" w:rsidP="008819D9">
      <w:pPr>
        <w:spacing w:line="360" w:lineRule="auto"/>
        <w:ind w:firstLine="720"/>
        <w:jc w:val="both"/>
      </w:pPr>
      <w:r>
        <w:t>The manner in which the appellant executed the offences was systematic and was</w:t>
      </w:r>
      <w:r w:rsidR="006512B0">
        <w:t xml:space="preserve"> sufficient to tilt the scales against the Appellant.</w:t>
      </w:r>
    </w:p>
    <w:p w:rsidR="006512B0" w:rsidRDefault="006512B0" w:rsidP="00657FA0">
      <w:pPr>
        <w:ind w:firstLine="720"/>
        <w:jc w:val="both"/>
      </w:pPr>
    </w:p>
    <w:p w:rsidR="004C25BE" w:rsidRDefault="006512B0" w:rsidP="008819D9">
      <w:pPr>
        <w:spacing w:line="360" w:lineRule="auto"/>
        <w:ind w:firstLine="720"/>
        <w:jc w:val="both"/>
      </w:pPr>
      <w:r>
        <w:t xml:space="preserve">In the case of </w:t>
      </w:r>
      <w:r w:rsidRPr="003E14B0">
        <w:rPr>
          <w:i/>
        </w:rPr>
        <w:t>Olivine Industries Pvt Ltd</w:t>
      </w:r>
      <w:r>
        <w:t xml:space="preserve"> vs </w:t>
      </w:r>
      <w:r w:rsidRPr="003E14B0">
        <w:rPr>
          <w:i/>
        </w:rPr>
        <w:t>Shonhiwa &amp; 2 ORS</w:t>
      </w:r>
      <w:r>
        <w:t xml:space="preserve"> SC 18/15</w:t>
      </w:r>
      <w:r w:rsidR="003E14B0">
        <w:t xml:space="preserve"> Gwaunza JA with regards to circumstantial evidence had this to say</w:t>
      </w:r>
      <w:r w:rsidR="00E80A6F">
        <w:t>,</w:t>
      </w:r>
    </w:p>
    <w:p w:rsidR="00E80A6F" w:rsidRDefault="00E80A6F" w:rsidP="0086544E">
      <w:pPr>
        <w:ind w:firstLine="720"/>
        <w:jc w:val="both"/>
      </w:pPr>
    </w:p>
    <w:p w:rsidR="003D4DA3" w:rsidRPr="0086544E" w:rsidRDefault="0029475E" w:rsidP="0086544E">
      <w:pPr>
        <w:spacing w:line="276" w:lineRule="auto"/>
        <w:ind w:left="720"/>
        <w:jc w:val="both"/>
        <w:rPr>
          <w:sz w:val="22"/>
          <w:szCs w:val="22"/>
        </w:rPr>
      </w:pPr>
      <w:r>
        <w:rPr>
          <w:sz w:val="22"/>
          <w:szCs w:val="22"/>
        </w:rPr>
        <w:t>“Thi</w:t>
      </w:r>
      <w:r w:rsidR="00E80A6F" w:rsidRPr="0086544E">
        <w:rPr>
          <w:sz w:val="22"/>
          <w:szCs w:val="22"/>
        </w:rPr>
        <w:t xml:space="preserve">s being a civil case, it is important to </w:t>
      </w:r>
      <w:r w:rsidR="00EA1736" w:rsidRPr="0086544E">
        <w:rPr>
          <w:sz w:val="22"/>
          <w:szCs w:val="22"/>
        </w:rPr>
        <w:t>note that the inference sought to be drawn from circumstantial evidence, while it must be consistent with all proved facts, need not be the only reasonable inference.  This point is stressed</w:t>
      </w:r>
      <w:r w:rsidR="00ED7352" w:rsidRPr="0086544E">
        <w:rPr>
          <w:sz w:val="22"/>
          <w:szCs w:val="22"/>
        </w:rPr>
        <w:t xml:space="preserve"> in the South African case of </w:t>
      </w:r>
      <w:r w:rsidR="00ED7352" w:rsidRPr="0086544E">
        <w:rPr>
          <w:i/>
          <w:sz w:val="22"/>
          <w:szCs w:val="22"/>
        </w:rPr>
        <w:t>AA Onderlinge Assuarance Bpl</w:t>
      </w:r>
      <w:r w:rsidR="004376C5" w:rsidRPr="0086544E">
        <w:rPr>
          <w:i/>
          <w:sz w:val="22"/>
          <w:szCs w:val="22"/>
        </w:rPr>
        <w:t>c</w:t>
      </w:r>
      <w:r w:rsidR="00ED7352" w:rsidRPr="0086544E">
        <w:rPr>
          <w:sz w:val="22"/>
          <w:szCs w:val="22"/>
        </w:rPr>
        <w:t xml:space="preserve"> v </w:t>
      </w:r>
      <w:r w:rsidR="00ED7352" w:rsidRPr="0086544E">
        <w:rPr>
          <w:i/>
          <w:sz w:val="22"/>
          <w:szCs w:val="22"/>
        </w:rPr>
        <w:t>De Beer</w:t>
      </w:r>
      <w:r w:rsidR="00ED7352" w:rsidRPr="0086544E">
        <w:rPr>
          <w:sz w:val="22"/>
          <w:szCs w:val="22"/>
        </w:rPr>
        <w:t xml:space="preserve"> 1982 (2) SA</w:t>
      </w:r>
      <w:r w:rsidR="00305680" w:rsidRPr="0086544E">
        <w:rPr>
          <w:sz w:val="22"/>
          <w:szCs w:val="22"/>
        </w:rPr>
        <w:t xml:space="preserve"> 603 where it was held that a plaintiff who relies on circumstantial evidence does not have to prove </w:t>
      </w:r>
      <w:r w:rsidR="001449D6" w:rsidRPr="0086544E">
        <w:rPr>
          <w:sz w:val="22"/>
          <w:szCs w:val="22"/>
        </w:rPr>
        <w:t xml:space="preserve">that the inference: he will discharge his </w:t>
      </w:r>
      <w:r w:rsidR="00523D54" w:rsidRPr="0086544E">
        <w:rPr>
          <w:sz w:val="22"/>
          <w:szCs w:val="22"/>
        </w:rPr>
        <w:t>burdens</w:t>
      </w:r>
      <w:r w:rsidR="00D858CE" w:rsidRPr="0086544E">
        <w:rPr>
          <w:sz w:val="22"/>
          <w:szCs w:val="22"/>
        </w:rPr>
        <w:t xml:space="preserve"> of proof if </w:t>
      </w:r>
      <w:r w:rsidR="00910E6D" w:rsidRPr="0086544E">
        <w:rPr>
          <w:sz w:val="22"/>
          <w:szCs w:val="22"/>
        </w:rPr>
        <w:t>he can</w:t>
      </w:r>
      <w:r w:rsidR="00C5503E" w:rsidRPr="0086544E">
        <w:rPr>
          <w:sz w:val="22"/>
          <w:szCs w:val="22"/>
        </w:rPr>
        <w:t xml:space="preserve"> convince the court that the inference he advocates is the </w:t>
      </w:r>
      <w:r w:rsidR="000926C8" w:rsidRPr="0086544E">
        <w:rPr>
          <w:sz w:val="22"/>
          <w:szCs w:val="22"/>
        </w:rPr>
        <w:t>most readily</w:t>
      </w:r>
      <w:r w:rsidR="00F5444E" w:rsidRPr="0086544E">
        <w:rPr>
          <w:sz w:val="22"/>
          <w:szCs w:val="22"/>
        </w:rPr>
        <w:t xml:space="preserve"> apparent and acceptable inference from a number of possible inference.</w:t>
      </w:r>
      <w:r w:rsidR="004B3117" w:rsidRPr="0086544E">
        <w:rPr>
          <w:sz w:val="22"/>
          <w:szCs w:val="22"/>
        </w:rPr>
        <w:t>”</w:t>
      </w:r>
    </w:p>
    <w:p w:rsidR="003D4DA3" w:rsidRDefault="003D4DA3" w:rsidP="0086544E">
      <w:pPr>
        <w:ind w:firstLine="720"/>
        <w:jc w:val="both"/>
      </w:pPr>
    </w:p>
    <w:p w:rsidR="00DB4C22" w:rsidRDefault="003D4DA3" w:rsidP="008819D9">
      <w:pPr>
        <w:spacing w:line="360" w:lineRule="auto"/>
        <w:ind w:firstLine="720"/>
        <w:jc w:val="both"/>
      </w:pPr>
      <w:r>
        <w:lastRenderedPageBreak/>
        <w:t>The evidence surrounding this case shows that the Appellant stole the tonners because after collecting them from stores he never delivered them.</w:t>
      </w:r>
    </w:p>
    <w:p w:rsidR="00DB4C22" w:rsidRDefault="00DB4C22" w:rsidP="0086544E">
      <w:pPr>
        <w:ind w:firstLine="720"/>
        <w:jc w:val="both"/>
      </w:pPr>
    </w:p>
    <w:p w:rsidR="00967683" w:rsidRDefault="00DB4C22" w:rsidP="008819D9">
      <w:pPr>
        <w:spacing w:line="360" w:lineRule="auto"/>
        <w:ind w:firstLine="720"/>
        <w:jc w:val="both"/>
      </w:pPr>
      <w:r>
        <w:t xml:space="preserve">Furthermore the misconduct committed by the Appellant warranted dismissal because dishonesty goes to the root of the contact.  This was corroborated by the case of </w:t>
      </w:r>
      <w:r w:rsidRPr="00967683">
        <w:rPr>
          <w:i/>
        </w:rPr>
        <w:t xml:space="preserve">DHL </w:t>
      </w:r>
      <w:r w:rsidR="00967683" w:rsidRPr="00967683">
        <w:rPr>
          <w:i/>
        </w:rPr>
        <w:t>International</w:t>
      </w:r>
      <w:r w:rsidRPr="00967683">
        <w:rPr>
          <w:i/>
        </w:rPr>
        <w:t xml:space="preserve"> (Pvt) Ltd</w:t>
      </w:r>
      <w:r>
        <w:t xml:space="preserve"> v </w:t>
      </w:r>
      <w:r w:rsidRPr="00967683">
        <w:rPr>
          <w:i/>
        </w:rPr>
        <w:t xml:space="preserve">Kevin </w:t>
      </w:r>
      <w:r w:rsidR="00967683" w:rsidRPr="00967683">
        <w:rPr>
          <w:i/>
        </w:rPr>
        <w:t>Tinofireyi</w:t>
      </w:r>
      <w:r w:rsidR="00967683">
        <w:t xml:space="preserve"> SC 80-14 which stated as follows;</w:t>
      </w:r>
    </w:p>
    <w:p w:rsidR="00ED3295" w:rsidRDefault="00ED3295" w:rsidP="007A6D7D">
      <w:pPr>
        <w:ind w:firstLine="720"/>
        <w:jc w:val="both"/>
      </w:pPr>
    </w:p>
    <w:p w:rsidR="00ED3295" w:rsidRPr="007A6D7D" w:rsidRDefault="00ED3295" w:rsidP="007A6D7D">
      <w:pPr>
        <w:spacing w:line="276" w:lineRule="auto"/>
        <w:ind w:left="720"/>
        <w:jc w:val="both"/>
        <w:rPr>
          <w:sz w:val="22"/>
          <w:szCs w:val="22"/>
        </w:rPr>
      </w:pPr>
      <w:r w:rsidRPr="007A6D7D">
        <w:rPr>
          <w:sz w:val="22"/>
          <w:szCs w:val="22"/>
        </w:rPr>
        <w:t xml:space="preserve">“As Mr Zhou put it, the Labour Act contains no provision which either </w:t>
      </w:r>
      <w:r w:rsidR="0038469A" w:rsidRPr="007A6D7D">
        <w:rPr>
          <w:sz w:val="22"/>
          <w:szCs w:val="22"/>
        </w:rPr>
        <w:t xml:space="preserve">expressly or by implication purports to alter the common law principle that an employer has a </w:t>
      </w:r>
      <w:r w:rsidR="0049647A" w:rsidRPr="007A6D7D">
        <w:rPr>
          <w:sz w:val="22"/>
          <w:szCs w:val="22"/>
        </w:rPr>
        <w:t xml:space="preserve">right to </w:t>
      </w:r>
      <w:r w:rsidR="00B248DA" w:rsidRPr="007A6D7D">
        <w:rPr>
          <w:sz w:val="22"/>
          <w:szCs w:val="22"/>
        </w:rPr>
        <w:t>dismiss an employee following conviction for a misconduct of a material nature going to the root of the</w:t>
      </w:r>
      <w:r w:rsidR="008B4EF5" w:rsidRPr="007A6D7D">
        <w:rPr>
          <w:sz w:val="22"/>
          <w:szCs w:val="22"/>
        </w:rPr>
        <w:t xml:space="preserve"> employer and employee relationship.  A code of conduct cannot alter</w:t>
      </w:r>
      <w:r w:rsidR="00CA66FB" w:rsidRPr="007A6D7D">
        <w:rPr>
          <w:sz w:val="22"/>
          <w:szCs w:val="22"/>
        </w:rPr>
        <w:t xml:space="preserve"> or abrogate a principle of the common law.  It does not matter that the code of conduct is </w:t>
      </w:r>
      <w:r w:rsidR="004F7CAE" w:rsidRPr="007A6D7D">
        <w:rPr>
          <w:sz w:val="22"/>
          <w:szCs w:val="22"/>
        </w:rPr>
        <w:t>a product of an agreement.”</w:t>
      </w:r>
    </w:p>
    <w:p w:rsidR="004F7CAE" w:rsidRDefault="004F7CAE" w:rsidP="007A6D7D">
      <w:pPr>
        <w:ind w:firstLine="720"/>
        <w:jc w:val="both"/>
      </w:pPr>
    </w:p>
    <w:p w:rsidR="004F7CAE" w:rsidRDefault="004F7CAE" w:rsidP="008819D9">
      <w:pPr>
        <w:spacing w:line="360" w:lineRule="auto"/>
        <w:ind w:firstLine="720"/>
        <w:jc w:val="both"/>
      </w:pPr>
      <w:r>
        <w:t>In view of the foregoing therefore this court finds that the appeal lacks merit.</w:t>
      </w:r>
    </w:p>
    <w:p w:rsidR="004F7CAE" w:rsidRDefault="004F7CAE" w:rsidP="004F7CAE">
      <w:pPr>
        <w:spacing w:line="360" w:lineRule="auto"/>
        <w:jc w:val="both"/>
      </w:pPr>
    </w:p>
    <w:p w:rsidR="004F7CAE" w:rsidRDefault="004F7CAE" w:rsidP="004F7CAE">
      <w:pPr>
        <w:spacing w:line="360" w:lineRule="auto"/>
        <w:jc w:val="both"/>
      </w:pPr>
      <w:r>
        <w:t>Accordingly it is ordered that</w:t>
      </w:r>
    </w:p>
    <w:p w:rsidR="00ED78A5" w:rsidRDefault="00ED78A5" w:rsidP="007A6D7D">
      <w:pPr>
        <w:jc w:val="both"/>
      </w:pPr>
    </w:p>
    <w:p w:rsidR="00ED78A5" w:rsidRDefault="00ED78A5" w:rsidP="00ED78A5">
      <w:pPr>
        <w:pStyle w:val="ListParagraph"/>
        <w:numPr>
          <w:ilvl w:val="0"/>
          <w:numId w:val="8"/>
        </w:numPr>
        <w:spacing w:line="360" w:lineRule="auto"/>
        <w:jc w:val="both"/>
      </w:pPr>
      <w:r>
        <w:t>The appeal be and is hereby dismissed with costs.</w:t>
      </w:r>
    </w:p>
    <w:p w:rsidR="005B6CDA" w:rsidRDefault="005B6CDA" w:rsidP="005B6CDA">
      <w:pPr>
        <w:spacing w:line="360" w:lineRule="auto"/>
        <w:jc w:val="both"/>
      </w:pPr>
    </w:p>
    <w:p w:rsidR="005B6CDA" w:rsidRDefault="005B6CDA" w:rsidP="005B6CDA">
      <w:pPr>
        <w:spacing w:line="360" w:lineRule="auto"/>
        <w:jc w:val="both"/>
      </w:pPr>
    </w:p>
    <w:p w:rsidR="005B6CDA" w:rsidRDefault="00CF71EB" w:rsidP="005B6CDA">
      <w:pPr>
        <w:spacing w:line="360" w:lineRule="auto"/>
        <w:jc w:val="both"/>
      </w:pPr>
      <w:r w:rsidRPr="00973503">
        <w:rPr>
          <w:i/>
        </w:rPr>
        <w:t>Mhishi Legal Practice</w:t>
      </w:r>
      <w:r>
        <w:t>, appellant’s legal practitioners</w:t>
      </w:r>
    </w:p>
    <w:p w:rsidR="00CF71EB" w:rsidRDefault="00CF71EB" w:rsidP="005B6CDA">
      <w:pPr>
        <w:spacing w:line="360" w:lineRule="auto"/>
        <w:jc w:val="both"/>
      </w:pPr>
      <w:r w:rsidRPr="00973503">
        <w:rPr>
          <w:i/>
        </w:rPr>
        <w:t>Kanto</w:t>
      </w:r>
      <w:r w:rsidR="00973503" w:rsidRPr="00973503">
        <w:rPr>
          <w:i/>
        </w:rPr>
        <w:t>r and Immerman</w:t>
      </w:r>
      <w:r w:rsidR="00973503">
        <w:t>, respondent’s legal practitioners</w:t>
      </w:r>
    </w:p>
    <w:p w:rsidR="00967683" w:rsidRDefault="00967683" w:rsidP="008819D9">
      <w:pPr>
        <w:spacing w:line="360" w:lineRule="auto"/>
        <w:ind w:firstLine="720"/>
        <w:jc w:val="both"/>
      </w:pPr>
    </w:p>
    <w:p w:rsidR="00E80A6F" w:rsidRDefault="001449D6" w:rsidP="008819D9">
      <w:pPr>
        <w:spacing w:line="360" w:lineRule="auto"/>
        <w:ind w:firstLine="720"/>
        <w:jc w:val="both"/>
      </w:pPr>
      <w:r>
        <w:t xml:space="preserve"> </w:t>
      </w:r>
    </w:p>
    <w:p w:rsidR="008819D9" w:rsidRDefault="008819D9" w:rsidP="008819D9">
      <w:pPr>
        <w:spacing w:line="360" w:lineRule="auto"/>
        <w:ind w:firstLine="720"/>
        <w:jc w:val="both"/>
      </w:pPr>
    </w:p>
    <w:p w:rsidR="008819D9" w:rsidRDefault="008819D9" w:rsidP="008819D9">
      <w:pPr>
        <w:spacing w:line="360" w:lineRule="auto"/>
        <w:ind w:firstLine="720"/>
        <w:jc w:val="both"/>
      </w:pPr>
    </w:p>
    <w:p w:rsidR="00E30380" w:rsidRDefault="00E30380" w:rsidP="000A5152">
      <w:pPr>
        <w:spacing w:line="360" w:lineRule="auto"/>
        <w:jc w:val="both"/>
      </w:pPr>
    </w:p>
    <w:p w:rsidR="000A1565" w:rsidRDefault="000A1565" w:rsidP="00203E36">
      <w:pPr>
        <w:spacing w:line="360" w:lineRule="auto"/>
        <w:jc w:val="both"/>
      </w:pPr>
    </w:p>
    <w:p w:rsidR="000A1565" w:rsidRDefault="000A1565" w:rsidP="000A1565">
      <w:pPr>
        <w:pStyle w:val="ListParagraph"/>
        <w:spacing w:line="360" w:lineRule="auto"/>
        <w:ind w:left="1080"/>
        <w:jc w:val="both"/>
      </w:pPr>
    </w:p>
    <w:p w:rsidR="000939C2" w:rsidRDefault="000939C2" w:rsidP="0053056E">
      <w:pPr>
        <w:spacing w:line="360" w:lineRule="auto"/>
        <w:jc w:val="both"/>
      </w:pPr>
    </w:p>
    <w:sectPr w:rsidR="000939C2" w:rsidSect="0063490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512" w:rsidRDefault="00E90512" w:rsidP="0063490A">
      <w:r>
        <w:separator/>
      </w:r>
    </w:p>
  </w:endnote>
  <w:endnote w:type="continuationSeparator" w:id="0">
    <w:p w:rsidR="00E90512" w:rsidRDefault="00E90512" w:rsidP="0063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259959"/>
      <w:docPartObj>
        <w:docPartGallery w:val="Page Numbers (Bottom of Page)"/>
        <w:docPartUnique/>
      </w:docPartObj>
    </w:sdtPr>
    <w:sdtEndPr>
      <w:rPr>
        <w:noProof/>
      </w:rPr>
    </w:sdtEndPr>
    <w:sdtContent>
      <w:p w:rsidR="00DB4C22" w:rsidRDefault="00DB4C22">
        <w:pPr>
          <w:pStyle w:val="Footer"/>
          <w:jc w:val="center"/>
        </w:pPr>
        <w:r>
          <w:fldChar w:fldCharType="begin"/>
        </w:r>
        <w:r>
          <w:instrText xml:space="preserve"> PAGE   \* MERGEFORMAT </w:instrText>
        </w:r>
        <w:r>
          <w:fldChar w:fldCharType="separate"/>
        </w:r>
        <w:r w:rsidR="006A1EDC">
          <w:rPr>
            <w:noProof/>
          </w:rPr>
          <w:t>2</w:t>
        </w:r>
        <w:r>
          <w:rPr>
            <w:noProof/>
          </w:rPr>
          <w:fldChar w:fldCharType="end"/>
        </w:r>
      </w:p>
    </w:sdtContent>
  </w:sdt>
  <w:p w:rsidR="00DB4C22" w:rsidRDefault="00DB4C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512" w:rsidRDefault="00E90512" w:rsidP="0063490A">
      <w:r>
        <w:separator/>
      </w:r>
    </w:p>
  </w:footnote>
  <w:footnote w:type="continuationSeparator" w:id="0">
    <w:p w:rsidR="00E90512" w:rsidRDefault="00E90512" w:rsidP="00634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22" w:rsidRPr="0063490A" w:rsidRDefault="00DB4C22">
    <w:pPr>
      <w:pStyle w:val="Header"/>
      <w:rPr>
        <w:lang w:val="en-ZW"/>
      </w:rPr>
    </w:pPr>
    <w:r>
      <w:rPr>
        <w:lang w:val="en-ZW"/>
      </w:rPr>
      <w:tab/>
    </w:r>
    <w:r>
      <w:rPr>
        <w:lang w:val="en-ZW"/>
      </w:rPr>
      <w:tab/>
      <w:t>JUDGMENT NO. LC/H/</w:t>
    </w:r>
    <w:r w:rsidR="006A1EDC">
      <w:rPr>
        <w:lang w:val="en-ZW"/>
      </w:rPr>
      <w:t>334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1E93"/>
    <w:multiLevelType w:val="hybridMultilevel"/>
    <w:tmpl w:val="3440C12C"/>
    <w:lvl w:ilvl="0" w:tplc="C4AC7E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F443A1E"/>
    <w:multiLevelType w:val="hybridMultilevel"/>
    <w:tmpl w:val="774ADE6C"/>
    <w:lvl w:ilvl="0" w:tplc="E81E7BA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2E194271"/>
    <w:multiLevelType w:val="hybridMultilevel"/>
    <w:tmpl w:val="55982454"/>
    <w:lvl w:ilvl="0" w:tplc="750832C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CDD0857"/>
    <w:multiLevelType w:val="hybridMultilevel"/>
    <w:tmpl w:val="EAB4780A"/>
    <w:lvl w:ilvl="0" w:tplc="1AE8B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D2D0CD8"/>
    <w:multiLevelType w:val="hybridMultilevel"/>
    <w:tmpl w:val="7A989850"/>
    <w:lvl w:ilvl="0" w:tplc="35463B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98167F6"/>
    <w:multiLevelType w:val="hybridMultilevel"/>
    <w:tmpl w:val="CF48A844"/>
    <w:lvl w:ilvl="0" w:tplc="8710F01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CB715C1"/>
    <w:multiLevelType w:val="hybridMultilevel"/>
    <w:tmpl w:val="2F9A9E7C"/>
    <w:lvl w:ilvl="0" w:tplc="14CC5436">
      <w:numFmt w:val="bullet"/>
      <w:lvlText w:val="-"/>
      <w:lvlJc w:val="left"/>
      <w:pPr>
        <w:ind w:left="1080" w:hanging="360"/>
      </w:pPr>
      <w:rPr>
        <w:rFonts w:ascii="Tahoma" w:eastAsia="Times New Roman"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6CDF078E"/>
    <w:multiLevelType w:val="hybridMultilevel"/>
    <w:tmpl w:val="0A7A2A52"/>
    <w:lvl w:ilvl="0" w:tplc="6FD8526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EB"/>
    <w:rsid w:val="000263B6"/>
    <w:rsid w:val="00034CE2"/>
    <w:rsid w:val="00063B08"/>
    <w:rsid w:val="000750F9"/>
    <w:rsid w:val="000926C8"/>
    <w:rsid w:val="000939C2"/>
    <w:rsid w:val="000A136C"/>
    <w:rsid w:val="000A1565"/>
    <w:rsid w:val="000A5152"/>
    <w:rsid w:val="000D48C3"/>
    <w:rsid w:val="000E19BF"/>
    <w:rsid w:val="000F79DA"/>
    <w:rsid w:val="00112DFF"/>
    <w:rsid w:val="00125ADD"/>
    <w:rsid w:val="00135B20"/>
    <w:rsid w:val="001449D6"/>
    <w:rsid w:val="00164F4C"/>
    <w:rsid w:val="001C4E1C"/>
    <w:rsid w:val="00203E36"/>
    <w:rsid w:val="00206CFF"/>
    <w:rsid w:val="00236181"/>
    <w:rsid w:val="002664A3"/>
    <w:rsid w:val="002711DB"/>
    <w:rsid w:val="0029475E"/>
    <w:rsid w:val="002A2E9F"/>
    <w:rsid w:val="002F7D46"/>
    <w:rsid w:val="003030EC"/>
    <w:rsid w:val="00305680"/>
    <w:rsid w:val="00351C34"/>
    <w:rsid w:val="00360FD3"/>
    <w:rsid w:val="0038469A"/>
    <w:rsid w:val="003C2F7A"/>
    <w:rsid w:val="003C39C2"/>
    <w:rsid w:val="003D4DA3"/>
    <w:rsid w:val="003E14B0"/>
    <w:rsid w:val="003F0D6C"/>
    <w:rsid w:val="004027FB"/>
    <w:rsid w:val="004376C5"/>
    <w:rsid w:val="0044670F"/>
    <w:rsid w:val="0044716E"/>
    <w:rsid w:val="004518F7"/>
    <w:rsid w:val="00486A35"/>
    <w:rsid w:val="004872E7"/>
    <w:rsid w:val="0049647A"/>
    <w:rsid w:val="004A0691"/>
    <w:rsid w:val="004B3117"/>
    <w:rsid w:val="004C25BE"/>
    <w:rsid w:val="004D21AB"/>
    <w:rsid w:val="004F7CAE"/>
    <w:rsid w:val="00502538"/>
    <w:rsid w:val="00503DFD"/>
    <w:rsid w:val="00515712"/>
    <w:rsid w:val="00523D54"/>
    <w:rsid w:val="0053056E"/>
    <w:rsid w:val="005345F0"/>
    <w:rsid w:val="00534DC1"/>
    <w:rsid w:val="00554C34"/>
    <w:rsid w:val="005618A4"/>
    <w:rsid w:val="00584142"/>
    <w:rsid w:val="005A2D1C"/>
    <w:rsid w:val="005B6CDA"/>
    <w:rsid w:val="005D73CB"/>
    <w:rsid w:val="0063490A"/>
    <w:rsid w:val="00651264"/>
    <w:rsid w:val="006512B0"/>
    <w:rsid w:val="00653455"/>
    <w:rsid w:val="00657FA0"/>
    <w:rsid w:val="00674FFB"/>
    <w:rsid w:val="00676B35"/>
    <w:rsid w:val="00683211"/>
    <w:rsid w:val="0069500B"/>
    <w:rsid w:val="006A1EDC"/>
    <w:rsid w:val="006C14CE"/>
    <w:rsid w:val="006D04C5"/>
    <w:rsid w:val="007173F9"/>
    <w:rsid w:val="00732369"/>
    <w:rsid w:val="00760335"/>
    <w:rsid w:val="00761032"/>
    <w:rsid w:val="00763A71"/>
    <w:rsid w:val="00782761"/>
    <w:rsid w:val="00782E7F"/>
    <w:rsid w:val="007919D2"/>
    <w:rsid w:val="007A6D7D"/>
    <w:rsid w:val="007D55AA"/>
    <w:rsid w:val="00837AF3"/>
    <w:rsid w:val="0084545B"/>
    <w:rsid w:val="00863348"/>
    <w:rsid w:val="0086544E"/>
    <w:rsid w:val="008819D9"/>
    <w:rsid w:val="00894121"/>
    <w:rsid w:val="008B4EF5"/>
    <w:rsid w:val="008C0656"/>
    <w:rsid w:val="008E178F"/>
    <w:rsid w:val="00902F28"/>
    <w:rsid w:val="00910E6D"/>
    <w:rsid w:val="00964691"/>
    <w:rsid w:val="00967683"/>
    <w:rsid w:val="00973503"/>
    <w:rsid w:val="00995CC8"/>
    <w:rsid w:val="009C5A1B"/>
    <w:rsid w:val="009D014B"/>
    <w:rsid w:val="009D1799"/>
    <w:rsid w:val="00A17926"/>
    <w:rsid w:val="00A63420"/>
    <w:rsid w:val="00B248DA"/>
    <w:rsid w:val="00B403B3"/>
    <w:rsid w:val="00B81B67"/>
    <w:rsid w:val="00BD494E"/>
    <w:rsid w:val="00BF25EB"/>
    <w:rsid w:val="00C13E41"/>
    <w:rsid w:val="00C16294"/>
    <w:rsid w:val="00C5503E"/>
    <w:rsid w:val="00C64C33"/>
    <w:rsid w:val="00CA66FB"/>
    <w:rsid w:val="00CC456D"/>
    <w:rsid w:val="00CD5179"/>
    <w:rsid w:val="00CE2D87"/>
    <w:rsid w:val="00CE6D64"/>
    <w:rsid w:val="00CE7672"/>
    <w:rsid w:val="00CF71EB"/>
    <w:rsid w:val="00D204A7"/>
    <w:rsid w:val="00D664B1"/>
    <w:rsid w:val="00D858CE"/>
    <w:rsid w:val="00DB4052"/>
    <w:rsid w:val="00DB4C22"/>
    <w:rsid w:val="00DC1AD7"/>
    <w:rsid w:val="00DC7FB9"/>
    <w:rsid w:val="00DD1639"/>
    <w:rsid w:val="00DF0771"/>
    <w:rsid w:val="00E10E1E"/>
    <w:rsid w:val="00E263BE"/>
    <w:rsid w:val="00E30380"/>
    <w:rsid w:val="00E63864"/>
    <w:rsid w:val="00E80A6F"/>
    <w:rsid w:val="00E81222"/>
    <w:rsid w:val="00E90512"/>
    <w:rsid w:val="00E94C5E"/>
    <w:rsid w:val="00EA1736"/>
    <w:rsid w:val="00EA5A36"/>
    <w:rsid w:val="00EC04F1"/>
    <w:rsid w:val="00ED3295"/>
    <w:rsid w:val="00ED7352"/>
    <w:rsid w:val="00ED78A5"/>
    <w:rsid w:val="00EE4EB6"/>
    <w:rsid w:val="00EF0674"/>
    <w:rsid w:val="00F01F1B"/>
    <w:rsid w:val="00F03DFC"/>
    <w:rsid w:val="00F06EC6"/>
    <w:rsid w:val="00F21ADB"/>
    <w:rsid w:val="00F5444E"/>
    <w:rsid w:val="00F700A9"/>
    <w:rsid w:val="00F961BC"/>
    <w:rsid w:val="00FA098D"/>
    <w:rsid w:val="00FB70E2"/>
    <w:rsid w:val="00FC1F89"/>
    <w:rsid w:val="00FC4C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9C2"/>
    <w:pPr>
      <w:ind w:left="720"/>
      <w:contextualSpacing/>
    </w:pPr>
  </w:style>
  <w:style w:type="paragraph" w:styleId="Header">
    <w:name w:val="header"/>
    <w:basedOn w:val="Normal"/>
    <w:link w:val="HeaderChar"/>
    <w:uiPriority w:val="99"/>
    <w:unhideWhenUsed/>
    <w:rsid w:val="0063490A"/>
    <w:pPr>
      <w:tabs>
        <w:tab w:val="center" w:pos="4513"/>
        <w:tab w:val="right" w:pos="9026"/>
      </w:tabs>
    </w:pPr>
  </w:style>
  <w:style w:type="character" w:customStyle="1" w:styleId="HeaderChar">
    <w:name w:val="Header Char"/>
    <w:basedOn w:val="DefaultParagraphFont"/>
    <w:link w:val="Header"/>
    <w:uiPriority w:val="99"/>
    <w:rsid w:val="0063490A"/>
    <w:rPr>
      <w:rFonts w:ascii="Tahoma" w:eastAsia="Times New Roman" w:hAnsi="Tahoma" w:cs="Times New Roman"/>
      <w:sz w:val="24"/>
      <w:szCs w:val="24"/>
      <w:lang w:val="en-US"/>
    </w:rPr>
  </w:style>
  <w:style w:type="paragraph" w:styleId="Footer">
    <w:name w:val="footer"/>
    <w:basedOn w:val="Normal"/>
    <w:link w:val="FooterChar"/>
    <w:uiPriority w:val="99"/>
    <w:unhideWhenUsed/>
    <w:rsid w:val="0063490A"/>
    <w:pPr>
      <w:tabs>
        <w:tab w:val="center" w:pos="4513"/>
        <w:tab w:val="right" w:pos="9026"/>
      </w:tabs>
    </w:pPr>
  </w:style>
  <w:style w:type="character" w:customStyle="1" w:styleId="FooterChar">
    <w:name w:val="Footer Char"/>
    <w:basedOn w:val="DefaultParagraphFont"/>
    <w:link w:val="Footer"/>
    <w:uiPriority w:val="99"/>
    <w:rsid w:val="0063490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9C2"/>
    <w:pPr>
      <w:ind w:left="720"/>
      <w:contextualSpacing/>
    </w:pPr>
  </w:style>
  <w:style w:type="paragraph" w:styleId="Header">
    <w:name w:val="header"/>
    <w:basedOn w:val="Normal"/>
    <w:link w:val="HeaderChar"/>
    <w:uiPriority w:val="99"/>
    <w:unhideWhenUsed/>
    <w:rsid w:val="0063490A"/>
    <w:pPr>
      <w:tabs>
        <w:tab w:val="center" w:pos="4513"/>
        <w:tab w:val="right" w:pos="9026"/>
      </w:tabs>
    </w:pPr>
  </w:style>
  <w:style w:type="character" w:customStyle="1" w:styleId="HeaderChar">
    <w:name w:val="Header Char"/>
    <w:basedOn w:val="DefaultParagraphFont"/>
    <w:link w:val="Header"/>
    <w:uiPriority w:val="99"/>
    <w:rsid w:val="0063490A"/>
    <w:rPr>
      <w:rFonts w:ascii="Tahoma" w:eastAsia="Times New Roman" w:hAnsi="Tahoma" w:cs="Times New Roman"/>
      <w:sz w:val="24"/>
      <w:szCs w:val="24"/>
      <w:lang w:val="en-US"/>
    </w:rPr>
  </w:style>
  <w:style w:type="paragraph" w:styleId="Footer">
    <w:name w:val="footer"/>
    <w:basedOn w:val="Normal"/>
    <w:link w:val="FooterChar"/>
    <w:uiPriority w:val="99"/>
    <w:unhideWhenUsed/>
    <w:rsid w:val="0063490A"/>
    <w:pPr>
      <w:tabs>
        <w:tab w:val="center" w:pos="4513"/>
        <w:tab w:val="right" w:pos="9026"/>
      </w:tabs>
    </w:pPr>
  </w:style>
  <w:style w:type="character" w:customStyle="1" w:styleId="FooterChar">
    <w:name w:val="Footer Char"/>
    <w:basedOn w:val="DefaultParagraphFont"/>
    <w:link w:val="Footer"/>
    <w:uiPriority w:val="99"/>
    <w:rsid w:val="0063490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61</cp:revision>
  <dcterms:created xsi:type="dcterms:W3CDTF">2016-05-04T08:57:00Z</dcterms:created>
  <dcterms:modified xsi:type="dcterms:W3CDTF">2016-05-16T07:32:00Z</dcterms:modified>
</cp:coreProperties>
</file>