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BEB64" w14:textId="639C9F7A" w:rsidR="00D81197" w:rsidRPr="00F343E6" w:rsidRDefault="00F343E6" w:rsidP="00F42946">
      <w:pPr>
        <w:spacing w:after="0" w:line="480" w:lineRule="auto"/>
        <w:jc w:val="both"/>
        <w:rPr>
          <w:rFonts w:ascii="Times New Roman" w:hAnsi="Times New Roman"/>
          <w:b/>
          <w:sz w:val="24"/>
          <w:szCs w:val="24"/>
          <w:lang w:val="en-ZA"/>
        </w:rPr>
      </w:pPr>
      <w:bookmarkStart w:id="0" w:name="_GoBack"/>
      <w:bookmarkEnd w:id="0"/>
      <w:r>
        <w:rPr>
          <w:rFonts w:ascii="Times New Roman" w:hAnsi="Times New Roman"/>
          <w:b/>
          <w:sz w:val="24"/>
          <w:szCs w:val="24"/>
          <w:u w:val="single"/>
          <w:lang w:val="en-ZA"/>
        </w:rPr>
        <w:t>REPORTABLE</w:t>
      </w:r>
      <w:r>
        <w:rPr>
          <w:rFonts w:ascii="Times New Roman" w:hAnsi="Times New Roman"/>
          <w:b/>
          <w:sz w:val="24"/>
          <w:szCs w:val="24"/>
          <w:lang w:val="en-ZA"/>
        </w:rPr>
        <w:tab/>
        <w:t>(60)</w:t>
      </w:r>
    </w:p>
    <w:p w14:paraId="3B424521" w14:textId="77777777" w:rsidR="00D81197" w:rsidRPr="00BA5A45" w:rsidRDefault="00D81197" w:rsidP="00F42946">
      <w:pPr>
        <w:spacing w:after="0" w:line="480" w:lineRule="auto"/>
        <w:jc w:val="center"/>
        <w:rPr>
          <w:rFonts w:ascii="Times New Roman" w:hAnsi="Times New Roman"/>
          <w:b/>
          <w:sz w:val="24"/>
          <w:szCs w:val="24"/>
          <w:lang w:val="en-ZA"/>
        </w:rPr>
      </w:pPr>
    </w:p>
    <w:p w14:paraId="785927C2" w14:textId="22E97906" w:rsidR="00B17D41" w:rsidRPr="00BA5A45" w:rsidRDefault="00B17D41" w:rsidP="00F42946">
      <w:pPr>
        <w:spacing w:after="0" w:line="240" w:lineRule="auto"/>
        <w:jc w:val="center"/>
        <w:rPr>
          <w:rFonts w:ascii="Times New Roman" w:hAnsi="Times New Roman"/>
          <w:b/>
          <w:sz w:val="24"/>
          <w:szCs w:val="24"/>
          <w:lang w:val="en-ZA"/>
        </w:rPr>
      </w:pPr>
      <w:r w:rsidRPr="00BA5A45">
        <w:rPr>
          <w:rFonts w:ascii="Times New Roman" w:hAnsi="Times New Roman"/>
          <w:b/>
          <w:sz w:val="24"/>
          <w:szCs w:val="24"/>
          <w:lang w:val="en-ZA"/>
        </w:rPr>
        <w:t xml:space="preserve">LLOYD </w:t>
      </w:r>
      <w:r w:rsidR="00D81197" w:rsidRPr="00BA5A45">
        <w:rPr>
          <w:rFonts w:ascii="Times New Roman" w:hAnsi="Times New Roman"/>
          <w:b/>
          <w:sz w:val="24"/>
          <w:szCs w:val="24"/>
          <w:lang w:val="en-ZA"/>
        </w:rPr>
        <w:t xml:space="preserve">    </w:t>
      </w:r>
      <w:r w:rsidRPr="00BA5A45">
        <w:rPr>
          <w:rFonts w:ascii="Times New Roman" w:hAnsi="Times New Roman"/>
          <w:b/>
          <w:sz w:val="24"/>
          <w:szCs w:val="24"/>
          <w:lang w:val="en-ZA"/>
        </w:rPr>
        <w:t>MANOKORE</w:t>
      </w:r>
    </w:p>
    <w:p w14:paraId="0F572DDF" w14:textId="77777777" w:rsidR="00B17D41" w:rsidRPr="00BA5A45" w:rsidRDefault="00B17D41" w:rsidP="00F42946">
      <w:pPr>
        <w:spacing w:after="0" w:line="240" w:lineRule="auto"/>
        <w:jc w:val="center"/>
        <w:rPr>
          <w:rFonts w:ascii="Times New Roman" w:hAnsi="Times New Roman"/>
          <w:b/>
          <w:sz w:val="24"/>
          <w:szCs w:val="24"/>
          <w:lang w:val="en-ZA"/>
        </w:rPr>
      </w:pPr>
      <w:r w:rsidRPr="00BA5A45">
        <w:rPr>
          <w:rFonts w:ascii="Times New Roman" w:hAnsi="Times New Roman"/>
          <w:b/>
          <w:sz w:val="24"/>
          <w:szCs w:val="24"/>
          <w:lang w:val="en-ZA"/>
        </w:rPr>
        <w:t>v</w:t>
      </w:r>
    </w:p>
    <w:p w14:paraId="1E87892C" w14:textId="509A6370" w:rsidR="00CF0F72" w:rsidRPr="00BA5A45" w:rsidRDefault="00B17D41" w:rsidP="00F42946">
      <w:pPr>
        <w:spacing w:after="0" w:line="480" w:lineRule="auto"/>
        <w:contextualSpacing/>
        <w:jc w:val="center"/>
        <w:rPr>
          <w:rFonts w:ascii="Times New Roman" w:hAnsi="Times New Roman"/>
          <w:b/>
          <w:sz w:val="24"/>
          <w:szCs w:val="24"/>
          <w:lang w:val="en-ZA"/>
        </w:rPr>
      </w:pPr>
      <w:r w:rsidRPr="00BA5A45">
        <w:rPr>
          <w:rFonts w:ascii="Times New Roman" w:hAnsi="Times New Roman"/>
          <w:b/>
          <w:sz w:val="24"/>
          <w:szCs w:val="24"/>
          <w:lang w:val="en-ZA"/>
        </w:rPr>
        <w:t xml:space="preserve">LAW </w:t>
      </w:r>
      <w:r w:rsidR="007B57EE" w:rsidRPr="00BA5A45">
        <w:rPr>
          <w:rFonts w:ascii="Times New Roman" w:hAnsi="Times New Roman"/>
          <w:b/>
          <w:sz w:val="24"/>
          <w:szCs w:val="24"/>
          <w:lang w:val="en-ZA"/>
        </w:rPr>
        <w:t xml:space="preserve">    </w:t>
      </w:r>
      <w:r w:rsidRPr="00BA5A45">
        <w:rPr>
          <w:rFonts w:ascii="Times New Roman" w:hAnsi="Times New Roman"/>
          <w:b/>
          <w:sz w:val="24"/>
          <w:szCs w:val="24"/>
          <w:lang w:val="en-ZA"/>
        </w:rPr>
        <w:t xml:space="preserve">SOCIETY </w:t>
      </w:r>
      <w:r w:rsidR="007B57EE" w:rsidRPr="00BA5A45">
        <w:rPr>
          <w:rFonts w:ascii="Times New Roman" w:hAnsi="Times New Roman"/>
          <w:b/>
          <w:sz w:val="24"/>
          <w:szCs w:val="24"/>
          <w:lang w:val="en-ZA"/>
        </w:rPr>
        <w:t xml:space="preserve">    </w:t>
      </w:r>
      <w:r w:rsidRPr="00BA5A45">
        <w:rPr>
          <w:rFonts w:ascii="Times New Roman" w:hAnsi="Times New Roman"/>
          <w:b/>
          <w:sz w:val="24"/>
          <w:szCs w:val="24"/>
          <w:lang w:val="en-ZA"/>
        </w:rPr>
        <w:t xml:space="preserve">OF </w:t>
      </w:r>
      <w:r w:rsidR="007B57EE" w:rsidRPr="00BA5A45">
        <w:rPr>
          <w:rFonts w:ascii="Times New Roman" w:hAnsi="Times New Roman"/>
          <w:b/>
          <w:sz w:val="24"/>
          <w:szCs w:val="24"/>
          <w:lang w:val="en-ZA"/>
        </w:rPr>
        <w:t xml:space="preserve">    </w:t>
      </w:r>
      <w:r w:rsidRPr="00BA5A45">
        <w:rPr>
          <w:rFonts w:ascii="Times New Roman" w:hAnsi="Times New Roman"/>
          <w:b/>
          <w:sz w:val="24"/>
          <w:szCs w:val="24"/>
          <w:lang w:val="en-ZA"/>
        </w:rPr>
        <w:t>ZIMBABWE</w:t>
      </w:r>
    </w:p>
    <w:p w14:paraId="24B1C56F" w14:textId="77777777" w:rsidR="00D81197" w:rsidRPr="00BA5A45" w:rsidRDefault="00D81197" w:rsidP="00F42946">
      <w:pPr>
        <w:spacing w:after="0" w:line="480" w:lineRule="auto"/>
        <w:ind w:left="720"/>
        <w:contextualSpacing/>
        <w:rPr>
          <w:rFonts w:ascii="Times New Roman" w:hAnsi="Times New Roman"/>
          <w:b/>
          <w:sz w:val="24"/>
          <w:szCs w:val="24"/>
          <w:lang w:val="en-ZA"/>
        </w:rPr>
      </w:pPr>
    </w:p>
    <w:p w14:paraId="11954538" w14:textId="77777777" w:rsidR="00B17D41" w:rsidRPr="00BA5A45" w:rsidRDefault="00B17D41" w:rsidP="00F42946">
      <w:pPr>
        <w:spacing w:after="0" w:line="240" w:lineRule="auto"/>
        <w:rPr>
          <w:rFonts w:ascii="Times New Roman" w:hAnsi="Times New Roman"/>
          <w:b/>
          <w:sz w:val="24"/>
          <w:szCs w:val="24"/>
          <w:lang w:val="en-ZA"/>
        </w:rPr>
      </w:pPr>
      <w:r w:rsidRPr="00BA5A45">
        <w:rPr>
          <w:rFonts w:ascii="Times New Roman" w:hAnsi="Times New Roman"/>
          <w:b/>
          <w:sz w:val="24"/>
          <w:szCs w:val="24"/>
          <w:lang w:val="en-ZA"/>
        </w:rPr>
        <w:t>SUPREME COURT OF ZIMBABWE</w:t>
      </w:r>
    </w:p>
    <w:p w14:paraId="268D28E5" w14:textId="77777777" w:rsidR="00B17D41" w:rsidRPr="00BA5A45" w:rsidRDefault="00B17D41" w:rsidP="00F42946">
      <w:pPr>
        <w:spacing w:after="0" w:line="240" w:lineRule="auto"/>
        <w:rPr>
          <w:rFonts w:ascii="Times New Roman" w:hAnsi="Times New Roman"/>
          <w:b/>
          <w:sz w:val="24"/>
          <w:szCs w:val="24"/>
          <w:lang w:val="en-ZA"/>
        </w:rPr>
      </w:pPr>
      <w:r w:rsidRPr="00BA5A45">
        <w:rPr>
          <w:rFonts w:ascii="Times New Roman" w:hAnsi="Times New Roman"/>
          <w:b/>
          <w:sz w:val="24"/>
          <w:szCs w:val="24"/>
          <w:lang w:val="en-ZA"/>
        </w:rPr>
        <w:t>MAKONI JA, MATHONSI JA &amp; CHITAKUNYE JA</w:t>
      </w:r>
    </w:p>
    <w:p w14:paraId="1066B1D6" w14:textId="3FA51CD7" w:rsidR="00B17D41" w:rsidRPr="00BA5A45" w:rsidRDefault="00B17D41" w:rsidP="00F42946">
      <w:pPr>
        <w:spacing w:after="0" w:line="480" w:lineRule="auto"/>
        <w:rPr>
          <w:rFonts w:ascii="Times New Roman" w:hAnsi="Times New Roman"/>
          <w:b/>
          <w:sz w:val="24"/>
          <w:szCs w:val="24"/>
          <w:lang w:val="en-ZA"/>
        </w:rPr>
      </w:pPr>
      <w:r w:rsidRPr="00BA5A45">
        <w:rPr>
          <w:rFonts w:ascii="Times New Roman" w:hAnsi="Times New Roman"/>
          <w:b/>
          <w:sz w:val="24"/>
          <w:szCs w:val="24"/>
          <w:lang w:val="en-ZA"/>
        </w:rPr>
        <w:t xml:space="preserve">HARARE, </w:t>
      </w:r>
      <w:r w:rsidR="00010A8E" w:rsidRPr="00BA5A45">
        <w:rPr>
          <w:rFonts w:ascii="Times New Roman" w:hAnsi="Times New Roman"/>
          <w:b/>
          <w:sz w:val="24"/>
          <w:szCs w:val="24"/>
          <w:lang w:val="en-ZA"/>
        </w:rPr>
        <w:t xml:space="preserve">14 </w:t>
      </w:r>
      <w:r w:rsidRPr="00BA5A45">
        <w:rPr>
          <w:rFonts w:ascii="Times New Roman" w:hAnsi="Times New Roman"/>
          <w:b/>
          <w:sz w:val="24"/>
          <w:szCs w:val="24"/>
          <w:lang w:val="en-ZA"/>
        </w:rPr>
        <w:t>OCTOBER, 2021</w:t>
      </w:r>
      <w:r w:rsidR="00D051F6" w:rsidRPr="00BA5A45">
        <w:rPr>
          <w:rFonts w:ascii="Times New Roman" w:hAnsi="Times New Roman"/>
          <w:b/>
          <w:sz w:val="24"/>
          <w:szCs w:val="24"/>
          <w:lang w:val="en-ZA"/>
        </w:rPr>
        <w:t xml:space="preserve"> &amp; 23</w:t>
      </w:r>
      <w:r w:rsidR="00B65031" w:rsidRPr="00BA5A45">
        <w:rPr>
          <w:rFonts w:ascii="Times New Roman" w:hAnsi="Times New Roman"/>
          <w:b/>
          <w:sz w:val="24"/>
          <w:szCs w:val="24"/>
          <w:lang w:val="en-ZA"/>
        </w:rPr>
        <w:t xml:space="preserve"> J</w:t>
      </w:r>
      <w:r w:rsidR="00F343E6" w:rsidRPr="00BA5A45">
        <w:rPr>
          <w:rFonts w:ascii="Times New Roman" w:hAnsi="Times New Roman"/>
          <w:b/>
          <w:sz w:val="24"/>
          <w:szCs w:val="24"/>
          <w:lang w:val="en-ZA"/>
        </w:rPr>
        <w:t>UNE</w:t>
      </w:r>
      <w:r w:rsidR="00612539">
        <w:rPr>
          <w:rFonts w:ascii="Times New Roman" w:hAnsi="Times New Roman"/>
          <w:b/>
          <w:sz w:val="24"/>
          <w:szCs w:val="24"/>
          <w:lang w:val="en-ZA"/>
        </w:rPr>
        <w:t>,</w:t>
      </w:r>
      <w:r w:rsidR="00F343E6" w:rsidRPr="00BA5A45">
        <w:rPr>
          <w:rFonts w:ascii="Times New Roman" w:hAnsi="Times New Roman"/>
          <w:b/>
          <w:sz w:val="24"/>
          <w:szCs w:val="24"/>
          <w:lang w:val="en-ZA"/>
        </w:rPr>
        <w:t xml:space="preserve"> </w:t>
      </w:r>
      <w:r w:rsidR="0073235B" w:rsidRPr="00BA5A45">
        <w:rPr>
          <w:rFonts w:ascii="Times New Roman" w:hAnsi="Times New Roman"/>
          <w:b/>
          <w:sz w:val="24"/>
          <w:szCs w:val="24"/>
          <w:lang w:val="en-ZA"/>
        </w:rPr>
        <w:t>2022</w:t>
      </w:r>
    </w:p>
    <w:p w14:paraId="52EFE946" w14:textId="77777777" w:rsidR="00D81197" w:rsidRPr="00BA5A45" w:rsidRDefault="00D81197" w:rsidP="00F42946">
      <w:pPr>
        <w:spacing w:after="0" w:line="480" w:lineRule="auto"/>
        <w:rPr>
          <w:rFonts w:ascii="Times New Roman" w:hAnsi="Times New Roman"/>
          <w:b/>
          <w:sz w:val="24"/>
          <w:szCs w:val="24"/>
          <w:lang w:val="en-ZA"/>
        </w:rPr>
      </w:pPr>
    </w:p>
    <w:p w14:paraId="5F3567E7" w14:textId="77777777" w:rsidR="00B17D41" w:rsidRPr="00BA5A45" w:rsidRDefault="00B17D41" w:rsidP="00F42946">
      <w:pPr>
        <w:spacing w:after="0" w:line="480" w:lineRule="auto"/>
        <w:rPr>
          <w:rFonts w:ascii="Times New Roman" w:hAnsi="Times New Roman"/>
          <w:b/>
          <w:sz w:val="24"/>
          <w:szCs w:val="24"/>
          <w:lang w:val="en-ZA"/>
        </w:rPr>
      </w:pPr>
      <w:r w:rsidRPr="00BA5A45">
        <w:rPr>
          <w:rFonts w:ascii="Times New Roman" w:hAnsi="Times New Roman"/>
          <w:i/>
          <w:sz w:val="24"/>
          <w:szCs w:val="24"/>
          <w:lang w:val="en-ZA"/>
        </w:rPr>
        <w:t>F</w:t>
      </w:r>
      <w:r w:rsidR="00CF0F72" w:rsidRPr="00BA5A45">
        <w:rPr>
          <w:rFonts w:ascii="Times New Roman" w:hAnsi="Times New Roman"/>
          <w:i/>
          <w:sz w:val="24"/>
          <w:szCs w:val="24"/>
          <w:lang w:val="en-ZA"/>
        </w:rPr>
        <w:t>.</w:t>
      </w:r>
      <w:r w:rsidRPr="00BA5A45">
        <w:rPr>
          <w:rFonts w:ascii="Times New Roman" w:hAnsi="Times New Roman"/>
          <w:i/>
          <w:sz w:val="24"/>
          <w:szCs w:val="24"/>
          <w:lang w:val="en-ZA"/>
        </w:rPr>
        <w:t xml:space="preserve"> Girach</w:t>
      </w:r>
      <w:r w:rsidR="00CF0F72" w:rsidRPr="00BA5A45">
        <w:rPr>
          <w:rFonts w:ascii="Times New Roman" w:hAnsi="Times New Roman"/>
          <w:i/>
          <w:sz w:val="24"/>
          <w:szCs w:val="24"/>
          <w:lang w:val="en-ZA"/>
        </w:rPr>
        <w:t>,</w:t>
      </w:r>
      <w:r w:rsidRPr="00BA5A45">
        <w:rPr>
          <w:rFonts w:ascii="Times New Roman" w:hAnsi="Times New Roman"/>
          <w:i/>
          <w:sz w:val="24"/>
          <w:szCs w:val="24"/>
          <w:lang w:val="en-ZA"/>
        </w:rPr>
        <w:t xml:space="preserve"> </w:t>
      </w:r>
      <w:r w:rsidR="00CF0F72" w:rsidRPr="00BA5A45">
        <w:rPr>
          <w:rFonts w:ascii="Times New Roman" w:hAnsi="Times New Roman"/>
          <w:sz w:val="24"/>
          <w:szCs w:val="24"/>
          <w:lang w:val="en-ZA"/>
        </w:rPr>
        <w:t>for the a</w:t>
      </w:r>
      <w:r w:rsidRPr="00BA5A45">
        <w:rPr>
          <w:rFonts w:ascii="Times New Roman" w:hAnsi="Times New Roman"/>
          <w:sz w:val="24"/>
          <w:szCs w:val="24"/>
          <w:lang w:val="en-ZA"/>
        </w:rPr>
        <w:t>ppellant</w:t>
      </w:r>
    </w:p>
    <w:p w14:paraId="1EDFF784" w14:textId="77777777" w:rsidR="00CF0F72" w:rsidRPr="00BA5A45" w:rsidRDefault="00B17D41" w:rsidP="00F42946">
      <w:pPr>
        <w:spacing w:after="0" w:line="480" w:lineRule="auto"/>
        <w:rPr>
          <w:rFonts w:ascii="Times New Roman" w:hAnsi="Times New Roman"/>
          <w:i/>
          <w:sz w:val="24"/>
          <w:szCs w:val="24"/>
          <w:lang w:val="en-ZA"/>
        </w:rPr>
      </w:pPr>
      <w:r w:rsidRPr="00BA5A45">
        <w:rPr>
          <w:rFonts w:ascii="Times New Roman" w:hAnsi="Times New Roman"/>
          <w:i/>
          <w:sz w:val="24"/>
          <w:szCs w:val="24"/>
          <w:lang w:val="en-ZA"/>
        </w:rPr>
        <w:t>S</w:t>
      </w:r>
      <w:r w:rsidR="00CF0F72" w:rsidRPr="00BA5A45">
        <w:rPr>
          <w:rFonts w:ascii="Times New Roman" w:hAnsi="Times New Roman"/>
          <w:i/>
          <w:sz w:val="24"/>
          <w:szCs w:val="24"/>
          <w:lang w:val="en-ZA"/>
        </w:rPr>
        <w:t>.</w:t>
      </w:r>
      <w:r w:rsidRPr="00BA5A45">
        <w:rPr>
          <w:rFonts w:ascii="Times New Roman" w:hAnsi="Times New Roman"/>
          <w:i/>
          <w:sz w:val="24"/>
          <w:szCs w:val="24"/>
          <w:lang w:val="en-ZA"/>
        </w:rPr>
        <w:t xml:space="preserve"> Gahadzikwa</w:t>
      </w:r>
      <w:r w:rsidR="00CF0F72" w:rsidRPr="00BA5A45">
        <w:rPr>
          <w:rFonts w:ascii="Times New Roman" w:hAnsi="Times New Roman"/>
          <w:i/>
          <w:sz w:val="24"/>
          <w:szCs w:val="24"/>
          <w:lang w:val="en-ZA"/>
        </w:rPr>
        <w:t>,</w:t>
      </w:r>
      <w:r w:rsidRPr="00BA5A45">
        <w:rPr>
          <w:rFonts w:ascii="Times New Roman" w:hAnsi="Times New Roman"/>
          <w:i/>
          <w:sz w:val="24"/>
          <w:szCs w:val="24"/>
          <w:lang w:val="en-ZA"/>
        </w:rPr>
        <w:t xml:space="preserve"> </w:t>
      </w:r>
      <w:r w:rsidR="00CF0F72" w:rsidRPr="00BA5A45">
        <w:rPr>
          <w:rFonts w:ascii="Times New Roman" w:hAnsi="Times New Roman"/>
          <w:sz w:val="24"/>
          <w:szCs w:val="24"/>
          <w:lang w:val="en-ZA"/>
        </w:rPr>
        <w:t>for the r</w:t>
      </w:r>
      <w:r w:rsidRPr="00BA5A45">
        <w:rPr>
          <w:rFonts w:ascii="Times New Roman" w:hAnsi="Times New Roman"/>
          <w:sz w:val="24"/>
          <w:szCs w:val="24"/>
          <w:lang w:val="en-ZA"/>
        </w:rPr>
        <w:t>espondent</w:t>
      </w:r>
      <w:r w:rsidRPr="00BA5A45">
        <w:rPr>
          <w:rFonts w:ascii="Times New Roman" w:hAnsi="Times New Roman"/>
          <w:i/>
          <w:sz w:val="24"/>
          <w:szCs w:val="24"/>
          <w:lang w:val="en-ZA"/>
        </w:rPr>
        <w:t xml:space="preserve"> </w:t>
      </w:r>
    </w:p>
    <w:p w14:paraId="7C9CC338" w14:textId="77777777" w:rsidR="00D81197" w:rsidRPr="00BA5A45" w:rsidRDefault="00D81197" w:rsidP="00F42946">
      <w:pPr>
        <w:spacing w:after="0" w:line="480" w:lineRule="auto"/>
        <w:rPr>
          <w:rFonts w:ascii="Times New Roman" w:hAnsi="Times New Roman"/>
          <w:i/>
          <w:sz w:val="24"/>
          <w:szCs w:val="24"/>
          <w:lang w:val="en-ZA"/>
        </w:rPr>
      </w:pPr>
    </w:p>
    <w:p w14:paraId="11273A54" w14:textId="70765BBA" w:rsidR="002B4625" w:rsidRPr="00BA5A45" w:rsidRDefault="00B17D41" w:rsidP="00F42946">
      <w:pPr>
        <w:spacing w:after="0" w:line="480" w:lineRule="auto"/>
        <w:ind w:firstLine="1134"/>
        <w:jc w:val="both"/>
        <w:rPr>
          <w:rFonts w:ascii="Times New Roman" w:hAnsi="Times New Roman"/>
          <w:sz w:val="24"/>
          <w:lang w:val="en-GB"/>
        </w:rPr>
      </w:pPr>
      <w:r w:rsidRPr="00BA5A45">
        <w:rPr>
          <w:rFonts w:ascii="Times New Roman" w:hAnsi="Times New Roman"/>
          <w:b/>
          <w:sz w:val="24"/>
          <w:szCs w:val="24"/>
          <w:lang w:val="en-ZA"/>
        </w:rPr>
        <w:t>CHITAKUNYE JA</w:t>
      </w:r>
      <w:r w:rsidR="00D81197" w:rsidRPr="00BA5A45">
        <w:rPr>
          <w:rFonts w:ascii="Times New Roman" w:hAnsi="Times New Roman"/>
          <w:sz w:val="24"/>
          <w:szCs w:val="24"/>
          <w:lang w:val="en-ZA"/>
        </w:rPr>
        <w:t>:</w:t>
      </w:r>
      <w:r w:rsidR="00D81197" w:rsidRPr="00BA5A45">
        <w:rPr>
          <w:rFonts w:ascii="Times New Roman" w:hAnsi="Times New Roman"/>
          <w:sz w:val="24"/>
          <w:szCs w:val="24"/>
          <w:lang w:val="en-ZA"/>
        </w:rPr>
        <w:tab/>
      </w:r>
      <w:r w:rsidRPr="00BA5A45">
        <w:rPr>
          <w:rFonts w:ascii="Times New Roman" w:hAnsi="Times New Roman"/>
          <w:sz w:val="24"/>
          <w:lang w:val="en-GB"/>
        </w:rPr>
        <w:t>This i</w:t>
      </w:r>
      <w:r w:rsidR="002B4625" w:rsidRPr="00BA5A45">
        <w:rPr>
          <w:rFonts w:ascii="Times New Roman" w:hAnsi="Times New Roman"/>
          <w:sz w:val="24"/>
          <w:lang w:val="en-GB"/>
        </w:rPr>
        <w:t>s an appeal against the whole judgment of the Legal Practitioners Disciplinary Tribunal</w:t>
      </w:r>
      <w:r w:rsidR="00BE12E1" w:rsidRPr="00BA5A45">
        <w:rPr>
          <w:rFonts w:ascii="Times New Roman" w:hAnsi="Times New Roman"/>
          <w:sz w:val="24"/>
          <w:lang w:val="en-GB"/>
        </w:rPr>
        <w:t xml:space="preserve"> handed down </w:t>
      </w:r>
      <w:r w:rsidR="002B4625" w:rsidRPr="00BA5A45">
        <w:rPr>
          <w:rFonts w:ascii="Times New Roman" w:hAnsi="Times New Roman"/>
          <w:sz w:val="24"/>
          <w:lang w:val="en-GB"/>
        </w:rPr>
        <w:t>on 15 April</w:t>
      </w:r>
      <w:r w:rsidR="00F343E6">
        <w:rPr>
          <w:rFonts w:ascii="Times New Roman" w:hAnsi="Times New Roman"/>
          <w:sz w:val="24"/>
          <w:lang w:val="en-GB"/>
        </w:rPr>
        <w:t xml:space="preserve"> 2021 as judgment number HH 167-</w:t>
      </w:r>
      <w:r w:rsidR="002B4625" w:rsidRPr="00BA5A45">
        <w:rPr>
          <w:rFonts w:ascii="Times New Roman" w:hAnsi="Times New Roman"/>
          <w:sz w:val="24"/>
          <w:lang w:val="en-GB"/>
        </w:rPr>
        <w:t>2</w:t>
      </w:r>
      <w:r w:rsidR="00D638D9" w:rsidRPr="00BA5A45">
        <w:rPr>
          <w:rFonts w:ascii="Times New Roman" w:hAnsi="Times New Roman"/>
          <w:sz w:val="24"/>
          <w:lang w:val="en-GB"/>
        </w:rPr>
        <w:t xml:space="preserve">1, under case number LPDT 09/18. </w:t>
      </w:r>
      <w:r w:rsidR="00B846F0" w:rsidRPr="00BA5A45">
        <w:rPr>
          <w:rFonts w:ascii="Times New Roman" w:hAnsi="Times New Roman"/>
          <w:sz w:val="24"/>
          <w:lang w:val="en-GB"/>
        </w:rPr>
        <w:t>T</w:t>
      </w:r>
      <w:r w:rsidR="002C6914" w:rsidRPr="00BA5A45">
        <w:rPr>
          <w:rFonts w:ascii="Times New Roman" w:hAnsi="Times New Roman"/>
          <w:sz w:val="24"/>
          <w:lang w:val="en-GB"/>
        </w:rPr>
        <w:t xml:space="preserve">he Disciplinary Tribunal </w:t>
      </w:r>
      <w:r w:rsidR="00CA3A4B" w:rsidRPr="00BA5A45">
        <w:rPr>
          <w:rFonts w:ascii="Times New Roman" w:hAnsi="Times New Roman"/>
          <w:sz w:val="24"/>
          <w:lang w:val="en-GB"/>
        </w:rPr>
        <w:t xml:space="preserve">(the Tribunal) </w:t>
      </w:r>
      <w:r w:rsidR="000F682A" w:rsidRPr="00BA5A45">
        <w:rPr>
          <w:rFonts w:ascii="Times New Roman" w:hAnsi="Times New Roman"/>
          <w:sz w:val="24"/>
          <w:lang w:val="en-GB"/>
        </w:rPr>
        <w:t>found the appellant guilty of conduct that was unprofessional, dishonourable and unworthy of a legal practitioner a</w:t>
      </w:r>
      <w:r w:rsidR="00BE12E1" w:rsidRPr="00BA5A45">
        <w:rPr>
          <w:rFonts w:ascii="Times New Roman" w:hAnsi="Times New Roman"/>
          <w:sz w:val="24"/>
          <w:lang w:val="en-GB"/>
        </w:rPr>
        <w:t xml:space="preserve">nd </w:t>
      </w:r>
      <w:r w:rsidR="002C6914" w:rsidRPr="00BA5A45">
        <w:rPr>
          <w:rFonts w:ascii="Times New Roman" w:hAnsi="Times New Roman"/>
          <w:sz w:val="24"/>
          <w:lang w:val="en-GB"/>
        </w:rPr>
        <w:t>ordered</w:t>
      </w:r>
      <w:r w:rsidR="000F682A" w:rsidRPr="00BA5A45">
        <w:rPr>
          <w:rFonts w:ascii="Times New Roman" w:hAnsi="Times New Roman"/>
          <w:sz w:val="24"/>
          <w:lang w:val="en-GB"/>
        </w:rPr>
        <w:t xml:space="preserve"> the deletion of his</w:t>
      </w:r>
      <w:r w:rsidR="002C6914" w:rsidRPr="00BA5A45">
        <w:rPr>
          <w:rFonts w:ascii="Times New Roman" w:hAnsi="Times New Roman"/>
          <w:sz w:val="24"/>
          <w:lang w:val="en-GB"/>
        </w:rPr>
        <w:t xml:space="preserve"> name from the register of Legal Practitioners, Notaries Public and Conveyancers.</w:t>
      </w:r>
    </w:p>
    <w:p w14:paraId="3AA7A7FC" w14:textId="77777777" w:rsidR="00D81197" w:rsidRPr="00BA5A45" w:rsidRDefault="00D81197" w:rsidP="00F42946">
      <w:pPr>
        <w:spacing w:after="0" w:line="480" w:lineRule="auto"/>
        <w:ind w:firstLine="720"/>
        <w:jc w:val="both"/>
        <w:rPr>
          <w:rFonts w:ascii="Times New Roman" w:hAnsi="Times New Roman"/>
          <w:i/>
          <w:sz w:val="24"/>
          <w:szCs w:val="24"/>
          <w:lang w:val="en-ZA"/>
        </w:rPr>
      </w:pPr>
    </w:p>
    <w:p w14:paraId="28F564E9" w14:textId="77777777" w:rsidR="00343097" w:rsidRPr="00BA5A45" w:rsidRDefault="00B17D41" w:rsidP="00F42946">
      <w:pPr>
        <w:spacing w:after="0" w:line="480" w:lineRule="auto"/>
        <w:jc w:val="both"/>
        <w:rPr>
          <w:rFonts w:ascii="Times New Roman" w:hAnsi="Times New Roman"/>
          <w:b/>
          <w:sz w:val="24"/>
          <w:lang w:val="en-GB"/>
        </w:rPr>
      </w:pPr>
      <w:r w:rsidRPr="00BA5A45">
        <w:rPr>
          <w:rFonts w:ascii="Times New Roman" w:hAnsi="Times New Roman"/>
          <w:b/>
          <w:sz w:val="24"/>
          <w:lang w:val="en-GB"/>
        </w:rPr>
        <w:t>BACKGROUND</w:t>
      </w:r>
    </w:p>
    <w:p w14:paraId="692D018E" w14:textId="14A816E1" w:rsidR="00B0475B" w:rsidRPr="00BA5A45" w:rsidRDefault="005E0B06"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 xml:space="preserve"> </w:t>
      </w:r>
      <w:r w:rsidR="00E80136" w:rsidRPr="00BA5A45">
        <w:rPr>
          <w:rFonts w:ascii="Times New Roman" w:hAnsi="Times New Roman"/>
          <w:sz w:val="24"/>
          <w:lang w:val="en-GB"/>
        </w:rPr>
        <w:t xml:space="preserve">On 20 </w:t>
      </w:r>
      <w:r w:rsidR="00B0475B" w:rsidRPr="00BA5A45">
        <w:rPr>
          <w:rFonts w:ascii="Times New Roman" w:hAnsi="Times New Roman"/>
          <w:sz w:val="24"/>
          <w:lang w:val="en-GB"/>
        </w:rPr>
        <w:t>June</w:t>
      </w:r>
      <w:r w:rsidR="00E80136" w:rsidRPr="00BA5A45">
        <w:rPr>
          <w:rFonts w:ascii="Times New Roman" w:hAnsi="Times New Roman"/>
          <w:sz w:val="24"/>
          <w:lang w:val="en-GB"/>
        </w:rPr>
        <w:t xml:space="preserve"> 2016, Perkins Zhawari and his </w:t>
      </w:r>
      <w:r w:rsidR="00E82E44" w:rsidRPr="00BA5A45">
        <w:rPr>
          <w:rFonts w:ascii="Times New Roman" w:hAnsi="Times New Roman"/>
          <w:sz w:val="24"/>
          <w:lang w:val="en-GB"/>
        </w:rPr>
        <w:t>wife,</w:t>
      </w:r>
      <w:r w:rsidR="00A312D7" w:rsidRPr="00BA5A45">
        <w:rPr>
          <w:rFonts w:ascii="Times New Roman" w:hAnsi="Times New Roman"/>
          <w:sz w:val="24"/>
          <w:lang w:val="en-GB"/>
        </w:rPr>
        <w:t xml:space="preserve"> Lillian </w:t>
      </w:r>
      <w:r w:rsidR="00E80136" w:rsidRPr="00BA5A45">
        <w:rPr>
          <w:rFonts w:ascii="Times New Roman" w:hAnsi="Times New Roman"/>
          <w:sz w:val="24"/>
          <w:lang w:val="en-GB"/>
        </w:rPr>
        <w:t>Zhawari</w:t>
      </w:r>
      <w:r w:rsidR="00E82E44" w:rsidRPr="00BA5A45">
        <w:rPr>
          <w:rFonts w:ascii="Times New Roman" w:hAnsi="Times New Roman"/>
          <w:sz w:val="24"/>
          <w:lang w:val="en-GB"/>
        </w:rPr>
        <w:t xml:space="preserve"> </w:t>
      </w:r>
      <w:r w:rsidR="00E80136" w:rsidRPr="00BA5A45">
        <w:rPr>
          <w:rFonts w:ascii="Times New Roman" w:hAnsi="Times New Roman"/>
          <w:sz w:val="24"/>
          <w:lang w:val="en-GB"/>
        </w:rPr>
        <w:t>(</w:t>
      </w:r>
      <w:r w:rsidR="00E82E44" w:rsidRPr="00BA5A45">
        <w:rPr>
          <w:rFonts w:ascii="Times New Roman" w:hAnsi="Times New Roman"/>
          <w:sz w:val="24"/>
          <w:lang w:val="en-GB"/>
        </w:rPr>
        <w:t xml:space="preserve">the </w:t>
      </w:r>
      <w:r w:rsidR="00B0475B" w:rsidRPr="00BA5A45">
        <w:rPr>
          <w:rFonts w:ascii="Times New Roman" w:hAnsi="Times New Roman"/>
          <w:sz w:val="24"/>
          <w:lang w:val="en-GB"/>
        </w:rPr>
        <w:t>complainants</w:t>
      </w:r>
      <w:r w:rsidR="00D638D9" w:rsidRPr="00BA5A45">
        <w:rPr>
          <w:rFonts w:ascii="Times New Roman" w:hAnsi="Times New Roman"/>
          <w:sz w:val="24"/>
          <w:lang w:val="en-GB"/>
        </w:rPr>
        <w:t>) lodged a complaint with</w:t>
      </w:r>
      <w:r w:rsidR="00B0475B" w:rsidRPr="00BA5A45">
        <w:rPr>
          <w:rFonts w:ascii="Times New Roman" w:hAnsi="Times New Roman"/>
          <w:sz w:val="24"/>
          <w:lang w:val="en-GB"/>
        </w:rPr>
        <w:t xml:space="preserve"> the respondent</w:t>
      </w:r>
      <w:r w:rsidR="00E80136" w:rsidRPr="00BA5A45">
        <w:rPr>
          <w:rFonts w:ascii="Times New Roman" w:hAnsi="Times New Roman"/>
          <w:sz w:val="24"/>
          <w:lang w:val="en-GB"/>
        </w:rPr>
        <w:t xml:space="preserve"> in its capacity as the regulatory body for legal practit</w:t>
      </w:r>
      <w:r w:rsidR="00B0475B" w:rsidRPr="00BA5A45">
        <w:rPr>
          <w:rFonts w:ascii="Times New Roman" w:hAnsi="Times New Roman"/>
          <w:sz w:val="24"/>
          <w:lang w:val="en-GB"/>
        </w:rPr>
        <w:t>io</w:t>
      </w:r>
      <w:r w:rsidR="00E80136" w:rsidRPr="00BA5A45">
        <w:rPr>
          <w:rFonts w:ascii="Times New Roman" w:hAnsi="Times New Roman"/>
          <w:sz w:val="24"/>
          <w:lang w:val="en-GB"/>
        </w:rPr>
        <w:t xml:space="preserve">ners </w:t>
      </w:r>
      <w:r w:rsidR="00B0475B" w:rsidRPr="00BA5A45">
        <w:rPr>
          <w:rFonts w:ascii="Times New Roman" w:hAnsi="Times New Roman"/>
          <w:sz w:val="24"/>
          <w:lang w:val="en-GB"/>
        </w:rPr>
        <w:t>complaining</w:t>
      </w:r>
      <w:r w:rsidR="00E80136" w:rsidRPr="00BA5A45">
        <w:rPr>
          <w:rFonts w:ascii="Times New Roman" w:hAnsi="Times New Roman"/>
          <w:sz w:val="24"/>
          <w:lang w:val="en-GB"/>
        </w:rPr>
        <w:t xml:space="preserve"> about </w:t>
      </w:r>
      <w:r w:rsidR="00B0475B" w:rsidRPr="00BA5A45">
        <w:rPr>
          <w:rFonts w:ascii="Times New Roman" w:hAnsi="Times New Roman"/>
          <w:sz w:val="24"/>
          <w:lang w:val="en-GB"/>
        </w:rPr>
        <w:t>t</w:t>
      </w:r>
      <w:r w:rsidR="00E80136" w:rsidRPr="00BA5A45">
        <w:rPr>
          <w:rFonts w:ascii="Times New Roman" w:hAnsi="Times New Roman"/>
          <w:sz w:val="24"/>
          <w:lang w:val="en-GB"/>
        </w:rPr>
        <w:t xml:space="preserve">he </w:t>
      </w:r>
      <w:r w:rsidR="00B0475B" w:rsidRPr="00BA5A45">
        <w:rPr>
          <w:rFonts w:ascii="Times New Roman" w:hAnsi="Times New Roman"/>
          <w:sz w:val="24"/>
          <w:lang w:val="en-GB"/>
        </w:rPr>
        <w:t>conduct</w:t>
      </w:r>
      <w:r w:rsidR="00E80136" w:rsidRPr="00BA5A45">
        <w:rPr>
          <w:rFonts w:ascii="Times New Roman" w:hAnsi="Times New Roman"/>
          <w:sz w:val="24"/>
          <w:lang w:val="en-GB"/>
        </w:rPr>
        <w:t xml:space="preserve"> of the appellant. Upon </w:t>
      </w:r>
      <w:r w:rsidR="00B0475B" w:rsidRPr="00BA5A45">
        <w:rPr>
          <w:rFonts w:ascii="Times New Roman" w:hAnsi="Times New Roman"/>
          <w:sz w:val="24"/>
          <w:lang w:val="en-GB"/>
        </w:rPr>
        <w:t>considering</w:t>
      </w:r>
      <w:r w:rsidR="00E80136" w:rsidRPr="00BA5A45">
        <w:rPr>
          <w:rFonts w:ascii="Times New Roman" w:hAnsi="Times New Roman"/>
          <w:sz w:val="24"/>
          <w:lang w:val="en-GB"/>
        </w:rPr>
        <w:t xml:space="preserve"> the complaint the respondent duly filed an application before the Tribunal relating to the </w:t>
      </w:r>
      <w:r w:rsidR="00B0475B" w:rsidRPr="00BA5A45">
        <w:rPr>
          <w:rFonts w:ascii="Times New Roman" w:hAnsi="Times New Roman"/>
          <w:sz w:val="24"/>
          <w:lang w:val="en-GB"/>
        </w:rPr>
        <w:t>appellant’s</w:t>
      </w:r>
      <w:r w:rsidR="00E80136" w:rsidRPr="00BA5A45">
        <w:rPr>
          <w:rFonts w:ascii="Times New Roman" w:hAnsi="Times New Roman"/>
          <w:sz w:val="24"/>
          <w:lang w:val="en-GB"/>
        </w:rPr>
        <w:t xml:space="preserve"> conduct and seeking his </w:t>
      </w:r>
      <w:r w:rsidR="00E80136" w:rsidRPr="00BA5A45">
        <w:rPr>
          <w:rFonts w:ascii="Times New Roman" w:hAnsi="Times New Roman"/>
          <w:sz w:val="24"/>
          <w:lang w:val="en-GB"/>
        </w:rPr>
        <w:lastRenderedPageBreak/>
        <w:t xml:space="preserve">deletion from the </w:t>
      </w:r>
      <w:r w:rsidR="00A50173" w:rsidRPr="00BA5A45">
        <w:rPr>
          <w:rFonts w:ascii="Times New Roman" w:hAnsi="Times New Roman"/>
          <w:sz w:val="24"/>
          <w:lang w:val="en-GB"/>
        </w:rPr>
        <w:t>register of</w:t>
      </w:r>
      <w:r w:rsidR="00B0475B" w:rsidRPr="00BA5A45">
        <w:rPr>
          <w:rFonts w:ascii="Times New Roman" w:hAnsi="Times New Roman"/>
          <w:sz w:val="24"/>
          <w:lang w:val="en-GB"/>
        </w:rPr>
        <w:t xml:space="preserve"> Legal P</w:t>
      </w:r>
      <w:r w:rsidR="00E80136" w:rsidRPr="00BA5A45">
        <w:rPr>
          <w:rFonts w:ascii="Times New Roman" w:hAnsi="Times New Roman"/>
          <w:sz w:val="24"/>
          <w:lang w:val="en-GB"/>
        </w:rPr>
        <w:t xml:space="preserve">ractitioners, </w:t>
      </w:r>
      <w:r w:rsidR="00B0475B" w:rsidRPr="00BA5A45">
        <w:rPr>
          <w:rFonts w:ascii="Times New Roman" w:hAnsi="Times New Roman"/>
          <w:sz w:val="24"/>
          <w:lang w:val="en-GB"/>
        </w:rPr>
        <w:t>Notaries Public a</w:t>
      </w:r>
      <w:r w:rsidR="00D638D9" w:rsidRPr="00BA5A45">
        <w:rPr>
          <w:rFonts w:ascii="Times New Roman" w:hAnsi="Times New Roman"/>
          <w:sz w:val="24"/>
          <w:lang w:val="en-GB"/>
        </w:rPr>
        <w:t xml:space="preserve">nd Conveyancers. The facts </w:t>
      </w:r>
      <w:r w:rsidR="005F40D6" w:rsidRPr="00BA5A45">
        <w:rPr>
          <w:rFonts w:ascii="Times New Roman" w:hAnsi="Times New Roman"/>
          <w:sz w:val="24"/>
          <w:lang w:val="en-GB"/>
        </w:rPr>
        <w:t>giving</w:t>
      </w:r>
      <w:r w:rsidR="00B0475B" w:rsidRPr="00BA5A45">
        <w:rPr>
          <w:rFonts w:ascii="Times New Roman" w:hAnsi="Times New Roman"/>
          <w:sz w:val="24"/>
          <w:lang w:val="en-GB"/>
        </w:rPr>
        <w:t xml:space="preserve"> rise to the complaint and </w:t>
      </w:r>
      <w:r w:rsidR="003F4CBB" w:rsidRPr="00BA5A45">
        <w:rPr>
          <w:rFonts w:ascii="Times New Roman" w:hAnsi="Times New Roman"/>
          <w:sz w:val="24"/>
          <w:lang w:val="en-GB"/>
        </w:rPr>
        <w:t>subsequent</w:t>
      </w:r>
      <w:r w:rsidR="00B0475B" w:rsidRPr="00BA5A45">
        <w:rPr>
          <w:rFonts w:ascii="Times New Roman" w:hAnsi="Times New Roman"/>
          <w:sz w:val="24"/>
          <w:lang w:val="en-GB"/>
        </w:rPr>
        <w:t xml:space="preserve"> application are largely common cause. These are they.</w:t>
      </w:r>
    </w:p>
    <w:p w14:paraId="413B5141" w14:textId="77777777" w:rsidR="00D81197" w:rsidRPr="00BA5A45" w:rsidRDefault="00D81197" w:rsidP="00F42946">
      <w:pPr>
        <w:spacing w:after="0" w:line="480" w:lineRule="auto"/>
        <w:ind w:firstLine="720"/>
        <w:jc w:val="both"/>
        <w:rPr>
          <w:rFonts w:ascii="Times New Roman" w:hAnsi="Times New Roman"/>
          <w:sz w:val="24"/>
          <w:lang w:val="en-GB"/>
        </w:rPr>
      </w:pPr>
    </w:p>
    <w:p w14:paraId="7EA1864A" w14:textId="032D5198" w:rsidR="000627D3" w:rsidRPr="00BA5A45" w:rsidRDefault="00B0475B"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 xml:space="preserve">The complainants were owners of an immovable property called Lot 2 of Stand 91M Bellevue Township, Bulawayo measuring 2931 square meters held under Deed of Transfer Number 4058/96. </w:t>
      </w:r>
      <w:r w:rsidR="005E0B06" w:rsidRPr="00BA5A45">
        <w:rPr>
          <w:rFonts w:ascii="Times New Roman" w:hAnsi="Times New Roman"/>
          <w:sz w:val="24"/>
          <w:lang w:val="en-GB"/>
        </w:rPr>
        <w:t>Sometime</w:t>
      </w:r>
      <w:r w:rsidR="000627D3" w:rsidRPr="00BA5A45">
        <w:rPr>
          <w:rFonts w:ascii="Times New Roman" w:hAnsi="Times New Roman"/>
          <w:sz w:val="24"/>
          <w:lang w:val="en-GB"/>
        </w:rPr>
        <w:t xml:space="preserve"> in 2012</w:t>
      </w:r>
      <w:r w:rsidR="00571D3D" w:rsidRPr="00BA5A45">
        <w:rPr>
          <w:rFonts w:ascii="Times New Roman" w:hAnsi="Times New Roman"/>
          <w:sz w:val="24"/>
          <w:lang w:val="en-GB"/>
        </w:rPr>
        <w:t>,</w:t>
      </w:r>
      <w:r w:rsidR="0056701D" w:rsidRPr="00BA5A45">
        <w:rPr>
          <w:rFonts w:ascii="Times New Roman" w:hAnsi="Times New Roman"/>
          <w:sz w:val="24"/>
          <w:lang w:val="en-GB"/>
        </w:rPr>
        <w:t xml:space="preserve"> </w:t>
      </w:r>
      <w:r w:rsidR="000627D3" w:rsidRPr="00BA5A45">
        <w:rPr>
          <w:rFonts w:ascii="Times New Roman" w:hAnsi="Times New Roman"/>
          <w:sz w:val="24"/>
          <w:lang w:val="en-GB"/>
        </w:rPr>
        <w:t>Celgrim Bakeries</w:t>
      </w:r>
      <w:r w:rsidR="0056701D" w:rsidRPr="00BA5A45">
        <w:rPr>
          <w:rFonts w:ascii="Times New Roman" w:hAnsi="Times New Roman"/>
          <w:sz w:val="24"/>
          <w:lang w:val="en-GB"/>
        </w:rPr>
        <w:t xml:space="preserve"> (Private) </w:t>
      </w:r>
      <w:r w:rsidR="00493801" w:rsidRPr="00BA5A45">
        <w:rPr>
          <w:rFonts w:ascii="Times New Roman" w:hAnsi="Times New Roman"/>
          <w:sz w:val="24"/>
          <w:lang w:val="en-GB"/>
        </w:rPr>
        <w:t>Limited, represented by Grimmond Nyatanga</w:t>
      </w:r>
      <w:r w:rsidR="00C83003" w:rsidRPr="00BA5A45">
        <w:rPr>
          <w:rFonts w:ascii="Times New Roman" w:hAnsi="Times New Roman"/>
          <w:sz w:val="24"/>
          <w:lang w:val="en-GB"/>
        </w:rPr>
        <w:t xml:space="preserve"> </w:t>
      </w:r>
      <w:r w:rsidR="00493801" w:rsidRPr="00BA5A45">
        <w:rPr>
          <w:rFonts w:ascii="Times New Roman" w:hAnsi="Times New Roman"/>
          <w:sz w:val="24"/>
          <w:lang w:val="en-GB"/>
        </w:rPr>
        <w:t>(Nyatanga),</w:t>
      </w:r>
      <w:r w:rsidR="0056701D" w:rsidRPr="00BA5A45">
        <w:rPr>
          <w:rFonts w:ascii="Times New Roman" w:hAnsi="Times New Roman"/>
          <w:sz w:val="24"/>
          <w:lang w:val="en-GB"/>
        </w:rPr>
        <w:t xml:space="preserve"> applied for a credit facility with National Foods</w:t>
      </w:r>
      <w:r w:rsidR="00493801" w:rsidRPr="00BA5A45">
        <w:rPr>
          <w:rFonts w:ascii="Times New Roman" w:hAnsi="Times New Roman"/>
          <w:sz w:val="24"/>
          <w:lang w:val="en-GB"/>
        </w:rPr>
        <w:t xml:space="preserve"> Operations Limited</w:t>
      </w:r>
      <w:r w:rsidR="0056701D" w:rsidRPr="00BA5A45">
        <w:rPr>
          <w:rFonts w:ascii="Times New Roman" w:hAnsi="Times New Roman"/>
          <w:sz w:val="24"/>
          <w:lang w:val="en-GB"/>
        </w:rPr>
        <w:t xml:space="preserve">. National Foods </w:t>
      </w:r>
      <w:r w:rsidR="00493801" w:rsidRPr="00BA5A45">
        <w:rPr>
          <w:rFonts w:ascii="Times New Roman" w:hAnsi="Times New Roman"/>
          <w:sz w:val="24"/>
          <w:lang w:val="en-GB"/>
        </w:rPr>
        <w:t xml:space="preserve">Operations </w:t>
      </w:r>
      <w:r w:rsidR="0056701D" w:rsidRPr="00BA5A45">
        <w:rPr>
          <w:rFonts w:ascii="Times New Roman" w:hAnsi="Times New Roman"/>
          <w:sz w:val="24"/>
          <w:lang w:val="en-GB"/>
        </w:rPr>
        <w:t>Limited</w:t>
      </w:r>
      <w:r w:rsidR="00493801" w:rsidRPr="00BA5A45">
        <w:rPr>
          <w:rFonts w:ascii="Times New Roman" w:hAnsi="Times New Roman"/>
          <w:sz w:val="24"/>
          <w:lang w:val="en-GB"/>
        </w:rPr>
        <w:t xml:space="preserve"> (NFOL)</w:t>
      </w:r>
      <w:r w:rsidR="0056701D" w:rsidRPr="00BA5A45">
        <w:rPr>
          <w:rFonts w:ascii="Times New Roman" w:hAnsi="Times New Roman"/>
          <w:sz w:val="24"/>
          <w:lang w:val="en-GB"/>
        </w:rPr>
        <w:t xml:space="preserve"> required security in the for</w:t>
      </w:r>
      <w:r w:rsidR="00D638D9" w:rsidRPr="00BA5A45">
        <w:rPr>
          <w:rFonts w:ascii="Times New Roman" w:hAnsi="Times New Roman"/>
          <w:sz w:val="24"/>
          <w:lang w:val="en-GB"/>
        </w:rPr>
        <w:t xml:space="preserve">m of immovable property. </w:t>
      </w:r>
      <w:r w:rsidR="0056701D" w:rsidRPr="00BA5A45">
        <w:rPr>
          <w:rFonts w:ascii="Times New Roman" w:hAnsi="Times New Roman"/>
          <w:sz w:val="24"/>
          <w:lang w:val="en-GB"/>
        </w:rPr>
        <w:t xml:space="preserve"> Nyatanga approached the complainants and requested them to provide the security required by N</w:t>
      </w:r>
      <w:r w:rsidR="00493801" w:rsidRPr="00BA5A45">
        <w:rPr>
          <w:rFonts w:ascii="Times New Roman" w:hAnsi="Times New Roman"/>
          <w:sz w:val="24"/>
          <w:lang w:val="en-GB"/>
        </w:rPr>
        <w:t>FOL</w:t>
      </w:r>
      <w:r w:rsidR="0056701D" w:rsidRPr="00BA5A45">
        <w:rPr>
          <w:rFonts w:ascii="Times New Roman" w:hAnsi="Times New Roman"/>
          <w:sz w:val="24"/>
          <w:lang w:val="en-GB"/>
        </w:rPr>
        <w:t xml:space="preserve"> for the c</w:t>
      </w:r>
      <w:r w:rsidR="00D75840" w:rsidRPr="00BA5A45">
        <w:rPr>
          <w:rFonts w:ascii="Times New Roman" w:hAnsi="Times New Roman"/>
          <w:sz w:val="24"/>
          <w:lang w:val="en-GB"/>
        </w:rPr>
        <w:t>redit facility</w:t>
      </w:r>
      <w:r w:rsidR="00360FE6" w:rsidRPr="00BA5A45">
        <w:rPr>
          <w:rFonts w:ascii="Times New Roman" w:hAnsi="Times New Roman"/>
          <w:sz w:val="24"/>
          <w:lang w:val="en-GB"/>
        </w:rPr>
        <w:t xml:space="preserve">. </w:t>
      </w:r>
      <w:r w:rsidR="000627D3" w:rsidRPr="00BA5A45">
        <w:rPr>
          <w:rFonts w:ascii="Times New Roman" w:hAnsi="Times New Roman"/>
          <w:sz w:val="24"/>
          <w:lang w:val="en-GB"/>
        </w:rPr>
        <w:t>They made available their immovable prope</w:t>
      </w:r>
      <w:r w:rsidR="00571D3D" w:rsidRPr="00BA5A45">
        <w:rPr>
          <w:rFonts w:ascii="Times New Roman" w:hAnsi="Times New Roman"/>
          <w:sz w:val="24"/>
          <w:lang w:val="en-GB"/>
        </w:rPr>
        <w:t xml:space="preserve">rty as security in </w:t>
      </w:r>
      <w:r w:rsidR="00D638D9" w:rsidRPr="00BA5A45">
        <w:rPr>
          <w:rFonts w:ascii="Times New Roman" w:hAnsi="Times New Roman"/>
          <w:sz w:val="24"/>
          <w:lang w:val="en-GB"/>
        </w:rPr>
        <w:t xml:space="preserve">support of </w:t>
      </w:r>
      <w:r w:rsidR="000627D3" w:rsidRPr="00BA5A45">
        <w:rPr>
          <w:rFonts w:ascii="Times New Roman" w:hAnsi="Times New Roman"/>
          <w:sz w:val="24"/>
          <w:lang w:val="en-GB"/>
        </w:rPr>
        <w:t>Celgrim Bakeries</w:t>
      </w:r>
      <w:r w:rsidR="00DC4601" w:rsidRPr="00BA5A45">
        <w:rPr>
          <w:rFonts w:ascii="Times New Roman" w:hAnsi="Times New Roman"/>
          <w:sz w:val="24"/>
          <w:lang w:val="en-GB"/>
        </w:rPr>
        <w:t xml:space="preserve">’ </w:t>
      </w:r>
      <w:r w:rsidR="00D638D9" w:rsidRPr="00BA5A45">
        <w:rPr>
          <w:rFonts w:ascii="Times New Roman" w:hAnsi="Times New Roman"/>
          <w:sz w:val="24"/>
          <w:lang w:val="en-GB"/>
        </w:rPr>
        <w:t>application for the credit facility</w:t>
      </w:r>
      <w:r w:rsidR="000627D3" w:rsidRPr="00BA5A45">
        <w:rPr>
          <w:rFonts w:ascii="Times New Roman" w:hAnsi="Times New Roman"/>
          <w:sz w:val="24"/>
          <w:lang w:val="en-GB"/>
        </w:rPr>
        <w:t>. On</w:t>
      </w:r>
      <w:r w:rsidR="00C83003" w:rsidRPr="00BA5A45">
        <w:rPr>
          <w:rFonts w:ascii="Times New Roman" w:hAnsi="Times New Roman"/>
          <w:sz w:val="24"/>
          <w:lang w:val="en-GB"/>
        </w:rPr>
        <w:t xml:space="preserve"> 6 </w:t>
      </w:r>
      <w:r w:rsidR="00BE12E1" w:rsidRPr="00BA5A45">
        <w:rPr>
          <w:rFonts w:ascii="Times New Roman" w:hAnsi="Times New Roman"/>
          <w:sz w:val="24"/>
          <w:lang w:val="en-GB"/>
        </w:rPr>
        <w:t>November 2012 they signed a Power of A</w:t>
      </w:r>
      <w:r w:rsidR="000627D3" w:rsidRPr="00BA5A45">
        <w:rPr>
          <w:rFonts w:ascii="Times New Roman" w:hAnsi="Times New Roman"/>
          <w:sz w:val="24"/>
          <w:lang w:val="en-GB"/>
        </w:rPr>
        <w:t xml:space="preserve">ttorney </w:t>
      </w:r>
      <w:r w:rsidR="002B4625" w:rsidRPr="00BA5A45">
        <w:rPr>
          <w:rFonts w:ascii="Times New Roman" w:hAnsi="Times New Roman"/>
          <w:sz w:val="24"/>
          <w:lang w:val="en-GB"/>
        </w:rPr>
        <w:t>appointing</w:t>
      </w:r>
      <w:r w:rsidR="00CA3A4B" w:rsidRPr="00BA5A45">
        <w:rPr>
          <w:rFonts w:ascii="Times New Roman" w:hAnsi="Times New Roman"/>
          <w:sz w:val="24"/>
          <w:lang w:val="en-GB"/>
        </w:rPr>
        <w:t xml:space="preserve"> a law firm,</w:t>
      </w:r>
      <w:r w:rsidR="002B4625" w:rsidRPr="00BA5A45">
        <w:rPr>
          <w:rFonts w:ascii="Times New Roman" w:hAnsi="Times New Roman"/>
          <w:sz w:val="24"/>
          <w:lang w:val="en-GB"/>
        </w:rPr>
        <w:t xml:space="preserve"> Manokore</w:t>
      </w:r>
      <w:r w:rsidR="0056701D" w:rsidRPr="00BA5A45">
        <w:rPr>
          <w:rFonts w:ascii="Times New Roman" w:hAnsi="Times New Roman"/>
          <w:sz w:val="24"/>
          <w:lang w:val="en-GB"/>
        </w:rPr>
        <w:t xml:space="preserve"> &amp; Partners</w:t>
      </w:r>
      <w:r w:rsidR="00CA3A4B" w:rsidRPr="00BA5A45">
        <w:rPr>
          <w:rFonts w:ascii="Times New Roman" w:hAnsi="Times New Roman"/>
          <w:sz w:val="24"/>
          <w:lang w:val="en-GB"/>
        </w:rPr>
        <w:t>,</w:t>
      </w:r>
      <w:r w:rsidR="000627D3" w:rsidRPr="00BA5A45">
        <w:rPr>
          <w:rFonts w:ascii="Times New Roman" w:hAnsi="Times New Roman"/>
          <w:sz w:val="24"/>
          <w:lang w:val="en-GB"/>
        </w:rPr>
        <w:t xml:space="preserve"> to act as their attorney a</w:t>
      </w:r>
      <w:r w:rsidR="00904F8C" w:rsidRPr="00BA5A45">
        <w:rPr>
          <w:rFonts w:ascii="Times New Roman" w:hAnsi="Times New Roman"/>
          <w:sz w:val="24"/>
          <w:lang w:val="en-GB"/>
        </w:rPr>
        <w:t xml:space="preserve">nd agent whenever the debt to NFOL </w:t>
      </w:r>
      <w:r w:rsidR="003F2476" w:rsidRPr="00BA5A45">
        <w:rPr>
          <w:rFonts w:ascii="Times New Roman" w:hAnsi="Times New Roman"/>
          <w:sz w:val="24"/>
          <w:lang w:val="en-GB"/>
        </w:rPr>
        <w:t>by them</w:t>
      </w:r>
      <w:r w:rsidR="000627D3" w:rsidRPr="00BA5A45">
        <w:rPr>
          <w:rFonts w:ascii="Times New Roman" w:hAnsi="Times New Roman"/>
          <w:sz w:val="24"/>
          <w:lang w:val="en-GB"/>
        </w:rPr>
        <w:t xml:space="preserve"> became due and remained </w:t>
      </w:r>
      <w:r w:rsidR="00360FE6" w:rsidRPr="00BA5A45">
        <w:rPr>
          <w:rFonts w:ascii="Times New Roman" w:hAnsi="Times New Roman"/>
          <w:sz w:val="24"/>
          <w:lang w:val="en-GB"/>
        </w:rPr>
        <w:t xml:space="preserve">unpaid. </w:t>
      </w:r>
      <w:r w:rsidR="00E82E44" w:rsidRPr="00BA5A45">
        <w:rPr>
          <w:rFonts w:ascii="Times New Roman" w:hAnsi="Times New Roman"/>
          <w:sz w:val="24"/>
          <w:lang w:val="en-GB"/>
        </w:rPr>
        <w:t>On</w:t>
      </w:r>
      <w:r w:rsidR="00360FE6" w:rsidRPr="00BA5A45">
        <w:rPr>
          <w:rFonts w:ascii="Times New Roman" w:hAnsi="Times New Roman"/>
          <w:sz w:val="24"/>
          <w:lang w:val="en-GB"/>
        </w:rPr>
        <w:t xml:space="preserve"> the same date</w:t>
      </w:r>
      <w:r w:rsidR="002C6914" w:rsidRPr="00BA5A45">
        <w:rPr>
          <w:rFonts w:ascii="Times New Roman" w:hAnsi="Times New Roman"/>
          <w:sz w:val="24"/>
          <w:lang w:val="en-GB"/>
        </w:rPr>
        <w:t xml:space="preserve"> </w:t>
      </w:r>
      <w:r w:rsidR="000627D3" w:rsidRPr="00BA5A45">
        <w:rPr>
          <w:rFonts w:ascii="Times New Roman" w:hAnsi="Times New Roman"/>
          <w:sz w:val="24"/>
          <w:lang w:val="en-GB"/>
        </w:rPr>
        <w:t>Perkins</w:t>
      </w:r>
      <w:r w:rsidR="00A312D7" w:rsidRPr="00BA5A45">
        <w:rPr>
          <w:rFonts w:ascii="Times New Roman" w:hAnsi="Times New Roman"/>
          <w:sz w:val="24"/>
          <w:lang w:val="en-GB"/>
        </w:rPr>
        <w:t> </w:t>
      </w:r>
      <w:r w:rsidR="000627D3" w:rsidRPr="00BA5A45">
        <w:rPr>
          <w:rFonts w:ascii="Times New Roman" w:hAnsi="Times New Roman"/>
          <w:sz w:val="24"/>
          <w:lang w:val="en-GB"/>
        </w:rPr>
        <w:t>Zhawari</w:t>
      </w:r>
      <w:r w:rsidR="007B57EE" w:rsidRPr="00BA5A45">
        <w:rPr>
          <w:rFonts w:ascii="Times New Roman" w:hAnsi="Times New Roman"/>
          <w:sz w:val="24"/>
          <w:lang w:val="en-GB"/>
        </w:rPr>
        <w:t xml:space="preserve"> </w:t>
      </w:r>
      <w:r w:rsidR="00904F8C" w:rsidRPr="00BA5A45">
        <w:rPr>
          <w:rFonts w:ascii="Times New Roman" w:hAnsi="Times New Roman"/>
          <w:sz w:val="24"/>
          <w:lang w:val="en-GB"/>
        </w:rPr>
        <w:t>(Perkins)</w:t>
      </w:r>
      <w:r w:rsidR="000627D3" w:rsidRPr="00BA5A45">
        <w:rPr>
          <w:rFonts w:ascii="Times New Roman" w:hAnsi="Times New Roman"/>
          <w:sz w:val="24"/>
          <w:lang w:val="en-GB"/>
        </w:rPr>
        <w:t xml:space="preserve"> deposed </w:t>
      </w:r>
      <w:r w:rsidR="002B4625" w:rsidRPr="00BA5A45">
        <w:rPr>
          <w:rFonts w:ascii="Times New Roman" w:hAnsi="Times New Roman"/>
          <w:sz w:val="24"/>
          <w:lang w:val="en-GB"/>
        </w:rPr>
        <w:t xml:space="preserve">to </w:t>
      </w:r>
      <w:r w:rsidR="000627D3" w:rsidRPr="00BA5A45">
        <w:rPr>
          <w:rFonts w:ascii="Times New Roman" w:hAnsi="Times New Roman"/>
          <w:sz w:val="24"/>
          <w:lang w:val="en-GB"/>
        </w:rPr>
        <w:t>an affidavit in which he ceded the immovable property to N</w:t>
      </w:r>
      <w:r w:rsidR="00904F8C" w:rsidRPr="00BA5A45">
        <w:rPr>
          <w:rFonts w:ascii="Times New Roman" w:hAnsi="Times New Roman"/>
          <w:sz w:val="24"/>
          <w:lang w:val="en-GB"/>
        </w:rPr>
        <w:t>FOL</w:t>
      </w:r>
      <w:r w:rsidR="00D638D9" w:rsidRPr="00BA5A45">
        <w:rPr>
          <w:rFonts w:ascii="Times New Roman" w:hAnsi="Times New Roman"/>
          <w:sz w:val="24"/>
          <w:lang w:val="en-GB"/>
        </w:rPr>
        <w:t xml:space="preserve"> in support of the application for the credit facility</w:t>
      </w:r>
      <w:r w:rsidR="000627D3" w:rsidRPr="00BA5A45">
        <w:rPr>
          <w:rFonts w:ascii="Times New Roman" w:hAnsi="Times New Roman"/>
          <w:sz w:val="24"/>
          <w:lang w:val="en-GB"/>
        </w:rPr>
        <w:t xml:space="preserve"> by Celgrim Bakeries.</w:t>
      </w:r>
      <w:r w:rsidR="003F4CBB" w:rsidRPr="00BA5A45">
        <w:rPr>
          <w:rFonts w:ascii="Times New Roman" w:hAnsi="Times New Roman"/>
          <w:sz w:val="24"/>
          <w:lang w:val="en-GB"/>
        </w:rPr>
        <w:t xml:space="preserve"> Manokore &amp; P</w:t>
      </w:r>
      <w:r w:rsidR="0096371A" w:rsidRPr="00BA5A45">
        <w:rPr>
          <w:rFonts w:ascii="Times New Roman" w:hAnsi="Times New Roman"/>
          <w:sz w:val="24"/>
          <w:lang w:val="en-GB"/>
        </w:rPr>
        <w:t>artners were the legal practitioners for N</w:t>
      </w:r>
      <w:r w:rsidR="00904F8C" w:rsidRPr="00BA5A45">
        <w:rPr>
          <w:rFonts w:ascii="Times New Roman" w:hAnsi="Times New Roman"/>
          <w:sz w:val="24"/>
          <w:lang w:val="en-GB"/>
        </w:rPr>
        <w:t>FOL</w:t>
      </w:r>
      <w:r w:rsidR="0096371A" w:rsidRPr="00BA5A45">
        <w:rPr>
          <w:rFonts w:ascii="Times New Roman" w:hAnsi="Times New Roman"/>
          <w:sz w:val="24"/>
          <w:lang w:val="en-GB"/>
        </w:rPr>
        <w:t xml:space="preserve">. </w:t>
      </w:r>
    </w:p>
    <w:p w14:paraId="1BA8F9E4" w14:textId="77777777" w:rsidR="00D81197" w:rsidRPr="00BA5A45" w:rsidRDefault="00D81197" w:rsidP="00F42946">
      <w:pPr>
        <w:spacing w:after="0" w:line="480" w:lineRule="auto"/>
        <w:ind w:firstLine="720"/>
        <w:jc w:val="both"/>
        <w:rPr>
          <w:rFonts w:ascii="Times New Roman" w:hAnsi="Times New Roman"/>
          <w:sz w:val="24"/>
          <w:lang w:val="en-GB"/>
        </w:rPr>
      </w:pPr>
    </w:p>
    <w:p w14:paraId="15A9BFB1" w14:textId="54F6FF26" w:rsidR="00993000" w:rsidRPr="00BA5A45" w:rsidRDefault="0023354D"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 xml:space="preserve"> </w:t>
      </w:r>
      <w:r w:rsidR="004D2291" w:rsidRPr="00BA5A45">
        <w:rPr>
          <w:rFonts w:ascii="Times New Roman" w:hAnsi="Times New Roman"/>
          <w:sz w:val="24"/>
          <w:lang w:val="en-GB"/>
        </w:rPr>
        <w:t xml:space="preserve"> </w:t>
      </w:r>
      <w:r w:rsidR="0096371A" w:rsidRPr="00BA5A45">
        <w:rPr>
          <w:rFonts w:ascii="Times New Roman" w:hAnsi="Times New Roman"/>
          <w:sz w:val="24"/>
          <w:lang w:val="en-GB"/>
        </w:rPr>
        <w:t xml:space="preserve">On </w:t>
      </w:r>
      <w:r w:rsidR="00D638D9" w:rsidRPr="00BA5A45">
        <w:rPr>
          <w:rFonts w:ascii="Times New Roman" w:hAnsi="Times New Roman"/>
          <w:sz w:val="24"/>
          <w:lang w:val="en-GB"/>
        </w:rPr>
        <w:t>19 February 2013 Nyatanga</w:t>
      </w:r>
      <w:r w:rsidR="003F4CBB" w:rsidRPr="00BA5A45">
        <w:rPr>
          <w:rFonts w:ascii="Times New Roman" w:hAnsi="Times New Roman"/>
          <w:sz w:val="24"/>
          <w:lang w:val="en-GB"/>
        </w:rPr>
        <w:t>, on behal</w:t>
      </w:r>
      <w:r w:rsidR="00676BF2" w:rsidRPr="00BA5A45">
        <w:rPr>
          <w:rFonts w:ascii="Times New Roman" w:hAnsi="Times New Roman"/>
          <w:sz w:val="24"/>
          <w:lang w:val="en-GB"/>
        </w:rPr>
        <w:t>f of Celgrim Bakeries, signed two</w:t>
      </w:r>
      <w:r w:rsidR="003F4CBB" w:rsidRPr="00BA5A45">
        <w:rPr>
          <w:rFonts w:ascii="Times New Roman" w:hAnsi="Times New Roman"/>
          <w:sz w:val="24"/>
          <w:lang w:val="en-GB"/>
        </w:rPr>
        <w:t xml:space="preserve"> acknowledgement</w:t>
      </w:r>
      <w:r w:rsidR="00676BF2" w:rsidRPr="00BA5A45">
        <w:rPr>
          <w:rFonts w:ascii="Times New Roman" w:hAnsi="Times New Roman"/>
          <w:sz w:val="24"/>
          <w:lang w:val="en-GB"/>
        </w:rPr>
        <w:t>s</w:t>
      </w:r>
      <w:r w:rsidR="003F4CBB" w:rsidRPr="00BA5A45">
        <w:rPr>
          <w:rFonts w:ascii="Times New Roman" w:hAnsi="Times New Roman"/>
          <w:sz w:val="24"/>
          <w:lang w:val="en-GB"/>
        </w:rPr>
        <w:t xml:space="preserve"> of</w:t>
      </w:r>
      <w:r w:rsidR="00032D87" w:rsidRPr="00BA5A45">
        <w:rPr>
          <w:rFonts w:ascii="Times New Roman" w:hAnsi="Times New Roman"/>
          <w:sz w:val="24"/>
          <w:lang w:val="en-GB"/>
        </w:rPr>
        <w:t xml:space="preserve"> debt in the sum</w:t>
      </w:r>
      <w:r w:rsidR="00676BF2" w:rsidRPr="00BA5A45">
        <w:rPr>
          <w:rFonts w:ascii="Times New Roman" w:hAnsi="Times New Roman"/>
          <w:sz w:val="24"/>
          <w:lang w:val="en-GB"/>
        </w:rPr>
        <w:t>s</w:t>
      </w:r>
      <w:r w:rsidR="00032D87" w:rsidRPr="00BA5A45">
        <w:rPr>
          <w:rFonts w:ascii="Times New Roman" w:hAnsi="Times New Roman"/>
          <w:sz w:val="24"/>
          <w:lang w:val="en-GB"/>
        </w:rPr>
        <w:t xml:space="preserve"> of US$10</w:t>
      </w:r>
      <w:r w:rsidR="00A312D7" w:rsidRPr="00BA5A45">
        <w:rPr>
          <w:rFonts w:ascii="Times New Roman" w:hAnsi="Times New Roman"/>
          <w:sz w:val="24"/>
          <w:lang w:val="en-GB"/>
        </w:rPr>
        <w:t xml:space="preserve"> </w:t>
      </w:r>
      <w:r w:rsidR="00032D87" w:rsidRPr="00BA5A45">
        <w:rPr>
          <w:rFonts w:ascii="Times New Roman" w:hAnsi="Times New Roman"/>
          <w:sz w:val="24"/>
          <w:lang w:val="en-GB"/>
        </w:rPr>
        <w:t>520 and</w:t>
      </w:r>
      <w:r w:rsidR="00676BF2" w:rsidRPr="00BA5A45">
        <w:rPr>
          <w:rFonts w:ascii="Times New Roman" w:hAnsi="Times New Roman"/>
          <w:sz w:val="24"/>
          <w:lang w:val="en-GB"/>
        </w:rPr>
        <w:t xml:space="preserve"> US$19</w:t>
      </w:r>
      <w:r w:rsidR="00A312D7" w:rsidRPr="00BA5A45">
        <w:rPr>
          <w:rFonts w:ascii="Times New Roman" w:hAnsi="Times New Roman"/>
          <w:sz w:val="24"/>
          <w:lang w:val="en-GB"/>
        </w:rPr>
        <w:t xml:space="preserve"> </w:t>
      </w:r>
      <w:r w:rsidR="00676BF2" w:rsidRPr="00BA5A45">
        <w:rPr>
          <w:rFonts w:ascii="Times New Roman" w:hAnsi="Times New Roman"/>
          <w:sz w:val="24"/>
          <w:lang w:val="en-GB"/>
        </w:rPr>
        <w:t>520.53 over the same debt,</w:t>
      </w:r>
      <w:r w:rsidR="00032D87" w:rsidRPr="00BA5A45">
        <w:rPr>
          <w:rFonts w:ascii="Times New Roman" w:hAnsi="Times New Roman"/>
          <w:sz w:val="24"/>
          <w:lang w:val="en-GB"/>
        </w:rPr>
        <w:t xml:space="preserve"> undertaking to pay the debt</w:t>
      </w:r>
      <w:r w:rsidR="003F4CBB" w:rsidRPr="00BA5A45">
        <w:rPr>
          <w:rFonts w:ascii="Times New Roman" w:hAnsi="Times New Roman"/>
          <w:sz w:val="24"/>
          <w:lang w:val="en-GB"/>
        </w:rPr>
        <w:t xml:space="preserve"> in instalments. Apparently</w:t>
      </w:r>
      <w:r w:rsidR="00032D87" w:rsidRPr="00BA5A45">
        <w:rPr>
          <w:rFonts w:ascii="Times New Roman" w:hAnsi="Times New Roman"/>
          <w:sz w:val="24"/>
          <w:lang w:val="en-GB"/>
        </w:rPr>
        <w:t xml:space="preserve"> Celgrim Bakeries failed to pay</w:t>
      </w:r>
      <w:r w:rsidR="003F4CBB" w:rsidRPr="00BA5A45">
        <w:rPr>
          <w:rFonts w:ascii="Times New Roman" w:hAnsi="Times New Roman"/>
          <w:sz w:val="24"/>
          <w:lang w:val="en-GB"/>
        </w:rPr>
        <w:t xml:space="preserve"> the debt</w:t>
      </w:r>
      <w:r w:rsidR="006D63C7" w:rsidRPr="00BA5A45">
        <w:rPr>
          <w:rFonts w:ascii="Times New Roman" w:hAnsi="Times New Roman"/>
          <w:sz w:val="24"/>
          <w:lang w:val="en-GB"/>
        </w:rPr>
        <w:t xml:space="preserve"> as per the terms of the acknowledgements of debt</w:t>
      </w:r>
      <w:r w:rsidR="003F4CBB" w:rsidRPr="00BA5A45">
        <w:rPr>
          <w:rFonts w:ascii="Times New Roman" w:hAnsi="Times New Roman"/>
          <w:sz w:val="24"/>
          <w:lang w:val="en-GB"/>
        </w:rPr>
        <w:t xml:space="preserve">. </w:t>
      </w:r>
      <w:r w:rsidR="000627D3" w:rsidRPr="00BA5A45">
        <w:rPr>
          <w:rFonts w:ascii="Times New Roman" w:hAnsi="Times New Roman"/>
          <w:sz w:val="24"/>
          <w:lang w:val="en-GB"/>
        </w:rPr>
        <w:t xml:space="preserve"> </w:t>
      </w:r>
      <w:r w:rsidR="00032D87" w:rsidRPr="00BA5A45">
        <w:rPr>
          <w:rFonts w:ascii="Times New Roman" w:hAnsi="Times New Roman"/>
          <w:sz w:val="24"/>
          <w:lang w:val="en-GB"/>
        </w:rPr>
        <w:t>On 24 January 2014</w:t>
      </w:r>
      <w:r w:rsidR="000627D3" w:rsidRPr="00BA5A45">
        <w:rPr>
          <w:rFonts w:ascii="Times New Roman" w:hAnsi="Times New Roman"/>
          <w:sz w:val="24"/>
          <w:lang w:val="en-GB"/>
        </w:rPr>
        <w:t xml:space="preserve"> the appellant</w:t>
      </w:r>
      <w:r w:rsidR="002B4625" w:rsidRPr="00BA5A45">
        <w:rPr>
          <w:rFonts w:ascii="Times New Roman" w:hAnsi="Times New Roman"/>
          <w:sz w:val="24"/>
          <w:lang w:val="en-GB"/>
        </w:rPr>
        <w:t>,</w:t>
      </w:r>
      <w:r w:rsidR="000627D3" w:rsidRPr="00BA5A45">
        <w:rPr>
          <w:rFonts w:ascii="Times New Roman" w:hAnsi="Times New Roman"/>
          <w:sz w:val="24"/>
          <w:lang w:val="en-GB"/>
        </w:rPr>
        <w:t xml:space="preserve"> acting on behalf of N</w:t>
      </w:r>
      <w:r w:rsidR="00904F8C" w:rsidRPr="00BA5A45">
        <w:rPr>
          <w:rFonts w:ascii="Times New Roman" w:hAnsi="Times New Roman"/>
          <w:sz w:val="24"/>
          <w:lang w:val="en-GB"/>
        </w:rPr>
        <w:t>FOL</w:t>
      </w:r>
      <w:r w:rsidR="00571D3D" w:rsidRPr="00BA5A45">
        <w:rPr>
          <w:rFonts w:ascii="Times New Roman" w:hAnsi="Times New Roman"/>
          <w:sz w:val="24"/>
          <w:lang w:val="en-GB"/>
        </w:rPr>
        <w:t>,</w:t>
      </w:r>
      <w:r w:rsidR="000627D3" w:rsidRPr="00BA5A45">
        <w:rPr>
          <w:rFonts w:ascii="Times New Roman" w:hAnsi="Times New Roman"/>
          <w:sz w:val="24"/>
          <w:lang w:val="en-GB"/>
        </w:rPr>
        <w:t xml:space="preserve"> sent a letter to the complainants indicating the firm’s intention to sell the immovable property so as to settle the debt. </w:t>
      </w:r>
      <w:r w:rsidR="001373E8" w:rsidRPr="00BA5A45">
        <w:rPr>
          <w:rFonts w:ascii="Times New Roman" w:hAnsi="Times New Roman"/>
          <w:sz w:val="24"/>
          <w:lang w:val="en-GB"/>
        </w:rPr>
        <w:t>In early</w:t>
      </w:r>
      <w:r w:rsidR="00993000" w:rsidRPr="00BA5A45">
        <w:rPr>
          <w:rFonts w:ascii="Times New Roman" w:hAnsi="Times New Roman"/>
          <w:sz w:val="24"/>
          <w:lang w:val="en-GB"/>
        </w:rPr>
        <w:t xml:space="preserve"> February </w:t>
      </w:r>
      <w:r w:rsidR="00E82E44" w:rsidRPr="00BA5A45">
        <w:rPr>
          <w:rFonts w:ascii="Times New Roman" w:hAnsi="Times New Roman"/>
          <w:sz w:val="24"/>
          <w:lang w:val="en-GB"/>
        </w:rPr>
        <w:t xml:space="preserve">2014 </w:t>
      </w:r>
      <w:r w:rsidR="005F40D6" w:rsidRPr="00BA5A45">
        <w:rPr>
          <w:rFonts w:ascii="Times New Roman" w:hAnsi="Times New Roman"/>
          <w:sz w:val="24"/>
          <w:lang w:val="en-GB"/>
        </w:rPr>
        <w:t xml:space="preserve">the </w:t>
      </w:r>
      <w:r w:rsidR="00E82E44" w:rsidRPr="00BA5A45">
        <w:rPr>
          <w:rFonts w:ascii="Times New Roman" w:hAnsi="Times New Roman"/>
          <w:sz w:val="24"/>
          <w:lang w:val="en-GB"/>
        </w:rPr>
        <w:t>appellant</w:t>
      </w:r>
      <w:r w:rsidR="00993000" w:rsidRPr="00BA5A45">
        <w:rPr>
          <w:rFonts w:ascii="Times New Roman" w:hAnsi="Times New Roman"/>
          <w:sz w:val="24"/>
          <w:lang w:val="en-GB"/>
        </w:rPr>
        <w:t xml:space="preserve"> received a letter from Celgrim </w:t>
      </w:r>
      <w:r w:rsidR="00993000" w:rsidRPr="00BA5A45">
        <w:rPr>
          <w:rFonts w:ascii="Times New Roman" w:hAnsi="Times New Roman"/>
          <w:sz w:val="24"/>
          <w:lang w:val="en-GB"/>
        </w:rPr>
        <w:lastRenderedPageBreak/>
        <w:t>Bakeries</w:t>
      </w:r>
      <w:r w:rsidR="005F40D6" w:rsidRPr="00BA5A45">
        <w:rPr>
          <w:rFonts w:ascii="Times New Roman" w:hAnsi="Times New Roman"/>
          <w:sz w:val="24"/>
          <w:lang w:val="en-GB"/>
        </w:rPr>
        <w:t>’</w:t>
      </w:r>
      <w:r w:rsidR="00993000" w:rsidRPr="00BA5A45">
        <w:rPr>
          <w:rFonts w:ascii="Times New Roman" w:hAnsi="Times New Roman"/>
          <w:sz w:val="24"/>
          <w:lang w:val="en-GB"/>
        </w:rPr>
        <w:t xml:space="preserve"> legal </w:t>
      </w:r>
      <w:r w:rsidR="00E82E44" w:rsidRPr="00BA5A45">
        <w:rPr>
          <w:rFonts w:ascii="Times New Roman" w:hAnsi="Times New Roman"/>
          <w:sz w:val="24"/>
          <w:lang w:val="en-GB"/>
        </w:rPr>
        <w:t>Practitioners</w:t>
      </w:r>
      <w:r w:rsidR="00993000" w:rsidRPr="00BA5A45">
        <w:rPr>
          <w:rFonts w:ascii="Times New Roman" w:hAnsi="Times New Roman"/>
          <w:sz w:val="24"/>
          <w:lang w:val="en-GB"/>
        </w:rPr>
        <w:t xml:space="preserve">, Zuze Law Chambers, advising that </w:t>
      </w:r>
      <w:r w:rsidR="005F40D6" w:rsidRPr="00BA5A45">
        <w:rPr>
          <w:rFonts w:ascii="Times New Roman" w:hAnsi="Times New Roman"/>
          <w:sz w:val="24"/>
          <w:lang w:val="en-GB"/>
        </w:rPr>
        <w:t xml:space="preserve">the </w:t>
      </w:r>
      <w:r w:rsidR="00E82E44" w:rsidRPr="00BA5A45">
        <w:rPr>
          <w:rFonts w:ascii="Times New Roman" w:hAnsi="Times New Roman"/>
          <w:sz w:val="24"/>
          <w:lang w:val="en-GB"/>
        </w:rPr>
        <w:t>complainants</w:t>
      </w:r>
      <w:r w:rsidR="00993000" w:rsidRPr="00BA5A45">
        <w:rPr>
          <w:rFonts w:ascii="Times New Roman" w:hAnsi="Times New Roman"/>
          <w:sz w:val="24"/>
          <w:lang w:val="en-GB"/>
        </w:rPr>
        <w:t xml:space="preserve"> had inf</w:t>
      </w:r>
      <w:r w:rsidR="001373E8" w:rsidRPr="00BA5A45">
        <w:rPr>
          <w:rFonts w:ascii="Times New Roman" w:hAnsi="Times New Roman"/>
          <w:sz w:val="24"/>
          <w:lang w:val="en-GB"/>
        </w:rPr>
        <w:t>ormed them of the threat to sell</w:t>
      </w:r>
      <w:r w:rsidR="00993000" w:rsidRPr="00BA5A45">
        <w:rPr>
          <w:rFonts w:ascii="Times New Roman" w:hAnsi="Times New Roman"/>
          <w:sz w:val="24"/>
          <w:lang w:val="en-GB"/>
        </w:rPr>
        <w:t xml:space="preserve"> their immovable proper</w:t>
      </w:r>
      <w:r w:rsidR="008B5EF7" w:rsidRPr="00BA5A45">
        <w:rPr>
          <w:rFonts w:ascii="Times New Roman" w:hAnsi="Times New Roman"/>
          <w:sz w:val="24"/>
          <w:lang w:val="en-GB"/>
        </w:rPr>
        <w:t>t</w:t>
      </w:r>
      <w:r w:rsidR="00993000" w:rsidRPr="00BA5A45">
        <w:rPr>
          <w:rFonts w:ascii="Times New Roman" w:hAnsi="Times New Roman"/>
          <w:sz w:val="24"/>
          <w:lang w:val="en-GB"/>
        </w:rPr>
        <w:t>y. Zuze Law Chambers a</w:t>
      </w:r>
      <w:r w:rsidR="001373E8" w:rsidRPr="00BA5A45">
        <w:rPr>
          <w:rFonts w:ascii="Times New Roman" w:hAnsi="Times New Roman"/>
          <w:sz w:val="24"/>
          <w:lang w:val="en-GB"/>
        </w:rPr>
        <w:t>dvised that they should not sell</w:t>
      </w:r>
      <w:r w:rsidR="00993000" w:rsidRPr="00BA5A45">
        <w:rPr>
          <w:rFonts w:ascii="Times New Roman" w:hAnsi="Times New Roman"/>
          <w:sz w:val="24"/>
          <w:lang w:val="en-GB"/>
        </w:rPr>
        <w:t xml:space="preserve"> without a court order. </w:t>
      </w:r>
      <w:r w:rsidR="003F2476" w:rsidRPr="00BA5A45">
        <w:rPr>
          <w:rFonts w:ascii="Times New Roman" w:hAnsi="Times New Roman"/>
          <w:sz w:val="24"/>
          <w:lang w:val="en-GB"/>
        </w:rPr>
        <w:t xml:space="preserve">The </w:t>
      </w:r>
      <w:r w:rsidR="00993000" w:rsidRPr="00BA5A45">
        <w:rPr>
          <w:rFonts w:ascii="Times New Roman" w:hAnsi="Times New Roman"/>
          <w:sz w:val="24"/>
          <w:lang w:val="en-GB"/>
        </w:rPr>
        <w:t xml:space="preserve">Appellant </w:t>
      </w:r>
      <w:r w:rsidR="008B5EF7" w:rsidRPr="00BA5A45">
        <w:rPr>
          <w:rFonts w:ascii="Times New Roman" w:hAnsi="Times New Roman"/>
          <w:sz w:val="24"/>
          <w:lang w:val="en-GB"/>
        </w:rPr>
        <w:t>responded</w:t>
      </w:r>
      <w:r w:rsidR="00993000" w:rsidRPr="00BA5A45">
        <w:rPr>
          <w:rFonts w:ascii="Times New Roman" w:hAnsi="Times New Roman"/>
          <w:sz w:val="24"/>
          <w:lang w:val="en-GB"/>
        </w:rPr>
        <w:t xml:space="preserve"> to that letter</w:t>
      </w:r>
      <w:r w:rsidR="008B5EF7" w:rsidRPr="00BA5A45">
        <w:rPr>
          <w:rFonts w:ascii="Times New Roman" w:hAnsi="Times New Roman"/>
          <w:sz w:val="24"/>
          <w:lang w:val="en-GB"/>
        </w:rPr>
        <w:t xml:space="preserve"> on 1</w:t>
      </w:r>
      <w:r w:rsidR="00A312D7" w:rsidRPr="00BA5A45">
        <w:rPr>
          <w:rFonts w:ascii="Times New Roman" w:hAnsi="Times New Roman"/>
          <w:sz w:val="24"/>
          <w:lang w:val="en-GB"/>
        </w:rPr>
        <w:t>2 February </w:t>
      </w:r>
      <w:r w:rsidR="008B5EF7" w:rsidRPr="00BA5A45">
        <w:rPr>
          <w:rFonts w:ascii="Times New Roman" w:hAnsi="Times New Roman"/>
          <w:sz w:val="24"/>
          <w:lang w:val="en-GB"/>
        </w:rPr>
        <w:t>2014</w:t>
      </w:r>
      <w:r w:rsidR="00993000" w:rsidRPr="00BA5A45">
        <w:rPr>
          <w:rFonts w:ascii="Times New Roman" w:hAnsi="Times New Roman"/>
          <w:sz w:val="24"/>
          <w:lang w:val="en-GB"/>
        </w:rPr>
        <w:t xml:space="preserve"> indicating </w:t>
      </w:r>
      <w:r w:rsidR="008B5EF7" w:rsidRPr="00BA5A45">
        <w:rPr>
          <w:rFonts w:ascii="Times New Roman" w:hAnsi="Times New Roman"/>
          <w:sz w:val="24"/>
          <w:lang w:val="en-GB"/>
        </w:rPr>
        <w:t xml:space="preserve">that </w:t>
      </w:r>
      <w:r w:rsidR="00993000" w:rsidRPr="00BA5A45">
        <w:rPr>
          <w:rFonts w:ascii="Times New Roman" w:hAnsi="Times New Roman"/>
          <w:sz w:val="24"/>
          <w:lang w:val="en-GB"/>
        </w:rPr>
        <w:t>they w</w:t>
      </w:r>
      <w:r w:rsidR="003F2476" w:rsidRPr="00BA5A45">
        <w:rPr>
          <w:rFonts w:ascii="Times New Roman" w:hAnsi="Times New Roman"/>
          <w:sz w:val="24"/>
          <w:lang w:val="en-GB"/>
        </w:rPr>
        <w:t>ould proceed to sell without a</w:t>
      </w:r>
      <w:r w:rsidR="00993000" w:rsidRPr="00BA5A45">
        <w:rPr>
          <w:rFonts w:ascii="Times New Roman" w:hAnsi="Times New Roman"/>
          <w:sz w:val="24"/>
          <w:lang w:val="en-GB"/>
        </w:rPr>
        <w:t xml:space="preserve"> court order as the</w:t>
      </w:r>
      <w:r w:rsidR="00904F8C" w:rsidRPr="00BA5A45">
        <w:rPr>
          <w:rFonts w:ascii="Times New Roman" w:hAnsi="Times New Roman"/>
          <w:sz w:val="24"/>
          <w:lang w:val="en-GB"/>
        </w:rPr>
        <w:t xml:space="preserve"> property had been ceded to NFOL</w:t>
      </w:r>
      <w:r w:rsidR="003F2476" w:rsidRPr="00BA5A45">
        <w:rPr>
          <w:rFonts w:ascii="Times New Roman" w:hAnsi="Times New Roman"/>
          <w:sz w:val="24"/>
          <w:lang w:val="en-GB"/>
        </w:rPr>
        <w:t xml:space="preserve"> a</w:t>
      </w:r>
      <w:r w:rsidR="00993000" w:rsidRPr="00BA5A45">
        <w:rPr>
          <w:rFonts w:ascii="Times New Roman" w:hAnsi="Times New Roman"/>
          <w:sz w:val="24"/>
          <w:lang w:val="en-GB"/>
        </w:rPr>
        <w:t>nd not pledged.</w:t>
      </w:r>
    </w:p>
    <w:p w14:paraId="3C875A0C" w14:textId="77777777" w:rsidR="00D81197" w:rsidRPr="00BA5A45" w:rsidRDefault="00D81197" w:rsidP="00F42946">
      <w:pPr>
        <w:spacing w:after="0" w:line="480" w:lineRule="auto"/>
        <w:ind w:firstLine="720"/>
        <w:jc w:val="both"/>
        <w:rPr>
          <w:rFonts w:ascii="Times New Roman" w:hAnsi="Times New Roman"/>
          <w:sz w:val="24"/>
          <w:lang w:val="en-GB"/>
        </w:rPr>
      </w:pPr>
    </w:p>
    <w:p w14:paraId="2C2BB80D" w14:textId="63C47F4E" w:rsidR="006D60BC" w:rsidRPr="00BA5A45" w:rsidRDefault="000627D3"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On 11 February 2014</w:t>
      </w:r>
      <w:r w:rsidR="002B4625" w:rsidRPr="00BA5A45">
        <w:rPr>
          <w:rFonts w:ascii="Times New Roman" w:hAnsi="Times New Roman"/>
          <w:sz w:val="24"/>
          <w:lang w:val="en-GB"/>
        </w:rPr>
        <w:t>,</w:t>
      </w:r>
      <w:r w:rsidRPr="00BA5A45">
        <w:rPr>
          <w:rFonts w:ascii="Times New Roman" w:hAnsi="Times New Roman"/>
          <w:sz w:val="24"/>
          <w:lang w:val="en-GB"/>
        </w:rPr>
        <w:t xml:space="preserve"> the appellant wrote another letter to the complainants referring to a telephone conversation </w:t>
      </w:r>
      <w:r w:rsidR="002B4625" w:rsidRPr="00BA5A45">
        <w:rPr>
          <w:rFonts w:ascii="Times New Roman" w:hAnsi="Times New Roman"/>
          <w:sz w:val="24"/>
          <w:lang w:val="en-GB"/>
        </w:rPr>
        <w:t xml:space="preserve">in </w:t>
      </w:r>
      <w:r w:rsidR="008B5EF7" w:rsidRPr="00BA5A45">
        <w:rPr>
          <w:rFonts w:ascii="Times New Roman" w:hAnsi="Times New Roman"/>
          <w:sz w:val="24"/>
          <w:lang w:val="en-GB"/>
        </w:rPr>
        <w:t>which Perkins</w:t>
      </w:r>
      <w:r w:rsidRPr="00BA5A45">
        <w:rPr>
          <w:rFonts w:ascii="Times New Roman" w:hAnsi="Times New Roman"/>
          <w:sz w:val="24"/>
          <w:lang w:val="en-GB"/>
        </w:rPr>
        <w:t xml:space="preserve"> had </w:t>
      </w:r>
      <w:r w:rsidR="002B4625" w:rsidRPr="00BA5A45">
        <w:rPr>
          <w:rFonts w:ascii="Times New Roman" w:hAnsi="Times New Roman"/>
          <w:sz w:val="24"/>
          <w:lang w:val="en-GB"/>
        </w:rPr>
        <w:t xml:space="preserve">communicated </w:t>
      </w:r>
      <w:r w:rsidRPr="00BA5A45">
        <w:rPr>
          <w:rFonts w:ascii="Times New Roman" w:hAnsi="Times New Roman"/>
          <w:sz w:val="24"/>
          <w:lang w:val="en-GB"/>
        </w:rPr>
        <w:t>with a representative</w:t>
      </w:r>
      <w:r w:rsidR="001373E8" w:rsidRPr="00BA5A45">
        <w:rPr>
          <w:rFonts w:ascii="Times New Roman" w:hAnsi="Times New Roman"/>
          <w:sz w:val="24"/>
          <w:lang w:val="en-GB"/>
        </w:rPr>
        <w:t xml:space="preserve"> of Manokore &amp; Partners</w:t>
      </w:r>
      <w:r w:rsidRPr="00BA5A45">
        <w:rPr>
          <w:rFonts w:ascii="Times New Roman" w:hAnsi="Times New Roman"/>
          <w:sz w:val="24"/>
          <w:lang w:val="en-GB"/>
        </w:rPr>
        <w:t xml:space="preserve"> </w:t>
      </w:r>
      <w:r w:rsidR="006D60BC" w:rsidRPr="00BA5A45">
        <w:rPr>
          <w:rFonts w:ascii="Times New Roman" w:hAnsi="Times New Roman"/>
          <w:sz w:val="24"/>
          <w:lang w:val="en-GB"/>
        </w:rPr>
        <w:t>and</w:t>
      </w:r>
      <w:r w:rsidRPr="00BA5A45">
        <w:rPr>
          <w:rFonts w:ascii="Times New Roman" w:hAnsi="Times New Roman"/>
          <w:sz w:val="24"/>
          <w:lang w:val="en-GB"/>
        </w:rPr>
        <w:t xml:space="preserve"> had</w:t>
      </w:r>
      <w:r w:rsidR="00CA3A4B" w:rsidRPr="00BA5A45">
        <w:rPr>
          <w:rFonts w:ascii="Times New Roman" w:hAnsi="Times New Roman"/>
          <w:sz w:val="24"/>
          <w:lang w:val="en-GB"/>
        </w:rPr>
        <w:t xml:space="preserve"> allegedly</w:t>
      </w:r>
      <w:r w:rsidRPr="00BA5A45">
        <w:rPr>
          <w:rFonts w:ascii="Times New Roman" w:hAnsi="Times New Roman"/>
          <w:sz w:val="24"/>
          <w:lang w:val="en-GB"/>
        </w:rPr>
        <w:t xml:space="preserve"> consented to the sale of the immovable property.</w:t>
      </w:r>
      <w:r w:rsidR="006D60BC" w:rsidRPr="00BA5A45">
        <w:rPr>
          <w:rFonts w:ascii="Times New Roman" w:hAnsi="Times New Roman"/>
          <w:sz w:val="24"/>
          <w:lang w:val="en-GB"/>
        </w:rPr>
        <w:t xml:space="preserve"> In that letter, t</w:t>
      </w:r>
      <w:r w:rsidR="008B5EF7" w:rsidRPr="00BA5A45">
        <w:rPr>
          <w:rFonts w:ascii="Times New Roman" w:hAnsi="Times New Roman"/>
          <w:sz w:val="24"/>
          <w:lang w:val="en-GB"/>
        </w:rPr>
        <w:t>he appellant informed Perkins</w:t>
      </w:r>
      <w:r w:rsidR="006D60BC" w:rsidRPr="00BA5A45">
        <w:rPr>
          <w:rFonts w:ascii="Times New Roman" w:hAnsi="Times New Roman"/>
          <w:sz w:val="24"/>
          <w:lang w:val="en-GB"/>
        </w:rPr>
        <w:t xml:space="preserve"> that the sale of the immovable property was underway and that once transfer of the property had been </w:t>
      </w:r>
      <w:r w:rsidR="005E0B06" w:rsidRPr="00BA5A45">
        <w:rPr>
          <w:rFonts w:ascii="Times New Roman" w:hAnsi="Times New Roman"/>
          <w:sz w:val="24"/>
          <w:lang w:val="en-GB"/>
        </w:rPr>
        <w:t>effected, the</w:t>
      </w:r>
      <w:r w:rsidR="006D60BC" w:rsidRPr="00BA5A45">
        <w:rPr>
          <w:rFonts w:ascii="Times New Roman" w:hAnsi="Times New Roman"/>
          <w:sz w:val="24"/>
          <w:lang w:val="en-GB"/>
        </w:rPr>
        <w:t xml:space="preserve"> appellant would subtract the principal debt owed by Celgrim </w:t>
      </w:r>
      <w:r w:rsidR="005E0B06" w:rsidRPr="00BA5A45">
        <w:rPr>
          <w:rFonts w:ascii="Times New Roman" w:hAnsi="Times New Roman"/>
          <w:sz w:val="24"/>
          <w:lang w:val="en-GB"/>
        </w:rPr>
        <w:t>Bakeries, their</w:t>
      </w:r>
      <w:r w:rsidR="006D60BC" w:rsidRPr="00BA5A45">
        <w:rPr>
          <w:rFonts w:ascii="Times New Roman" w:hAnsi="Times New Roman"/>
          <w:sz w:val="24"/>
          <w:lang w:val="en-GB"/>
        </w:rPr>
        <w:t xml:space="preserve"> legal </w:t>
      </w:r>
      <w:r w:rsidR="005E0B06" w:rsidRPr="00BA5A45">
        <w:rPr>
          <w:rFonts w:ascii="Times New Roman" w:hAnsi="Times New Roman"/>
          <w:sz w:val="24"/>
          <w:lang w:val="en-GB"/>
        </w:rPr>
        <w:t>fees, collection</w:t>
      </w:r>
      <w:r w:rsidR="006D60BC" w:rsidRPr="00BA5A45">
        <w:rPr>
          <w:rFonts w:ascii="Times New Roman" w:hAnsi="Times New Roman"/>
          <w:sz w:val="24"/>
          <w:lang w:val="en-GB"/>
        </w:rPr>
        <w:t xml:space="preserve"> commission and any outstanding rates before </w:t>
      </w:r>
      <w:r w:rsidR="005E0B06" w:rsidRPr="00BA5A45">
        <w:rPr>
          <w:rFonts w:ascii="Times New Roman" w:hAnsi="Times New Roman"/>
          <w:sz w:val="24"/>
          <w:lang w:val="en-GB"/>
        </w:rPr>
        <w:t>transmitting</w:t>
      </w:r>
      <w:r w:rsidR="006D60BC" w:rsidRPr="00BA5A45">
        <w:rPr>
          <w:rFonts w:ascii="Times New Roman" w:hAnsi="Times New Roman"/>
          <w:sz w:val="24"/>
          <w:lang w:val="en-GB"/>
        </w:rPr>
        <w:t xml:space="preserve"> the remaining funds to him.</w:t>
      </w:r>
    </w:p>
    <w:p w14:paraId="2F965D5F" w14:textId="77777777" w:rsidR="00D81197" w:rsidRPr="00BA5A45" w:rsidRDefault="00D81197" w:rsidP="00F42946">
      <w:pPr>
        <w:spacing w:after="0" w:line="480" w:lineRule="auto"/>
        <w:ind w:firstLine="720"/>
        <w:jc w:val="both"/>
        <w:rPr>
          <w:rFonts w:ascii="Times New Roman" w:hAnsi="Times New Roman"/>
          <w:sz w:val="24"/>
          <w:vertAlign w:val="superscript"/>
          <w:lang w:val="en-GB"/>
        </w:rPr>
      </w:pPr>
    </w:p>
    <w:p w14:paraId="2440A0E4" w14:textId="1BD6E43C" w:rsidR="008B5EF7" w:rsidRPr="00BA5A45" w:rsidRDefault="000627D3" w:rsidP="00F42946">
      <w:pPr>
        <w:spacing w:after="0" w:line="480" w:lineRule="auto"/>
        <w:jc w:val="both"/>
        <w:rPr>
          <w:rFonts w:ascii="Times New Roman" w:hAnsi="Times New Roman"/>
          <w:sz w:val="24"/>
          <w:lang w:val="en-GB"/>
        </w:rPr>
      </w:pPr>
      <w:r w:rsidRPr="00BA5A45">
        <w:rPr>
          <w:rFonts w:ascii="Times New Roman" w:hAnsi="Times New Roman"/>
          <w:sz w:val="24"/>
          <w:lang w:val="en-GB"/>
        </w:rPr>
        <w:t xml:space="preserve"> </w:t>
      </w:r>
      <w:r w:rsidR="00B17D41" w:rsidRPr="00BA5A45">
        <w:rPr>
          <w:rFonts w:ascii="Times New Roman" w:hAnsi="Times New Roman"/>
          <w:sz w:val="24"/>
          <w:lang w:val="en-GB"/>
        </w:rPr>
        <w:tab/>
      </w:r>
      <w:r w:rsidR="00D81197" w:rsidRPr="00BA5A45">
        <w:rPr>
          <w:rFonts w:ascii="Times New Roman" w:hAnsi="Times New Roman"/>
          <w:sz w:val="24"/>
          <w:lang w:val="en-GB"/>
        </w:rPr>
        <w:tab/>
      </w:r>
      <w:r w:rsidRPr="00BA5A45">
        <w:rPr>
          <w:rFonts w:ascii="Times New Roman" w:hAnsi="Times New Roman"/>
          <w:sz w:val="24"/>
          <w:lang w:val="en-GB"/>
        </w:rPr>
        <w:t xml:space="preserve">On 17 February 2014 Zuze Law </w:t>
      </w:r>
      <w:r w:rsidR="006826FD" w:rsidRPr="00BA5A45">
        <w:rPr>
          <w:rFonts w:ascii="Times New Roman" w:hAnsi="Times New Roman"/>
          <w:sz w:val="24"/>
          <w:lang w:val="en-GB"/>
        </w:rPr>
        <w:t>Chambers</w:t>
      </w:r>
      <w:r w:rsidR="00E82E44" w:rsidRPr="00BA5A45">
        <w:rPr>
          <w:rFonts w:ascii="Times New Roman" w:hAnsi="Times New Roman"/>
          <w:sz w:val="24"/>
          <w:lang w:val="en-GB"/>
        </w:rPr>
        <w:t xml:space="preserve"> wrote</w:t>
      </w:r>
      <w:r w:rsidRPr="00BA5A45">
        <w:rPr>
          <w:rFonts w:ascii="Times New Roman" w:hAnsi="Times New Roman"/>
          <w:sz w:val="24"/>
          <w:lang w:val="en-GB"/>
        </w:rPr>
        <w:t xml:space="preserve"> to Manokore</w:t>
      </w:r>
      <w:r w:rsidR="008B5EF7" w:rsidRPr="00BA5A45">
        <w:rPr>
          <w:rFonts w:ascii="Times New Roman" w:hAnsi="Times New Roman"/>
          <w:sz w:val="24"/>
          <w:lang w:val="en-GB"/>
        </w:rPr>
        <w:t xml:space="preserve"> &amp; </w:t>
      </w:r>
      <w:r w:rsidR="00E82E44" w:rsidRPr="00BA5A45">
        <w:rPr>
          <w:rFonts w:ascii="Times New Roman" w:hAnsi="Times New Roman"/>
          <w:sz w:val="24"/>
          <w:lang w:val="en-GB"/>
        </w:rPr>
        <w:t>Partners indicating</w:t>
      </w:r>
      <w:r w:rsidRPr="00BA5A45">
        <w:rPr>
          <w:rFonts w:ascii="Times New Roman" w:hAnsi="Times New Roman"/>
          <w:sz w:val="24"/>
          <w:lang w:val="en-GB"/>
        </w:rPr>
        <w:t xml:space="preserve"> that their client</w:t>
      </w:r>
      <w:r w:rsidR="008B5EF7" w:rsidRPr="00BA5A45">
        <w:rPr>
          <w:rFonts w:ascii="Times New Roman" w:hAnsi="Times New Roman"/>
          <w:sz w:val="24"/>
          <w:lang w:val="en-GB"/>
        </w:rPr>
        <w:t>, Celgrim Bakeries,</w:t>
      </w:r>
      <w:r w:rsidRPr="00BA5A45">
        <w:rPr>
          <w:rFonts w:ascii="Times New Roman" w:hAnsi="Times New Roman"/>
          <w:sz w:val="24"/>
          <w:lang w:val="en-GB"/>
        </w:rPr>
        <w:t xml:space="preserve"> wanted to surrender </w:t>
      </w:r>
      <w:r w:rsidR="00904F8C" w:rsidRPr="00BA5A45">
        <w:rPr>
          <w:rFonts w:ascii="Times New Roman" w:hAnsi="Times New Roman"/>
          <w:sz w:val="24"/>
          <w:lang w:val="en-GB"/>
        </w:rPr>
        <w:t>movable properties into NFOL</w:t>
      </w:r>
      <w:r w:rsidR="006D60BC" w:rsidRPr="00BA5A45">
        <w:rPr>
          <w:rFonts w:ascii="Times New Roman" w:hAnsi="Times New Roman"/>
          <w:sz w:val="24"/>
          <w:lang w:val="en-GB"/>
        </w:rPr>
        <w:t>’s</w:t>
      </w:r>
      <w:r w:rsidRPr="00BA5A45">
        <w:rPr>
          <w:rFonts w:ascii="Times New Roman" w:hAnsi="Times New Roman"/>
          <w:sz w:val="24"/>
          <w:lang w:val="en-GB"/>
        </w:rPr>
        <w:t xml:space="preserve"> custody which would be sold so as to settle the debt.</w:t>
      </w:r>
      <w:r w:rsidR="006D60BC" w:rsidRPr="00BA5A45">
        <w:rPr>
          <w:rFonts w:ascii="Times New Roman" w:hAnsi="Times New Roman"/>
          <w:sz w:val="24"/>
          <w:lang w:val="en-GB"/>
        </w:rPr>
        <w:t xml:space="preserve"> The appellant declined the offer and </w:t>
      </w:r>
      <w:r w:rsidRPr="00BA5A45">
        <w:rPr>
          <w:rFonts w:ascii="Times New Roman" w:hAnsi="Times New Roman"/>
          <w:sz w:val="24"/>
          <w:lang w:val="en-GB"/>
        </w:rPr>
        <w:t>indicated that N</w:t>
      </w:r>
      <w:r w:rsidR="00904F8C" w:rsidRPr="00BA5A45">
        <w:rPr>
          <w:rFonts w:ascii="Times New Roman" w:hAnsi="Times New Roman"/>
          <w:sz w:val="24"/>
          <w:lang w:val="en-GB"/>
        </w:rPr>
        <w:t>FOL</w:t>
      </w:r>
      <w:r w:rsidRPr="00BA5A45">
        <w:rPr>
          <w:rFonts w:ascii="Times New Roman" w:hAnsi="Times New Roman"/>
          <w:sz w:val="24"/>
          <w:lang w:val="en-GB"/>
        </w:rPr>
        <w:t xml:space="preserve"> was proceeding with the sale of the</w:t>
      </w:r>
      <w:r w:rsidR="00FF7674" w:rsidRPr="00BA5A45">
        <w:rPr>
          <w:rFonts w:ascii="Times New Roman" w:hAnsi="Times New Roman"/>
          <w:sz w:val="24"/>
          <w:lang w:val="en-GB"/>
        </w:rPr>
        <w:t xml:space="preserve"> complainant</w:t>
      </w:r>
      <w:r w:rsidR="006D60BC" w:rsidRPr="00BA5A45">
        <w:rPr>
          <w:rFonts w:ascii="Times New Roman" w:hAnsi="Times New Roman"/>
          <w:sz w:val="24"/>
          <w:lang w:val="en-GB"/>
        </w:rPr>
        <w:t>s</w:t>
      </w:r>
      <w:r w:rsidR="00FF7674" w:rsidRPr="00BA5A45">
        <w:rPr>
          <w:rFonts w:ascii="Times New Roman" w:hAnsi="Times New Roman"/>
          <w:sz w:val="24"/>
          <w:lang w:val="en-GB"/>
        </w:rPr>
        <w:t>’</w:t>
      </w:r>
      <w:r w:rsidRPr="00BA5A45">
        <w:rPr>
          <w:rFonts w:ascii="Times New Roman" w:hAnsi="Times New Roman"/>
          <w:sz w:val="24"/>
          <w:lang w:val="en-GB"/>
        </w:rPr>
        <w:t xml:space="preserve"> property. </w:t>
      </w:r>
    </w:p>
    <w:p w14:paraId="3688C547" w14:textId="77777777" w:rsidR="00D81197" w:rsidRPr="00BA5A45" w:rsidRDefault="00D81197" w:rsidP="00F42946">
      <w:pPr>
        <w:spacing w:after="0" w:line="480" w:lineRule="auto"/>
        <w:jc w:val="both"/>
        <w:rPr>
          <w:rFonts w:ascii="Times New Roman" w:hAnsi="Times New Roman"/>
          <w:sz w:val="24"/>
          <w:lang w:val="en-GB"/>
        </w:rPr>
      </w:pPr>
    </w:p>
    <w:p w14:paraId="5E692052" w14:textId="1599BCAD" w:rsidR="000627D3" w:rsidRPr="00BA5A45" w:rsidRDefault="000627D3"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In September 2014</w:t>
      </w:r>
      <w:r w:rsidR="009A6181" w:rsidRPr="00BA5A45">
        <w:rPr>
          <w:rFonts w:ascii="Times New Roman" w:hAnsi="Times New Roman"/>
          <w:sz w:val="24"/>
          <w:lang w:val="en-GB"/>
        </w:rPr>
        <w:t>,</w:t>
      </w:r>
      <w:r w:rsidRPr="00BA5A45">
        <w:rPr>
          <w:rFonts w:ascii="Times New Roman" w:hAnsi="Times New Roman"/>
          <w:sz w:val="24"/>
          <w:lang w:val="en-GB"/>
        </w:rPr>
        <w:t xml:space="preserve"> the complainants were advised by the appellant that their propert</w:t>
      </w:r>
      <w:r w:rsidR="00531BE6" w:rsidRPr="00BA5A45">
        <w:rPr>
          <w:rFonts w:ascii="Times New Roman" w:hAnsi="Times New Roman"/>
          <w:sz w:val="24"/>
          <w:lang w:val="en-GB"/>
        </w:rPr>
        <w:t xml:space="preserve">y had been sold. They were presented with a </w:t>
      </w:r>
      <w:r w:rsidR="00E82E44" w:rsidRPr="00BA5A45">
        <w:rPr>
          <w:rFonts w:ascii="Times New Roman" w:hAnsi="Times New Roman"/>
          <w:sz w:val="24"/>
          <w:lang w:val="en-GB"/>
        </w:rPr>
        <w:t>statement showing</w:t>
      </w:r>
      <w:r w:rsidRPr="00BA5A45">
        <w:rPr>
          <w:rFonts w:ascii="Times New Roman" w:hAnsi="Times New Roman"/>
          <w:sz w:val="24"/>
          <w:lang w:val="en-GB"/>
        </w:rPr>
        <w:t xml:space="preserve"> that the</w:t>
      </w:r>
      <w:r w:rsidR="00D81197" w:rsidRPr="00BA5A45">
        <w:rPr>
          <w:rFonts w:ascii="Times New Roman" w:hAnsi="Times New Roman"/>
          <w:sz w:val="24"/>
          <w:lang w:val="en-GB"/>
        </w:rPr>
        <w:t xml:space="preserve"> property had been sold for </w:t>
      </w:r>
      <w:r w:rsidR="00C37451">
        <w:rPr>
          <w:rFonts w:ascii="Times New Roman" w:hAnsi="Times New Roman"/>
          <w:sz w:val="24"/>
          <w:lang w:val="en-GB"/>
        </w:rPr>
        <w:t>US</w:t>
      </w:r>
      <w:r w:rsidR="00D81197" w:rsidRPr="00BA5A45">
        <w:rPr>
          <w:rFonts w:ascii="Times New Roman" w:hAnsi="Times New Roman"/>
          <w:sz w:val="24"/>
          <w:lang w:val="en-GB"/>
        </w:rPr>
        <w:t>$35 </w:t>
      </w:r>
      <w:r w:rsidRPr="00BA5A45">
        <w:rPr>
          <w:rFonts w:ascii="Times New Roman" w:hAnsi="Times New Roman"/>
          <w:sz w:val="24"/>
          <w:lang w:val="en-GB"/>
        </w:rPr>
        <w:t xml:space="preserve">000. An amount of </w:t>
      </w:r>
      <w:r w:rsidR="00C37451">
        <w:rPr>
          <w:rFonts w:ascii="Times New Roman" w:hAnsi="Times New Roman"/>
          <w:sz w:val="24"/>
          <w:lang w:val="en-GB"/>
        </w:rPr>
        <w:t>US</w:t>
      </w:r>
      <w:r w:rsidRPr="00BA5A45">
        <w:rPr>
          <w:rFonts w:ascii="Times New Roman" w:hAnsi="Times New Roman"/>
          <w:sz w:val="24"/>
          <w:lang w:val="en-GB"/>
        </w:rPr>
        <w:t xml:space="preserve">$6 802.54 was due to them after payment of the debt to </w:t>
      </w:r>
      <w:r w:rsidR="00904F8C" w:rsidRPr="00BA5A45">
        <w:rPr>
          <w:rFonts w:ascii="Times New Roman" w:hAnsi="Times New Roman"/>
          <w:sz w:val="24"/>
          <w:lang w:val="en-GB"/>
        </w:rPr>
        <w:t>NFOL</w:t>
      </w:r>
      <w:r w:rsidRPr="00BA5A45">
        <w:rPr>
          <w:rFonts w:ascii="Times New Roman" w:hAnsi="Times New Roman"/>
          <w:sz w:val="24"/>
          <w:lang w:val="en-GB"/>
        </w:rPr>
        <w:t xml:space="preserve">, legal </w:t>
      </w:r>
      <w:r w:rsidRPr="00BA5A45">
        <w:rPr>
          <w:rFonts w:ascii="Times New Roman" w:hAnsi="Times New Roman"/>
          <w:sz w:val="24"/>
          <w:lang w:val="en-GB"/>
        </w:rPr>
        <w:lastRenderedPageBreak/>
        <w:t>fees and arrear utility bills.</w:t>
      </w:r>
      <w:r w:rsidR="00531BE6" w:rsidRPr="00BA5A45">
        <w:rPr>
          <w:rFonts w:ascii="Times New Roman" w:hAnsi="Times New Roman"/>
          <w:sz w:val="24"/>
          <w:lang w:val="en-GB"/>
        </w:rPr>
        <w:t xml:space="preserve"> That amount was not remitted to the complainants. The amount was in</w:t>
      </w:r>
      <w:r w:rsidR="00904F8C" w:rsidRPr="00BA5A45">
        <w:rPr>
          <w:rFonts w:ascii="Times New Roman" w:hAnsi="Times New Roman"/>
          <w:sz w:val="24"/>
          <w:lang w:val="en-GB"/>
        </w:rPr>
        <w:t>stead remitted to NFOL</w:t>
      </w:r>
      <w:r w:rsidR="00531BE6" w:rsidRPr="00BA5A45">
        <w:rPr>
          <w:rFonts w:ascii="Times New Roman" w:hAnsi="Times New Roman"/>
          <w:sz w:val="24"/>
          <w:lang w:val="en-GB"/>
        </w:rPr>
        <w:t xml:space="preserve"> without </w:t>
      </w:r>
      <w:r w:rsidR="004A27CA" w:rsidRPr="00BA5A45">
        <w:rPr>
          <w:rFonts w:ascii="Times New Roman" w:hAnsi="Times New Roman"/>
          <w:sz w:val="24"/>
          <w:lang w:val="en-GB"/>
        </w:rPr>
        <w:t>t</w:t>
      </w:r>
      <w:r w:rsidR="00531BE6" w:rsidRPr="00BA5A45">
        <w:rPr>
          <w:rFonts w:ascii="Times New Roman" w:hAnsi="Times New Roman"/>
          <w:sz w:val="24"/>
          <w:lang w:val="en-GB"/>
        </w:rPr>
        <w:t xml:space="preserve">he </w:t>
      </w:r>
      <w:r w:rsidR="004A27CA" w:rsidRPr="00BA5A45">
        <w:rPr>
          <w:rFonts w:ascii="Times New Roman" w:hAnsi="Times New Roman"/>
          <w:sz w:val="24"/>
          <w:lang w:val="en-GB"/>
        </w:rPr>
        <w:t>complainants’</w:t>
      </w:r>
      <w:r w:rsidR="00531BE6" w:rsidRPr="00BA5A45">
        <w:rPr>
          <w:rFonts w:ascii="Times New Roman" w:hAnsi="Times New Roman"/>
          <w:sz w:val="24"/>
          <w:lang w:val="en-GB"/>
        </w:rPr>
        <w:t xml:space="preserve"> authorisation.</w:t>
      </w:r>
    </w:p>
    <w:p w14:paraId="3804FE60" w14:textId="77777777" w:rsidR="00D81197" w:rsidRPr="00BA5A45" w:rsidRDefault="00D81197" w:rsidP="00F42946">
      <w:pPr>
        <w:spacing w:after="0" w:line="480" w:lineRule="auto"/>
        <w:jc w:val="both"/>
        <w:rPr>
          <w:rFonts w:ascii="Times New Roman" w:hAnsi="Times New Roman"/>
          <w:sz w:val="24"/>
          <w:lang w:val="en-GB"/>
        </w:rPr>
      </w:pPr>
    </w:p>
    <w:p w14:paraId="0209CD4C" w14:textId="6E979D5B" w:rsidR="009A6181" w:rsidRPr="00BA5A45" w:rsidRDefault="000627D3"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The complainants made an application for the setting aside of the sale in the High Court under case number HC 819/15.</w:t>
      </w:r>
      <w:r w:rsidR="00676BF2" w:rsidRPr="00BA5A45">
        <w:rPr>
          <w:rFonts w:ascii="Times New Roman" w:hAnsi="Times New Roman"/>
          <w:sz w:val="24"/>
          <w:lang w:val="en-GB"/>
        </w:rPr>
        <w:t xml:space="preserve"> </w:t>
      </w:r>
      <w:r w:rsidR="009A6181" w:rsidRPr="00BA5A45">
        <w:rPr>
          <w:rFonts w:ascii="Times New Roman" w:hAnsi="Times New Roman"/>
          <w:sz w:val="24"/>
          <w:vertAlign w:val="superscript"/>
          <w:lang w:val="en-GB"/>
        </w:rPr>
        <w:t xml:space="preserve"> </w:t>
      </w:r>
      <w:r w:rsidR="009A6181" w:rsidRPr="00BA5A45">
        <w:rPr>
          <w:rFonts w:ascii="Times New Roman" w:hAnsi="Times New Roman"/>
          <w:sz w:val="24"/>
          <w:lang w:val="en-GB"/>
        </w:rPr>
        <w:t>In addition, the</w:t>
      </w:r>
      <w:r w:rsidR="00DC27B1" w:rsidRPr="00BA5A45">
        <w:rPr>
          <w:rFonts w:ascii="Times New Roman" w:hAnsi="Times New Roman"/>
          <w:sz w:val="24"/>
          <w:lang w:val="en-GB"/>
        </w:rPr>
        <w:t>y</w:t>
      </w:r>
      <w:r w:rsidRPr="00BA5A45">
        <w:rPr>
          <w:rFonts w:ascii="Times New Roman" w:hAnsi="Times New Roman"/>
          <w:sz w:val="24"/>
          <w:lang w:val="en-GB"/>
        </w:rPr>
        <w:t xml:space="preserve"> lodged a complaint </w:t>
      </w:r>
      <w:r w:rsidR="009A6181" w:rsidRPr="00BA5A45">
        <w:rPr>
          <w:rFonts w:ascii="Times New Roman" w:hAnsi="Times New Roman"/>
          <w:sz w:val="24"/>
          <w:lang w:val="en-GB"/>
        </w:rPr>
        <w:t xml:space="preserve">against </w:t>
      </w:r>
      <w:r w:rsidR="00531BE6" w:rsidRPr="00BA5A45">
        <w:rPr>
          <w:rFonts w:ascii="Times New Roman" w:hAnsi="Times New Roman"/>
          <w:sz w:val="24"/>
          <w:lang w:val="en-GB"/>
        </w:rPr>
        <w:t>the appellant</w:t>
      </w:r>
      <w:r w:rsidR="009A6181" w:rsidRPr="00BA5A45">
        <w:rPr>
          <w:rFonts w:ascii="Times New Roman" w:hAnsi="Times New Roman"/>
          <w:sz w:val="24"/>
          <w:lang w:val="en-GB"/>
        </w:rPr>
        <w:t xml:space="preserve"> </w:t>
      </w:r>
      <w:r w:rsidRPr="00BA5A45">
        <w:rPr>
          <w:rFonts w:ascii="Times New Roman" w:hAnsi="Times New Roman"/>
          <w:sz w:val="24"/>
          <w:lang w:val="en-GB"/>
        </w:rPr>
        <w:t>with the respondent. They complained</w:t>
      </w:r>
      <w:r w:rsidR="00EB2725" w:rsidRPr="00BA5A45">
        <w:rPr>
          <w:rFonts w:ascii="Times New Roman" w:hAnsi="Times New Roman"/>
          <w:sz w:val="24"/>
          <w:lang w:val="en-GB"/>
        </w:rPr>
        <w:t xml:space="preserve">, </w:t>
      </w:r>
      <w:r w:rsidR="00EB2725" w:rsidRPr="00BA5A45">
        <w:rPr>
          <w:rFonts w:ascii="Times New Roman" w:hAnsi="Times New Roman"/>
          <w:i/>
          <w:sz w:val="24"/>
          <w:lang w:val="en-GB"/>
        </w:rPr>
        <w:t>inter alia</w:t>
      </w:r>
      <w:r w:rsidR="00EB2725" w:rsidRPr="00BA5A45">
        <w:rPr>
          <w:rFonts w:ascii="Times New Roman" w:hAnsi="Times New Roman"/>
          <w:sz w:val="24"/>
          <w:lang w:val="en-GB"/>
        </w:rPr>
        <w:t>,</w:t>
      </w:r>
      <w:r w:rsidRPr="00BA5A45">
        <w:rPr>
          <w:rFonts w:ascii="Times New Roman" w:hAnsi="Times New Roman"/>
          <w:sz w:val="24"/>
          <w:lang w:val="en-GB"/>
        </w:rPr>
        <w:t xml:space="preserve"> that their property was sold </w:t>
      </w:r>
      <w:r w:rsidR="00571D3D" w:rsidRPr="00BA5A45">
        <w:rPr>
          <w:rFonts w:ascii="Times New Roman" w:hAnsi="Times New Roman"/>
          <w:sz w:val="24"/>
          <w:lang w:val="en-GB"/>
        </w:rPr>
        <w:t xml:space="preserve">without </w:t>
      </w:r>
      <w:r w:rsidR="00531BE6" w:rsidRPr="00BA5A45">
        <w:rPr>
          <w:rFonts w:ascii="Times New Roman" w:hAnsi="Times New Roman"/>
          <w:sz w:val="24"/>
          <w:lang w:val="en-GB"/>
        </w:rPr>
        <w:t>their consent</w:t>
      </w:r>
      <w:r w:rsidRPr="00BA5A45">
        <w:rPr>
          <w:rFonts w:ascii="Times New Roman" w:hAnsi="Times New Roman"/>
          <w:sz w:val="24"/>
          <w:lang w:val="en-GB"/>
        </w:rPr>
        <w:t xml:space="preserve"> </w:t>
      </w:r>
      <w:r w:rsidR="00571D3D" w:rsidRPr="00BA5A45">
        <w:rPr>
          <w:rFonts w:ascii="Times New Roman" w:hAnsi="Times New Roman"/>
          <w:sz w:val="24"/>
          <w:lang w:val="en-GB"/>
        </w:rPr>
        <w:t>and in the absence of</w:t>
      </w:r>
      <w:r w:rsidRPr="00BA5A45">
        <w:rPr>
          <w:rFonts w:ascii="Times New Roman" w:hAnsi="Times New Roman"/>
          <w:sz w:val="24"/>
          <w:lang w:val="en-GB"/>
        </w:rPr>
        <w:t xml:space="preserve"> a </w:t>
      </w:r>
      <w:r w:rsidR="00571D3D" w:rsidRPr="00BA5A45">
        <w:rPr>
          <w:rFonts w:ascii="Times New Roman" w:hAnsi="Times New Roman"/>
          <w:sz w:val="24"/>
          <w:lang w:val="en-GB"/>
        </w:rPr>
        <w:t xml:space="preserve">valid </w:t>
      </w:r>
      <w:r w:rsidRPr="00BA5A45">
        <w:rPr>
          <w:rFonts w:ascii="Times New Roman" w:hAnsi="Times New Roman"/>
          <w:sz w:val="24"/>
          <w:lang w:val="en-GB"/>
        </w:rPr>
        <w:t xml:space="preserve">court order. </w:t>
      </w:r>
    </w:p>
    <w:p w14:paraId="28C8E1CC" w14:textId="77777777" w:rsidR="00D81197" w:rsidRPr="00BA5A45" w:rsidRDefault="00D81197" w:rsidP="00F42946">
      <w:pPr>
        <w:spacing w:after="0" w:line="480" w:lineRule="auto"/>
        <w:ind w:firstLine="720"/>
        <w:jc w:val="both"/>
        <w:rPr>
          <w:rFonts w:ascii="Times New Roman" w:hAnsi="Times New Roman"/>
          <w:sz w:val="24"/>
          <w:lang w:val="en-GB"/>
        </w:rPr>
      </w:pPr>
    </w:p>
    <w:p w14:paraId="4D15987A" w14:textId="77777777" w:rsidR="001B1E12" w:rsidRPr="00BA5A45" w:rsidRDefault="001B1E12"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That complaint formed the basis of the respondent’s application before the Tribunal.</w:t>
      </w:r>
      <w:r w:rsidR="00BD10C6" w:rsidRPr="00BA5A45">
        <w:rPr>
          <w:rFonts w:ascii="Times New Roman" w:hAnsi="Times New Roman"/>
          <w:sz w:val="24"/>
          <w:lang w:val="en-GB"/>
        </w:rPr>
        <w:t xml:space="preserve"> The appellant opposed the application.</w:t>
      </w:r>
    </w:p>
    <w:p w14:paraId="329F6A97" w14:textId="77777777" w:rsidR="00D81197" w:rsidRPr="00BA5A45" w:rsidRDefault="00D81197" w:rsidP="00F42946">
      <w:pPr>
        <w:spacing w:after="0" w:line="480" w:lineRule="auto"/>
        <w:ind w:firstLine="720"/>
        <w:jc w:val="both"/>
        <w:rPr>
          <w:rFonts w:ascii="Times New Roman" w:hAnsi="Times New Roman"/>
          <w:sz w:val="24"/>
          <w:lang w:val="en-GB"/>
        </w:rPr>
      </w:pPr>
    </w:p>
    <w:p w14:paraId="50875F2E" w14:textId="77777777" w:rsidR="000805C8" w:rsidRPr="00BA5A45" w:rsidRDefault="00FA77C7" w:rsidP="00F42946">
      <w:pPr>
        <w:spacing w:after="0" w:line="480" w:lineRule="auto"/>
        <w:jc w:val="both"/>
        <w:rPr>
          <w:rFonts w:ascii="Times New Roman" w:hAnsi="Times New Roman"/>
          <w:b/>
          <w:sz w:val="24"/>
          <w:lang w:val="en-GB"/>
        </w:rPr>
      </w:pPr>
      <w:r w:rsidRPr="00BA5A45">
        <w:rPr>
          <w:rFonts w:ascii="Times New Roman" w:hAnsi="Times New Roman"/>
          <w:b/>
          <w:sz w:val="24"/>
          <w:lang w:val="en-GB"/>
        </w:rPr>
        <w:t>PROCEEDINGS</w:t>
      </w:r>
      <w:r w:rsidR="00EA1FA3" w:rsidRPr="00BA5A45">
        <w:rPr>
          <w:rFonts w:ascii="Times New Roman" w:hAnsi="Times New Roman"/>
          <w:b/>
          <w:sz w:val="24"/>
          <w:lang w:val="en-GB"/>
        </w:rPr>
        <w:t xml:space="preserve"> BEFORE T</w:t>
      </w:r>
      <w:r w:rsidR="00A80326" w:rsidRPr="00BA5A45">
        <w:rPr>
          <w:rFonts w:ascii="Times New Roman" w:hAnsi="Times New Roman"/>
          <w:b/>
          <w:sz w:val="24"/>
          <w:lang w:val="en-GB"/>
        </w:rPr>
        <w:t xml:space="preserve">HE DISCIPLINARY TRIBUNAL </w:t>
      </w:r>
    </w:p>
    <w:p w14:paraId="745B56E7" w14:textId="4F279F58" w:rsidR="00157620" w:rsidRPr="00BA5A45" w:rsidRDefault="00495AEF" w:rsidP="00F42946">
      <w:pPr>
        <w:spacing w:after="0" w:line="480" w:lineRule="auto"/>
        <w:ind w:firstLine="1134"/>
        <w:jc w:val="both"/>
        <w:rPr>
          <w:rFonts w:ascii="Times New Roman" w:hAnsi="Times New Roman"/>
          <w:b/>
          <w:sz w:val="24"/>
          <w:lang w:val="en-GB"/>
        </w:rPr>
      </w:pPr>
      <w:r w:rsidRPr="00BA5A45">
        <w:rPr>
          <w:rFonts w:ascii="Times New Roman" w:hAnsi="Times New Roman"/>
          <w:sz w:val="24"/>
          <w:lang w:val="en-GB"/>
        </w:rPr>
        <w:t>Mr</w:t>
      </w:r>
      <w:r w:rsidRPr="00BA5A45">
        <w:rPr>
          <w:rFonts w:ascii="Times New Roman" w:hAnsi="Times New Roman"/>
          <w:i/>
          <w:sz w:val="24"/>
          <w:lang w:val="en-GB"/>
        </w:rPr>
        <w:t xml:space="preserve"> Gahadzikwa</w:t>
      </w:r>
      <w:r w:rsidRPr="00BA5A45">
        <w:rPr>
          <w:rFonts w:ascii="Times New Roman" w:hAnsi="Times New Roman"/>
          <w:sz w:val="24"/>
          <w:lang w:val="en-GB"/>
        </w:rPr>
        <w:t>, for the</w:t>
      </w:r>
      <w:r w:rsidR="002C6914" w:rsidRPr="00BA5A45">
        <w:rPr>
          <w:rFonts w:ascii="Times New Roman" w:hAnsi="Times New Roman"/>
          <w:sz w:val="24"/>
          <w:lang w:val="en-GB"/>
        </w:rPr>
        <w:t xml:space="preserve"> respondent</w:t>
      </w:r>
      <w:r w:rsidRPr="00BA5A45">
        <w:rPr>
          <w:rFonts w:ascii="Times New Roman" w:hAnsi="Times New Roman"/>
          <w:sz w:val="24"/>
          <w:lang w:val="en-GB"/>
        </w:rPr>
        <w:t>, submitted before the Tribunal</w:t>
      </w:r>
      <w:r w:rsidR="00141C0D" w:rsidRPr="00BA5A45">
        <w:rPr>
          <w:rFonts w:ascii="Times New Roman" w:hAnsi="Times New Roman"/>
          <w:sz w:val="24"/>
          <w:lang w:val="en-GB"/>
        </w:rPr>
        <w:t xml:space="preserve"> that the </w:t>
      </w:r>
      <w:r w:rsidRPr="00BA5A45">
        <w:rPr>
          <w:rFonts w:ascii="Times New Roman" w:hAnsi="Times New Roman"/>
          <w:sz w:val="24"/>
          <w:lang w:val="en-GB"/>
        </w:rPr>
        <w:t>appellant’s</w:t>
      </w:r>
      <w:r w:rsidR="00141C0D" w:rsidRPr="00BA5A45">
        <w:rPr>
          <w:rFonts w:ascii="Times New Roman" w:hAnsi="Times New Roman"/>
          <w:sz w:val="24"/>
          <w:lang w:val="en-GB"/>
        </w:rPr>
        <w:t xml:space="preserve"> name be deleted from the register of legal Practitioners, Notaries Public and Conveyancers for the reason that he had conducted himself in a</w:t>
      </w:r>
      <w:r w:rsidRPr="00BA5A45">
        <w:rPr>
          <w:rFonts w:ascii="Times New Roman" w:hAnsi="Times New Roman"/>
          <w:sz w:val="24"/>
          <w:lang w:val="en-GB"/>
        </w:rPr>
        <w:t>n unprofessional, dishonourable and unworthy manner. He averred that</w:t>
      </w:r>
      <w:r w:rsidR="000627D3" w:rsidRPr="00BA5A45">
        <w:rPr>
          <w:rFonts w:ascii="Times New Roman" w:hAnsi="Times New Roman"/>
          <w:sz w:val="24"/>
          <w:lang w:val="en-GB"/>
        </w:rPr>
        <w:t xml:space="preserve"> the appellant was guilty of </w:t>
      </w:r>
      <w:r w:rsidR="00EB2725" w:rsidRPr="00BA5A45">
        <w:rPr>
          <w:rFonts w:ascii="Times New Roman" w:hAnsi="Times New Roman"/>
          <w:sz w:val="24"/>
          <w:lang w:val="en-GB"/>
        </w:rPr>
        <w:t>unprofessional conduct in that:-</w:t>
      </w:r>
    </w:p>
    <w:p w14:paraId="6F21CB09" w14:textId="66CF59E7" w:rsidR="004B080C" w:rsidRPr="00BA5A45" w:rsidRDefault="00FC6B04" w:rsidP="00F42946">
      <w:pPr>
        <w:pStyle w:val="ListParagraph"/>
        <w:numPr>
          <w:ilvl w:val="0"/>
          <w:numId w:val="3"/>
        </w:numPr>
        <w:spacing w:after="0" w:line="480" w:lineRule="auto"/>
        <w:ind w:left="1134" w:hanging="567"/>
        <w:jc w:val="both"/>
        <w:rPr>
          <w:rFonts w:ascii="Times New Roman" w:hAnsi="Times New Roman"/>
          <w:sz w:val="24"/>
          <w:lang w:val="en-GB"/>
        </w:rPr>
      </w:pPr>
      <w:r w:rsidRPr="00BA5A45">
        <w:rPr>
          <w:rFonts w:ascii="Times New Roman" w:hAnsi="Times New Roman"/>
          <w:sz w:val="24"/>
          <w:lang w:val="en-GB"/>
        </w:rPr>
        <w:t>H</w:t>
      </w:r>
      <w:r w:rsidR="000627D3" w:rsidRPr="00BA5A45">
        <w:rPr>
          <w:rFonts w:ascii="Times New Roman" w:hAnsi="Times New Roman"/>
          <w:sz w:val="24"/>
          <w:lang w:val="en-GB"/>
        </w:rPr>
        <w:t>e accepted instructions to act for the complainants as well as National Foods Limited wherein the interest</w:t>
      </w:r>
      <w:r w:rsidRPr="00BA5A45">
        <w:rPr>
          <w:rFonts w:ascii="Times New Roman" w:hAnsi="Times New Roman"/>
          <w:sz w:val="24"/>
          <w:lang w:val="en-GB"/>
        </w:rPr>
        <w:t>s</w:t>
      </w:r>
      <w:r w:rsidR="000627D3" w:rsidRPr="00BA5A45">
        <w:rPr>
          <w:rFonts w:ascii="Times New Roman" w:hAnsi="Times New Roman"/>
          <w:sz w:val="24"/>
          <w:lang w:val="en-GB"/>
        </w:rPr>
        <w:t xml:space="preserve"> of the parties were conflicted or were bound to be </w:t>
      </w:r>
      <w:r w:rsidR="005E0B06" w:rsidRPr="00BA5A45">
        <w:rPr>
          <w:rFonts w:ascii="Times New Roman" w:hAnsi="Times New Roman"/>
          <w:sz w:val="24"/>
          <w:lang w:val="en-GB"/>
        </w:rPr>
        <w:t>conflicted, which</w:t>
      </w:r>
      <w:r w:rsidR="004B080C" w:rsidRPr="00BA5A45">
        <w:rPr>
          <w:rFonts w:ascii="Times New Roman" w:hAnsi="Times New Roman"/>
          <w:sz w:val="24"/>
          <w:lang w:val="en-GB"/>
        </w:rPr>
        <w:t xml:space="preserve"> was improper</w:t>
      </w:r>
      <w:r w:rsidRPr="00BA5A45">
        <w:rPr>
          <w:rFonts w:ascii="Times New Roman" w:hAnsi="Times New Roman"/>
          <w:sz w:val="24"/>
          <w:lang w:val="en-GB"/>
        </w:rPr>
        <w:t>.</w:t>
      </w:r>
    </w:p>
    <w:p w14:paraId="7E77007E" w14:textId="6C2F1F44" w:rsidR="00FA570F" w:rsidRPr="00BA5A45" w:rsidRDefault="00FC6B04" w:rsidP="00F42946">
      <w:pPr>
        <w:pStyle w:val="ListParagraph"/>
        <w:numPr>
          <w:ilvl w:val="0"/>
          <w:numId w:val="3"/>
        </w:numPr>
        <w:spacing w:after="0" w:line="480" w:lineRule="auto"/>
        <w:ind w:left="1134" w:hanging="567"/>
        <w:jc w:val="both"/>
        <w:rPr>
          <w:rFonts w:ascii="Times New Roman" w:hAnsi="Times New Roman"/>
          <w:sz w:val="24"/>
          <w:lang w:val="en-GB"/>
        </w:rPr>
      </w:pPr>
      <w:r w:rsidRPr="00BA5A45">
        <w:rPr>
          <w:rFonts w:ascii="Times New Roman" w:hAnsi="Times New Roman"/>
          <w:sz w:val="24"/>
          <w:lang w:val="en-GB"/>
        </w:rPr>
        <w:t>H</w:t>
      </w:r>
      <w:r w:rsidR="000627D3" w:rsidRPr="00BA5A45">
        <w:rPr>
          <w:rFonts w:ascii="Times New Roman" w:hAnsi="Times New Roman"/>
          <w:sz w:val="24"/>
          <w:lang w:val="en-GB"/>
        </w:rPr>
        <w:t xml:space="preserve">e sold the complainants’ property without </w:t>
      </w:r>
      <w:r w:rsidR="00FA570F" w:rsidRPr="00BA5A45">
        <w:rPr>
          <w:rFonts w:ascii="Times New Roman" w:hAnsi="Times New Roman"/>
          <w:sz w:val="24"/>
          <w:lang w:val="en-GB"/>
        </w:rPr>
        <w:t xml:space="preserve">their consent or </w:t>
      </w:r>
      <w:r w:rsidR="000627D3" w:rsidRPr="00BA5A45">
        <w:rPr>
          <w:rFonts w:ascii="Times New Roman" w:hAnsi="Times New Roman"/>
          <w:sz w:val="24"/>
          <w:lang w:val="en-GB"/>
        </w:rPr>
        <w:t xml:space="preserve">a court order </w:t>
      </w:r>
      <w:r w:rsidR="004B080C" w:rsidRPr="00BA5A45">
        <w:rPr>
          <w:rFonts w:ascii="Times New Roman" w:hAnsi="Times New Roman"/>
          <w:sz w:val="24"/>
          <w:lang w:val="en-GB"/>
        </w:rPr>
        <w:t>in contravention of s 4 of the Contractual Penalties Act [</w:t>
      </w:r>
      <w:r w:rsidR="004B080C" w:rsidRPr="00BA5A45">
        <w:rPr>
          <w:rFonts w:ascii="Times New Roman" w:hAnsi="Times New Roman"/>
          <w:i/>
          <w:sz w:val="24"/>
          <w:lang w:val="en-GB"/>
        </w:rPr>
        <w:t>Chapter 8:04</w:t>
      </w:r>
      <w:r w:rsidR="004B080C" w:rsidRPr="00BA5A45">
        <w:rPr>
          <w:rFonts w:ascii="Times New Roman" w:hAnsi="Times New Roman"/>
          <w:sz w:val="24"/>
          <w:lang w:val="en-GB"/>
        </w:rPr>
        <w:t>] which stipulates that in circumstances where there is a penalty stipulation, a creditor must obtain a court order and then execute</w:t>
      </w:r>
      <w:r w:rsidRPr="00BA5A45">
        <w:rPr>
          <w:rFonts w:ascii="Times New Roman" w:hAnsi="Times New Roman"/>
          <w:sz w:val="24"/>
          <w:lang w:val="en-GB"/>
        </w:rPr>
        <w:t>.</w:t>
      </w:r>
    </w:p>
    <w:p w14:paraId="365AD517" w14:textId="781A2052" w:rsidR="000805C8" w:rsidRPr="00BA5A45" w:rsidRDefault="00FC6B04" w:rsidP="00F42946">
      <w:pPr>
        <w:pStyle w:val="ListParagraph"/>
        <w:numPr>
          <w:ilvl w:val="0"/>
          <w:numId w:val="3"/>
        </w:numPr>
        <w:spacing w:after="0" w:line="480" w:lineRule="auto"/>
        <w:ind w:left="1134" w:hanging="567"/>
        <w:jc w:val="both"/>
        <w:rPr>
          <w:rFonts w:ascii="Times New Roman" w:hAnsi="Times New Roman"/>
          <w:sz w:val="24"/>
          <w:lang w:val="en-GB"/>
        </w:rPr>
      </w:pPr>
      <w:r w:rsidRPr="00BA5A45">
        <w:rPr>
          <w:rFonts w:ascii="Times New Roman" w:hAnsi="Times New Roman"/>
          <w:sz w:val="24"/>
          <w:lang w:val="en-GB"/>
        </w:rPr>
        <w:lastRenderedPageBreak/>
        <w:t>A</w:t>
      </w:r>
      <w:r w:rsidR="00FA570F" w:rsidRPr="00BA5A45">
        <w:rPr>
          <w:rFonts w:ascii="Times New Roman" w:hAnsi="Times New Roman"/>
          <w:sz w:val="24"/>
          <w:lang w:val="en-GB"/>
        </w:rPr>
        <w:t xml:space="preserve">fter selling the immovable property and receiving the purchase price, </w:t>
      </w:r>
      <w:r w:rsidR="000627D3" w:rsidRPr="00BA5A45">
        <w:rPr>
          <w:rFonts w:ascii="Times New Roman" w:hAnsi="Times New Roman"/>
          <w:sz w:val="24"/>
          <w:lang w:val="en-GB"/>
        </w:rPr>
        <w:t xml:space="preserve">he failed to remit the balance </w:t>
      </w:r>
      <w:r w:rsidR="00FA570F" w:rsidRPr="00BA5A45">
        <w:rPr>
          <w:rFonts w:ascii="Times New Roman" w:hAnsi="Times New Roman"/>
          <w:sz w:val="24"/>
          <w:lang w:val="en-GB"/>
        </w:rPr>
        <w:t xml:space="preserve">of the purchase price to the </w:t>
      </w:r>
      <w:r w:rsidR="005E0B06" w:rsidRPr="00BA5A45">
        <w:rPr>
          <w:rFonts w:ascii="Times New Roman" w:hAnsi="Times New Roman"/>
          <w:sz w:val="24"/>
          <w:lang w:val="en-GB"/>
        </w:rPr>
        <w:t>complainants, forwarding</w:t>
      </w:r>
      <w:r w:rsidR="00FA570F" w:rsidRPr="00BA5A45">
        <w:rPr>
          <w:rFonts w:ascii="Times New Roman" w:hAnsi="Times New Roman"/>
          <w:sz w:val="24"/>
          <w:lang w:val="en-GB"/>
        </w:rPr>
        <w:t xml:space="preserve"> the money instead to the creditor without the complainants’ consent</w:t>
      </w:r>
      <w:r w:rsidR="002C6914" w:rsidRPr="00BA5A45">
        <w:rPr>
          <w:rFonts w:ascii="Times New Roman" w:hAnsi="Times New Roman"/>
          <w:sz w:val="24"/>
          <w:lang w:val="en-GB"/>
        </w:rPr>
        <w:t>.</w:t>
      </w:r>
    </w:p>
    <w:p w14:paraId="1DC8348D" w14:textId="77777777" w:rsidR="00D81197" w:rsidRPr="00BA5A45" w:rsidRDefault="00D81197" w:rsidP="00F42946">
      <w:pPr>
        <w:spacing w:after="0" w:line="480" w:lineRule="auto"/>
        <w:jc w:val="both"/>
        <w:rPr>
          <w:rFonts w:ascii="Times New Roman" w:hAnsi="Times New Roman"/>
          <w:i/>
          <w:sz w:val="24"/>
          <w:lang w:val="en-GB"/>
        </w:rPr>
      </w:pPr>
    </w:p>
    <w:p w14:paraId="55AD9BCF" w14:textId="689BCF80" w:rsidR="000627D3" w:rsidRPr="00BA5A45" w:rsidRDefault="00175EB7"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Mr</w:t>
      </w:r>
      <w:r w:rsidRPr="00BA5A45">
        <w:rPr>
          <w:rFonts w:ascii="Times New Roman" w:hAnsi="Times New Roman"/>
          <w:i/>
          <w:sz w:val="24"/>
          <w:lang w:val="en-GB"/>
        </w:rPr>
        <w:t xml:space="preserve"> G</w:t>
      </w:r>
      <w:r w:rsidR="00BD10C6" w:rsidRPr="00BA5A45">
        <w:rPr>
          <w:rFonts w:ascii="Times New Roman" w:hAnsi="Times New Roman"/>
          <w:i/>
          <w:sz w:val="24"/>
          <w:lang w:val="en-GB"/>
        </w:rPr>
        <w:t>irach</w:t>
      </w:r>
      <w:r w:rsidR="00BD10C6" w:rsidRPr="00BA5A45">
        <w:rPr>
          <w:rFonts w:ascii="Times New Roman" w:hAnsi="Times New Roman"/>
          <w:sz w:val="24"/>
          <w:lang w:val="en-GB"/>
        </w:rPr>
        <w:t>,</w:t>
      </w:r>
      <w:r w:rsidR="00495AEF" w:rsidRPr="00BA5A45">
        <w:rPr>
          <w:rFonts w:ascii="Times New Roman" w:hAnsi="Times New Roman"/>
          <w:sz w:val="24"/>
          <w:lang w:val="en-GB"/>
        </w:rPr>
        <w:t xml:space="preserve"> for the appellant</w:t>
      </w:r>
      <w:r w:rsidR="00BD10C6" w:rsidRPr="00BA5A45">
        <w:rPr>
          <w:rFonts w:ascii="Times New Roman" w:hAnsi="Times New Roman"/>
          <w:sz w:val="24"/>
          <w:lang w:val="en-GB"/>
        </w:rPr>
        <w:t>,</w:t>
      </w:r>
      <w:r w:rsidR="00495AEF" w:rsidRPr="00BA5A45">
        <w:rPr>
          <w:rFonts w:ascii="Times New Roman" w:hAnsi="Times New Roman"/>
          <w:sz w:val="24"/>
          <w:lang w:val="en-GB"/>
        </w:rPr>
        <w:t xml:space="preserve"> submitted that</w:t>
      </w:r>
      <w:r w:rsidR="000627D3" w:rsidRPr="00BA5A45">
        <w:rPr>
          <w:rFonts w:ascii="Times New Roman" w:hAnsi="Times New Roman"/>
          <w:sz w:val="24"/>
          <w:lang w:val="en-GB"/>
        </w:rPr>
        <w:t xml:space="preserve"> </w:t>
      </w:r>
      <w:r w:rsidR="004B080C" w:rsidRPr="00BA5A45">
        <w:rPr>
          <w:rFonts w:ascii="Times New Roman" w:hAnsi="Times New Roman"/>
          <w:sz w:val="24"/>
          <w:lang w:val="en-GB"/>
        </w:rPr>
        <w:t>t</w:t>
      </w:r>
      <w:r w:rsidR="000627D3" w:rsidRPr="00BA5A45">
        <w:rPr>
          <w:rFonts w:ascii="Times New Roman" w:hAnsi="Times New Roman"/>
          <w:sz w:val="24"/>
          <w:lang w:val="en-GB"/>
        </w:rPr>
        <w:t xml:space="preserve">he </w:t>
      </w:r>
      <w:r w:rsidR="004B080C" w:rsidRPr="00BA5A45">
        <w:rPr>
          <w:rFonts w:ascii="Times New Roman" w:hAnsi="Times New Roman"/>
          <w:sz w:val="24"/>
          <w:lang w:val="en-GB"/>
        </w:rPr>
        <w:t xml:space="preserve">appellant </w:t>
      </w:r>
      <w:r w:rsidR="00BD10C6" w:rsidRPr="00BA5A45">
        <w:rPr>
          <w:rFonts w:ascii="Times New Roman" w:hAnsi="Times New Roman"/>
          <w:sz w:val="24"/>
          <w:lang w:val="en-GB"/>
        </w:rPr>
        <w:t xml:space="preserve">was not guilty of the conduct complained of. The appellant’s contention was </w:t>
      </w:r>
      <w:r w:rsidR="00AC7857" w:rsidRPr="00BA5A45">
        <w:rPr>
          <w:rFonts w:ascii="Times New Roman" w:hAnsi="Times New Roman"/>
          <w:sz w:val="24"/>
          <w:lang w:val="en-GB"/>
        </w:rPr>
        <w:t>that the complainants voluntarily ceded their immovable property as security in support of the credit facility to Celgrim Bakeries. He also argued</w:t>
      </w:r>
      <w:r w:rsidR="000627D3" w:rsidRPr="00BA5A45">
        <w:rPr>
          <w:rFonts w:ascii="Times New Roman" w:hAnsi="Times New Roman"/>
          <w:sz w:val="24"/>
          <w:lang w:val="en-GB"/>
        </w:rPr>
        <w:t xml:space="preserve"> that the interest</w:t>
      </w:r>
      <w:r w:rsidR="00AC7857" w:rsidRPr="00BA5A45">
        <w:rPr>
          <w:rFonts w:ascii="Times New Roman" w:hAnsi="Times New Roman"/>
          <w:sz w:val="24"/>
          <w:lang w:val="en-GB"/>
        </w:rPr>
        <w:t>s</w:t>
      </w:r>
      <w:r w:rsidR="00F026D3" w:rsidRPr="00BA5A45">
        <w:rPr>
          <w:rFonts w:ascii="Times New Roman" w:hAnsi="Times New Roman"/>
          <w:sz w:val="24"/>
          <w:lang w:val="en-GB"/>
        </w:rPr>
        <w:t xml:space="preserve"> of NFOL</w:t>
      </w:r>
      <w:r w:rsidR="000627D3" w:rsidRPr="00BA5A45">
        <w:rPr>
          <w:rFonts w:ascii="Times New Roman" w:hAnsi="Times New Roman"/>
          <w:sz w:val="24"/>
          <w:lang w:val="en-GB"/>
        </w:rPr>
        <w:t xml:space="preserve"> and the complainants were not conflicted. Further</w:t>
      </w:r>
      <w:r w:rsidR="00571D3D" w:rsidRPr="00BA5A45">
        <w:rPr>
          <w:rFonts w:ascii="Times New Roman" w:hAnsi="Times New Roman"/>
          <w:sz w:val="24"/>
          <w:lang w:val="en-GB"/>
        </w:rPr>
        <w:t>,</w:t>
      </w:r>
      <w:r w:rsidR="000627D3" w:rsidRPr="00BA5A45">
        <w:rPr>
          <w:rFonts w:ascii="Times New Roman" w:hAnsi="Times New Roman"/>
          <w:sz w:val="24"/>
          <w:lang w:val="en-GB"/>
        </w:rPr>
        <w:t xml:space="preserve"> </w:t>
      </w:r>
      <w:r w:rsidR="00BD10C6" w:rsidRPr="00BA5A45">
        <w:rPr>
          <w:rFonts w:ascii="Times New Roman" w:hAnsi="Times New Roman"/>
          <w:sz w:val="24"/>
          <w:lang w:val="en-GB"/>
        </w:rPr>
        <w:t>t</w:t>
      </w:r>
      <w:r w:rsidR="000627D3" w:rsidRPr="00BA5A45">
        <w:rPr>
          <w:rFonts w:ascii="Times New Roman" w:hAnsi="Times New Roman"/>
          <w:sz w:val="24"/>
          <w:lang w:val="en-GB"/>
        </w:rPr>
        <w:t xml:space="preserve">he </w:t>
      </w:r>
      <w:r w:rsidR="00BD10C6" w:rsidRPr="00BA5A45">
        <w:rPr>
          <w:rFonts w:ascii="Times New Roman" w:hAnsi="Times New Roman"/>
          <w:sz w:val="24"/>
          <w:lang w:val="en-GB"/>
        </w:rPr>
        <w:t xml:space="preserve">appellant </w:t>
      </w:r>
      <w:r w:rsidR="000627D3" w:rsidRPr="00BA5A45">
        <w:rPr>
          <w:rFonts w:ascii="Times New Roman" w:hAnsi="Times New Roman"/>
          <w:sz w:val="24"/>
          <w:lang w:val="en-GB"/>
        </w:rPr>
        <w:t>denied that he sold the property without authority. It was his argument that a court order was not required as</w:t>
      </w:r>
      <w:r w:rsidR="00571D3D" w:rsidRPr="00BA5A45">
        <w:rPr>
          <w:rFonts w:ascii="Times New Roman" w:hAnsi="Times New Roman"/>
          <w:sz w:val="24"/>
          <w:lang w:val="en-GB"/>
        </w:rPr>
        <w:t xml:space="preserve"> the complainants had signed a power of a</w:t>
      </w:r>
      <w:r w:rsidR="000627D3" w:rsidRPr="00BA5A45">
        <w:rPr>
          <w:rFonts w:ascii="Times New Roman" w:hAnsi="Times New Roman"/>
          <w:sz w:val="24"/>
          <w:lang w:val="en-GB"/>
        </w:rPr>
        <w:t xml:space="preserve">ttorney authorising the sale of their property in the event of default by Celgrim Bakeries. </w:t>
      </w:r>
      <w:r w:rsidR="00C37451">
        <w:rPr>
          <w:rFonts w:ascii="Times New Roman" w:hAnsi="Times New Roman"/>
          <w:sz w:val="24"/>
          <w:lang w:val="en-GB"/>
        </w:rPr>
        <w:t>Counsel submitted that the appellant</w:t>
      </w:r>
      <w:r w:rsidR="000627D3" w:rsidRPr="00BA5A45">
        <w:rPr>
          <w:rFonts w:ascii="Times New Roman" w:hAnsi="Times New Roman"/>
          <w:sz w:val="24"/>
          <w:lang w:val="en-GB"/>
        </w:rPr>
        <w:t xml:space="preserve"> denied that he failed to remit the balance which remained after the settlement of the debt. </w:t>
      </w:r>
      <w:r w:rsidR="00C37451">
        <w:rPr>
          <w:rFonts w:ascii="Times New Roman" w:hAnsi="Times New Roman"/>
          <w:sz w:val="24"/>
          <w:lang w:val="en-GB"/>
        </w:rPr>
        <w:t>The appellant’s stance was tha</w:t>
      </w:r>
      <w:r w:rsidR="000627D3" w:rsidRPr="00BA5A45">
        <w:rPr>
          <w:rFonts w:ascii="Times New Roman" w:hAnsi="Times New Roman"/>
          <w:sz w:val="24"/>
          <w:lang w:val="en-GB"/>
        </w:rPr>
        <w:t xml:space="preserve">t he transferred the </w:t>
      </w:r>
      <w:r w:rsidR="00F026D3" w:rsidRPr="00BA5A45">
        <w:rPr>
          <w:rFonts w:ascii="Times New Roman" w:hAnsi="Times New Roman"/>
          <w:sz w:val="24"/>
          <w:lang w:val="en-GB"/>
        </w:rPr>
        <w:t>money to NFOL</w:t>
      </w:r>
      <w:r w:rsidR="00BD10C6" w:rsidRPr="00BA5A45">
        <w:rPr>
          <w:rFonts w:ascii="Times New Roman" w:hAnsi="Times New Roman"/>
          <w:sz w:val="24"/>
          <w:lang w:val="en-GB"/>
        </w:rPr>
        <w:t xml:space="preserve"> and the complainants</w:t>
      </w:r>
      <w:r w:rsidR="00F026D3" w:rsidRPr="00BA5A45">
        <w:rPr>
          <w:rFonts w:ascii="Times New Roman" w:hAnsi="Times New Roman"/>
          <w:sz w:val="24"/>
          <w:lang w:val="en-GB"/>
        </w:rPr>
        <w:t xml:space="preserve"> were free to approach NFOL</w:t>
      </w:r>
      <w:r w:rsidR="00BD10C6" w:rsidRPr="00BA5A45">
        <w:rPr>
          <w:rFonts w:ascii="Times New Roman" w:hAnsi="Times New Roman"/>
          <w:sz w:val="24"/>
          <w:lang w:val="en-GB"/>
        </w:rPr>
        <w:t xml:space="preserve"> for their money.</w:t>
      </w:r>
    </w:p>
    <w:p w14:paraId="23F56CA4" w14:textId="77777777" w:rsidR="00C83003" w:rsidRPr="00BA5A45" w:rsidRDefault="00C83003" w:rsidP="00F42946">
      <w:pPr>
        <w:spacing w:after="0" w:line="480" w:lineRule="auto"/>
        <w:jc w:val="both"/>
        <w:rPr>
          <w:rFonts w:ascii="Times New Roman" w:hAnsi="Times New Roman"/>
          <w:b/>
          <w:sz w:val="24"/>
          <w:lang w:val="en-GB"/>
        </w:rPr>
      </w:pPr>
    </w:p>
    <w:p w14:paraId="003F46D8" w14:textId="77777777" w:rsidR="00BD10C6" w:rsidRPr="00BA5A45" w:rsidRDefault="00C17FAF" w:rsidP="00F42946">
      <w:pPr>
        <w:spacing w:after="0" w:line="480" w:lineRule="auto"/>
        <w:jc w:val="both"/>
        <w:rPr>
          <w:rFonts w:ascii="Times New Roman" w:hAnsi="Times New Roman"/>
          <w:b/>
          <w:sz w:val="24"/>
          <w:lang w:val="en-GB"/>
        </w:rPr>
      </w:pPr>
      <w:r w:rsidRPr="00BA5A45">
        <w:rPr>
          <w:rFonts w:ascii="Times New Roman" w:hAnsi="Times New Roman"/>
          <w:b/>
          <w:sz w:val="24"/>
          <w:lang w:val="en-GB"/>
        </w:rPr>
        <w:t>FINDINGS OF THE TRIBUNAL</w:t>
      </w:r>
    </w:p>
    <w:p w14:paraId="168D7C80" w14:textId="4EFB4F8F" w:rsidR="00AC7857" w:rsidRPr="00BA5A45" w:rsidRDefault="00571D3D"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 xml:space="preserve"> The first issue</w:t>
      </w:r>
      <w:r w:rsidR="00AC7857" w:rsidRPr="00BA5A45">
        <w:rPr>
          <w:rFonts w:ascii="Times New Roman" w:hAnsi="Times New Roman"/>
          <w:sz w:val="24"/>
          <w:lang w:val="en-GB"/>
        </w:rPr>
        <w:t xml:space="preserve"> was whether the appellant had represented two different parties where the interests of the parties were conflicted or were bound to conflict.</w:t>
      </w:r>
      <w:r w:rsidR="007961D7" w:rsidRPr="00BA5A45">
        <w:rPr>
          <w:rFonts w:ascii="Times New Roman" w:hAnsi="Times New Roman"/>
          <w:sz w:val="24"/>
          <w:lang w:val="en-GB"/>
        </w:rPr>
        <w:t xml:space="preserve"> It</w:t>
      </w:r>
      <w:r w:rsidR="00E651CC" w:rsidRPr="00BA5A45">
        <w:rPr>
          <w:rFonts w:ascii="Times New Roman" w:hAnsi="Times New Roman"/>
          <w:sz w:val="24"/>
          <w:lang w:val="en-GB"/>
        </w:rPr>
        <w:t xml:space="preserve"> found that </w:t>
      </w:r>
      <w:r w:rsidR="001D4889" w:rsidRPr="00BA5A45">
        <w:rPr>
          <w:rFonts w:ascii="Times New Roman" w:hAnsi="Times New Roman"/>
          <w:sz w:val="24"/>
          <w:lang w:val="en-GB"/>
        </w:rPr>
        <w:t xml:space="preserve">the appellant was guilty of unprofessional conduct in that he acted for two parties who had conflicting interests. The </w:t>
      </w:r>
      <w:r w:rsidR="00FC6B04" w:rsidRPr="00BA5A45">
        <w:rPr>
          <w:rFonts w:ascii="Times New Roman" w:hAnsi="Times New Roman"/>
          <w:sz w:val="24"/>
          <w:lang w:val="en-GB"/>
        </w:rPr>
        <w:t>T</w:t>
      </w:r>
      <w:r w:rsidR="007961D7" w:rsidRPr="00BA5A45">
        <w:rPr>
          <w:rFonts w:ascii="Times New Roman" w:hAnsi="Times New Roman"/>
          <w:sz w:val="24"/>
          <w:lang w:val="en-GB"/>
        </w:rPr>
        <w:t>ribunal held</w:t>
      </w:r>
      <w:r w:rsidR="004818C3" w:rsidRPr="00BA5A45">
        <w:rPr>
          <w:rFonts w:ascii="Times New Roman" w:hAnsi="Times New Roman"/>
          <w:sz w:val="24"/>
          <w:lang w:val="en-GB"/>
        </w:rPr>
        <w:t xml:space="preserve"> that because the appellant’</w:t>
      </w:r>
      <w:r w:rsidR="00616D96" w:rsidRPr="00BA5A45">
        <w:rPr>
          <w:rFonts w:ascii="Times New Roman" w:hAnsi="Times New Roman"/>
          <w:sz w:val="24"/>
          <w:lang w:val="en-GB"/>
        </w:rPr>
        <w:t>s fir</w:t>
      </w:r>
      <w:r w:rsidR="00F026D3" w:rsidRPr="00BA5A45">
        <w:rPr>
          <w:rFonts w:ascii="Times New Roman" w:hAnsi="Times New Roman"/>
          <w:sz w:val="24"/>
          <w:lang w:val="en-GB"/>
        </w:rPr>
        <w:t>m represented NFOL</w:t>
      </w:r>
      <w:r w:rsidR="004818C3" w:rsidRPr="00BA5A45">
        <w:rPr>
          <w:rFonts w:ascii="Times New Roman" w:hAnsi="Times New Roman"/>
          <w:sz w:val="24"/>
          <w:lang w:val="en-GB"/>
        </w:rPr>
        <w:t xml:space="preserve"> at all times and it was also appointed to act on behalf</w:t>
      </w:r>
      <w:r w:rsidRPr="00BA5A45">
        <w:rPr>
          <w:rFonts w:ascii="Times New Roman" w:hAnsi="Times New Roman"/>
          <w:sz w:val="24"/>
          <w:lang w:val="en-GB"/>
        </w:rPr>
        <w:t xml:space="preserve"> of the complainants through a p</w:t>
      </w:r>
      <w:r w:rsidR="004818C3" w:rsidRPr="00BA5A45">
        <w:rPr>
          <w:rFonts w:ascii="Times New Roman" w:hAnsi="Times New Roman"/>
          <w:sz w:val="24"/>
          <w:lang w:val="en-GB"/>
        </w:rPr>
        <w:t xml:space="preserve">ower of </w:t>
      </w:r>
      <w:r w:rsidRPr="00BA5A45">
        <w:rPr>
          <w:rFonts w:ascii="Times New Roman" w:hAnsi="Times New Roman"/>
          <w:sz w:val="24"/>
          <w:lang w:val="en-GB"/>
        </w:rPr>
        <w:t>a</w:t>
      </w:r>
      <w:r w:rsidR="005E0B06" w:rsidRPr="00BA5A45">
        <w:rPr>
          <w:rFonts w:ascii="Times New Roman" w:hAnsi="Times New Roman"/>
          <w:sz w:val="24"/>
          <w:lang w:val="en-GB"/>
        </w:rPr>
        <w:t>ttorney, it</w:t>
      </w:r>
      <w:r w:rsidR="004818C3" w:rsidRPr="00BA5A45">
        <w:rPr>
          <w:rFonts w:ascii="Times New Roman" w:hAnsi="Times New Roman"/>
          <w:sz w:val="24"/>
          <w:lang w:val="en-GB"/>
        </w:rPr>
        <w:t xml:space="preserve"> should have been apparent to the appellant that the interests of the </w:t>
      </w:r>
      <w:r w:rsidR="00F026D3" w:rsidRPr="00BA5A45">
        <w:rPr>
          <w:rFonts w:ascii="Times New Roman" w:hAnsi="Times New Roman"/>
          <w:sz w:val="24"/>
          <w:lang w:val="en-GB"/>
        </w:rPr>
        <w:t>complainants and NFOL</w:t>
      </w:r>
      <w:r w:rsidRPr="00BA5A45">
        <w:rPr>
          <w:rFonts w:ascii="Times New Roman" w:hAnsi="Times New Roman"/>
          <w:sz w:val="24"/>
          <w:lang w:val="en-GB"/>
        </w:rPr>
        <w:t xml:space="preserve"> </w:t>
      </w:r>
      <w:r w:rsidR="004818C3" w:rsidRPr="00BA5A45">
        <w:rPr>
          <w:rFonts w:ascii="Times New Roman" w:hAnsi="Times New Roman"/>
          <w:sz w:val="24"/>
          <w:lang w:val="en-GB"/>
        </w:rPr>
        <w:t>were incompatible.</w:t>
      </w:r>
    </w:p>
    <w:p w14:paraId="5768A812" w14:textId="77777777" w:rsidR="00816A5B" w:rsidRPr="00BA5A45" w:rsidRDefault="00816A5B" w:rsidP="00F42946">
      <w:pPr>
        <w:spacing w:after="0" w:line="480" w:lineRule="auto"/>
        <w:ind w:firstLine="1134"/>
        <w:jc w:val="both"/>
        <w:rPr>
          <w:rFonts w:ascii="Times New Roman" w:hAnsi="Times New Roman"/>
          <w:sz w:val="24"/>
          <w:lang w:val="en-GB"/>
        </w:rPr>
      </w:pPr>
    </w:p>
    <w:p w14:paraId="4CEDFE89" w14:textId="57C4B416" w:rsidR="002C6914" w:rsidRPr="00BA5A45" w:rsidRDefault="00117FEE"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lastRenderedPageBreak/>
        <w:t>Further</w:t>
      </w:r>
      <w:r w:rsidR="00FC6B04" w:rsidRPr="00BA5A45">
        <w:rPr>
          <w:rFonts w:ascii="Times New Roman" w:hAnsi="Times New Roman"/>
          <w:sz w:val="24"/>
          <w:lang w:val="en-GB"/>
        </w:rPr>
        <w:t>,</w:t>
      </w:r>
      <w:r w:rsidRPr="00BA5A45">
        <w:rPr>
          <w:rFonts w:ascii="Times New Roman" w:hAnsi="Times New Roman"/>
          <w:sz w:val="24"/>
          <w:lang w:val="en-GB"/>
        </w:rPr>
        <w:t xml:space="preserve"> t</w:t>
      </w:r>
      <w:r w:rsidR="007961D7" w:rsidRPr="00BA5A45">
        <w:rPr>
          <w:rFonts w:ascii="Times New Roman" w:hAnsi="Times New Roman"/>
          <w:sz w:val="24"/>
          <w:lang w:val="en-GB"/>
        </w:rPr>
        <w:t xml:space="preserve">he </w:t>
      </w:r>
      <w:r w:rsidR="00FC6B04" w:rsidRPr="00BA5A45">
        <w:rPr>
          <w:rFonts w:ascii="Times New Roman" w:hAnsi="Times New Roman"/>
          <w:sz w:val="24"/>
          <w:lang w:val="en-GB"/>
        </w:rPr>
        <w:t>Tribunal found</w:t>
      </w:r>
      <w:r w:rsidR="000627D3" w:rsidRPr="00BA5A45">
        <w:rPr>
          <w:rFonts w:ascii="Times New Roman" w:hAnsi="Times New Roman"/>
          <w:sz w:val="24"/>
          <w:lang w:val="en-GB"/>
        </w:rPr>
        <w:t xml:space="preserve"> that the </w:t>
      </w:r>
      <w:r w:rsidRPr="00BA5A45">
        <w:rPr>
          <w:rFonts w:ascii="Times New Roman" w:hAnsi="Times New Roman"/>
          <w:sz w:val="24"/>
          <w:lang w:val="en-GB"/>
        </w:rPr>
        <w:t>appellant ac</w:t>
      </w:r>
      <w:r w:rsidR="00F026D3" w:rsidRPr="00BA5A45">
        <w:rPr>
          <w:rFonts w:ascii="Times New Roman" w:hAnsi="Times New Roman"/>
          <w:sz w:val="24"/>
          <w:lang w:val="en-GB"/>
        </w:rPr>
        <w:t>ted in favour of NFOL</w:t>
      </w:r>
      <w:r w:rsidRPr="00BA5A45">
        <w:rPr>
          <w:rFonts w:ascii="Times New Roman" w:hAnsi="Times New Roman"/>
          <w:sz w:val="24"/>
          <w:lang w:val="en-GB"/>
        </w:rPr>
        <w:t xml:space="preserve"> to the prejudic</w:t>
      </w:r>
      <w:r w:rsidR="007961D7" w:rsidRPr="00BA5A45">
        <w:rPr>
          <w:rFonts w:ascii="Times New Roman" w:hAnsi="Times New Roman"/>
          <w:sz w:val="24"/>
          <w:lang w:val="en-GB"/>
        </w:rPr>
        <w:t xml:space="preserve">e of the complainants. </w:t>
      </w:r>
      <w:r w:rsidR="00D3654F" w:rsidRPr="00BA5A45">
        <w:rPr>
          <w:rFonts w:ascii="Times New Roman" w:hAnsi="Times New Roman"/>
          <w:sz w:val="24"/>
          <w:lang w:val="en-GB"/>
        </w:rPr>
        <w:t>It</w:t>
      </w:r>
      <w:r w:rsidR="00C5682E" w:rsidRPr="00BA5A45">
        <w:rPr>
          <w:rFonts w:ascii="Times New Roman" w:hAnsi="Times New Roman"/>
          <w:sz w:val="24"/>
          <w:lang w:val="en-GB"/>
        </w:rPr>
        <w:t xml:space="preserve"> noted</w:t>
      </w:r>
      <w:r w:rsidRPr="00BA5A45">
        <w:rPr>
          <w:rFonts w:ascii="Times New Roman" w:hAnsi="Times New Roman"/>
          <w:sz w:val="24"/>
          <w:lang w:val="en-GB"/>
        </w:rPr>
        <w:t xml:space="preserve"> that by accepting to be the complainants’ </w:t>
      </w:r>
      <w:r w:rsidR="005E0B06" w:rsidRPr="00BA5A45">
        <w:rPr>
          <w:rFonts w:ascii="Times New Roman" w:hAnsi="Times New Roman"/>
          <w:sz w:val="24"/>
          <w:lang w:val="en-GB"/>
        </w:rPr>
        <w:t>attorney, the</w:t>
      </w:r>
      <w:r w:rsidRPr="00BA5A45">
        <w:rPr>
          <w:rFonts w:ascii="Times New Roman" w:hAnsi="Times New Roman"/>
          <w:sz w:val="24"/>
          <w:lang w:val="en-GB"/>
        </w:rPr>
        <w:t xml:space="preserve"> appellan</w:t>
      </w:r>
      <w:r w:rsidR="007961D7" w:rsidRPr="00BA5A45">
        <w:rPr>
          <w:rFonts w:ascii="Times New Roman" w:hAnsi="Times New Roman"/>
          <w:sz w:val="24"/>
          <w:lang w:val="en-GB"/>
        </w:rPr>
        <w:t xml:space="preserve">t owed them a duty of care. It </w:t>
      </w:r>
      <w:r w:rsidR="00A80326" w:rsidRPr="00BA5A45">
        <w:rPr>
          <w:rFonts w:ascii="Times New Roman" w:hAnsi="Times New Roman"/>
          <w:sz w:val="24"/>
          <w:lang w:val="en-GB"/>
        </w:rPr>
        <w:t>further</w:t>
      </w:r>
      <w:r w:rsidRPr="00BA5A45">
        <w:rPr>
          <w:rFonts w:ascii="Times New Roman" w:hAnsi="Times New Roman"/>
          <w:sz w:val="24"/>
          <w:lang w:val="en-GB"/>
        </w:rPr>
        <w:t xml:space="preserve"> stated that the appellant was no</w:t>
      </w:r>
      <w:r w:rsidR="00F93CEB" w:rsidRPr="00BA5A45">
        <w:rPr>
          <w:rFonts w:ascii="Times New Roman" w:hAnsi="Times New Roman"/>
          <w:sz w:val="24"/>
          <w:lang w:val="en-GB"/>
        </w:rPr>
        <w:t>t circumspect in analysing the power of a</w:t>
      </w:r>
      <w:r w:rsidRPr="00BA5A45">
        <w:rPr>
          <w:rFonts w:ascii="Times New Roman" w:hAnsi="Times New Roman"/>
          <w:sz w:val="24"/>
          <w:lang w:val="en-GB"/>
        </w:rPr>
        <w:t>ttorney that he relied on as authority for disposal of the immovable property, thu</w:t>
      </w:r>
      <w:r w:rsidR="00F93CEB" w:rsidRPr="00BA5A45">
        <w:rPr>
          <w:rFonts w:ascii="Times New Roman" w:hAnsi="Times New Roman"/>
          <w:sz w:val="24"/>
          <w:lang w:val="en-GB"/>
        </w:rPr>
        <w:t>s missing the anomalies in the power of a</w:t>
      </w:r>
      <w:r w:rsidRPr="00BA5A45">
        <w:rPr>
          <w:rFonts w:ascii="Times New Roman" w:hAnsi="Times New Roman"/>
          <w:sz w:val="24"/>
          <w:lang w:val="en-GB"/>
        </w:rPr>
        <w:t xml:space="preserve">ttorney. </w:t>
      </w:r>
    </w:p>
    <w:p w14:paraId="1955A779" w14:textId="77777777" w:rsidR="00C83003" w:rsidRPr="00BA5A45" w:rsidRDefault="00C83003" w:rsidP="00F42946">
      <w:pPr>
        <w:spacing w:after="0" w:line="480" w:lineRule="auto"/>
        <w:ind w:firstLine="1134"/>
        <w:jc w:val="both"/>
        <w:rPr>
          <w:rFonts w:ascii="Times New Roman" w:hAnsi="Times New Roman"/>
          <w:sz w:val="24"/>
          <w:lang w:val="en-GB"/>
        </w:rPr>
      </w:pPr>
    </w:p>
    <w:p w14:paraId="614AB347" w14:textId="6A495015" w:rsidR="008A19DB" w:rsidRPr="00BA5A45" w:rsidRDefault="00F75D89"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 xml:space="preserve">The </w:t>
      </w:r>
      <w:r w:rsidR="00FC6B04" w:rsidRPr="00BA5A45">
        <w:rPr>
          <w:rFonts w:ascii="Times New Roman" w:hAnsi="Times New Roman"/>
          <w:sz w:val="24"/>
          <w:lang w:val="en-GB"/>
        </w:rPr>
        <w:t>T</w:t>
      </w:r>
      <w:r w:rsidR="007961D7" w:rsidRPr="00BA5A45">
        <w:rPr>
          <w:rFonts w:ascii="Times New Roman" w:hAnsi="Times New Roman"/>
          <w:sz w:val="24"/>
          <w:lang w:val="en-GB"/>
        </w:rPr>
        <w:t>ribunal</w:t>
      </w:r>
      <w:r w:rsidR="002C6914" w:rsidRPr="00BA5A45">
        <w:rPr>
          <w:rFonts w:ascii="Times New Roman" w:hAnsi="Times New Roman"/>
          <w:sz w:val="24"/>
          <w:lang w:val="en-GB"/>
        </w:rPr>
        <w:t xml:space="preserve"> </w:t>
      </w:r>
      <w:r w:rsidR="00FC6B04" w:rsidRPr="00BA5A45">
        <w:rPr>
          <w:rFonts w:ascii="Times New Roman" w:hAnsi="Times New Roman"/>
          <w:sz w:val="24"/>
          <w:lang w:val="en-GB"/>
        </w:rPr>
        <w:t>also</w:t>
      </w:r>
      <w:r w:rsidR="00980FD7" w:rsidRPr="00BA5A45">
        <w:rPr>
          <w:rFonts w:ascii="Times New Roman" w:hAnsi="Times New Roman"/>
          <w:sz w:val="24"/>
          <w:lang w:val="en-GB"/>
        </w:rPr>
        <w:t xml:space="preserve"> </w:t>
      </w:r>
      <w:r w:rsidR="002C6914" w:rsidRPr="00BA5A45">
        <w:rPr>
          <w:rFonts w:ascii="Times New Roman" w:hAnsi="Times New Roman"/>
          <w:sz w:val="24"/>
          <w:lang w:val="en-GB"/>
        </w:rPr>
        <w:t xml:space="preserve">held that the </w:t>
      </w:r>
      <w:r w:rsidRPr="00BA5A45">
        <w:rPr>
          <w:rFonts w:ascii="Times New Roman" w:hAnsi="Times New Roman"/>
          <w:sz w:val="24"/>
          <w:lang w:val="en-GB"/>
        </w:rPr>
        <w:t xml:space="preserve">appellant failed </w:t>
      </w:r>
      <w:r w:rsidR="00F93CEB" w:rsidRPr="00BA5A45">
        <w:rPr>
          <w:rFonts w:ascii="Times New Roman" w:hAnsi="Times New Roman"/>
          <w:sz w:val="24"/>
          <w:lang w:val="en-GB"/>
        </w:rPr>
        <w:t xml:space="preserve">to </w:t>
      </w:r>
      <w:r w:rsidRPr="00BA5A45">
        <w:rPr>
          <w:rFonts w:ascii="Times New Roman" w:hAnsi="Times New Roman"/>
          <w:sz w:val="24"/>
          <w:lang w:val="en-GB"/>
        </w:rPr>
        <w:t>obse</w:t>
      </w:r>
      <w:r w:rsidR="00331ED3" w:rsidRPr="00BA5A45">
        <w:rPr>
          <w:rFonts w:ascii="Times New Roman" w:hAnsi="Times New Roman"/>
          <w:sz w:val="24"/>
          <w:lang w:val="en-GB"/>
        </w:rPr>
        <w:t>rve that the complaina</w:t>
      </w:r>
      <w:r w:rsidR="00F93CEB" w:rsidRPr="00BA5A45">
        <w:rPr>
          <w:rFonts w:ascii="Times New Roman" w:hAnsi="Times New Roman"/>
          <w:sz w:val="24"/>
          <w:lang w:val="en-GB"/>
        </w:rPr>
        <w:t>nts had been identified in the power of a</w:t>
      </w:r>
      <w:r w:rsidR="00331ED3" w:rsidRPr="00BA5A45">
        <w:rPr>
          <w:rFonts w:ascii="Times New Roman" w:hAnsi="Times New Roman"/>
          <w:sz w:val="24"/>
          <w:lang w:val="en-GB"/>
        </w:rPr>
        <w:t>ttorney as being d</w:t>
      </w:r>
      <w:r w:rsidR="00F026D3" w:rsidRPr="00BA5A45">
        <w:rPr>
          <w:rFonts w:ascii="Times New Roman" w:hAnsi="Times New Roman"/>
          <w:sz w:val="24"/>
          <w:lang w:val="en-GB"/>
        </w:rPr>
        <w:t>ebtors of NFOL</w:t>
      </w:r>
      <w:r w:rsidR="00331ED3" w:rsidRPr="00BA5A45">
        <w:rPr>
          <w:rFonts w:ascii="Times New Roman" w:hAnsi="Times New Roman"/>
          <w:sz w:val="24"/>
          <w:lang w:val="en-GB"/>
        </w:rPr>
        <w:t xml:space="preserve"> wh</w:t>
      </w:r>
      <w:r w:rsidR="00FC6B04" w:rsidRPr="00BA5A45">
        <w:rPr>
          <w:rFonts w:ascii="Times New Roman" w:hAnsi="Times New Roman"/>
          <w:sz w:val="24"/>
          <w:lang w:val="en-GB"/>
        </w:rPr>
        <w:t>ereas</w:t>
      </w:r>
      <w:r w:rsidR="00331ED3" w:rsidRPr="00BA5A45">
        <w:rPr>
          <w:rFonts w:ascii="Times New Roman" w:hAnsi="Times New Roman"/>
          <w:sz w:val="24"/>
          <w:lang w:val="en-GB"/>
        </w:rPr>
        <w:t xml:space="preserve"> they were only sureties </w:t>
      </w:r>
      <w:r w:rsidR="00FC6B04" w:rsidRPr="00BA5A45">
        <w:rPr>
          <w:rFonts w:ascii="Times New Roman" w:hAnsi="Times New Roman"/>
          <w:sz w:val="24"/>
          <w:lang w:val="en-GB"/>
        </w:rPr>
        <w:t>to the application for credit facility by</w:t>
      </w:r>
      <w:r w:rsidR="00331ED3" w:rsidRPr="00BA5A45">
        <w:rPr>
          <w:rFonts w:ascii="Times New Roman" w:hAnsi="Times New Roman"/>
          <w:sz w:val="24"/>
          <w:lang w:val="en-GB"/>
        </w:rPr>
        <w:t xml:space="preserve"> Celgrim Bakeries</w:t>
      </w:r>
      <w:r w:rsidR="00F93CEB" w:rsidRPr="00BA5A45">
        <w:rPr>
          <w:rFonts w:ascii="Times New Roman" w:hAnsi="Times New Roman"/>
          <w:sz w:val="24"/>
          <w:lang w:val="en-GB"/>
        </w:rPr>
        <w:t>.</w:t>
      </w:r>
      <w:r w:rsidR="00331ED3" w:rsidRPr="00BA5A45">
        <w:rPr>
          <w:rFonts w:ascii="Times New Roman" w:hAnsi="Times New Roman"/>
          <w:sz w:val="24"/>
          <w:lang w:val="en-GB"/>
        </w:rPr>
        <w:t xml:space="preserve"> </w:t>
      </w:r>
      <w:r w:rsidR="00F93CEB" w:rsidRPr="00BA5A45">
        <w:rPr>
          <w:rFonts w:ascii="Times New Roman" w:hAnsi="Times New Roman"/>
          <w:sz w:val="24"/>
          <w:lang w:val="en-GB"/>
        </w:rPr>
        <w:t>They</w:t>
      </w:r>
      <w:r w:rsidR="00331ED3" w:rsidRPr="00BA5A45">
        <w:rPr>
          <w:rFonts w:ascii="Times New Roman" w:hAnsi="Times New Roman"/>
          <w:sz w:val="24"/>
          <w:lang w:val="en-GB"/>
        </w:rPr>
        <w:t xml:space="preserve"> did not have a contractual relation</w:t>
      </w:r>
      <w:r w:rsidR="00F026D3" w:rsidRPr="00BA5A45">
        <w:rPr>
          <w:rFonts w:ascii="Times New Roman" w:hAnsi="Times New Roman"/>
          <w:sz w:val="24"/>
          <w:lang w:val="en-GB"/>
        </w:rPr>
        <w:t>ship with NFOL</w:t>
      </w:r>
      <w:r w:rsidR="00331ED3" w:rsidRPr="00BA5A45">
        <w:rPr>
          <w:rFonts w:ascii="Times New Roman" w:hAnsi="Times New Roman"/>
          <w:sz w:val="24"/>
          <w:lang w:val="en-GB"/>
        </w:rPr>
        <w:t xml:space="preserve"> in terms of which they were indebted</w:t>
      </w:r>
      <w:r w:rsidR="007961D7" w:rsidRPr="00BA5A45">
        <w:rPr>
          <w:rFonts w:ascii="Times New Roman" w:hAnsi="Times New Roman"/>
          <w:sz w:val="24"/>
          <w:lang w:val="en-GB"/>
        </w:rPr>
        <w:t xml:space="preserve"> to it. Consequently, the </w:t>
      </w:r>
      <w:r w:rsidR="00FC6B04" w:rsidRPr="00BA5A45">
        <w:rPr>
          <w:rFonts w:ascii="Times New Roman" w:hAnsi="Times New Roman"/>
          <w:sz w:val="24"/>
          <w:lang w:val="en-GB"/>
        </w:rPr>
        <w:t>T</w:t>
      </w:r>
      <w:r w:rsidR="007961D7" w:rsidRPr="00BA5A45">
        <w:rPr>
          <w:rFonts w:ascii="Times New Roman" w:hAnsi="Times New Roman"/>
          <w:sz w:val="24"/>
          <w:lang w:val="en-GB"/>
        </w:rPr>
        <w:t>ribunal</w:t>
      </w:r>
      <w:r w:rsidR="00331ED3" w:rsidRPr="00BA5A45">
        <w:rPr>
          <w:rFonts w:ascii="Times New Roman" w:hAnsi="Times New Roman"/>
          <w:sz w:val="24"/>
          <w:lang w:val="en-GB"/>
        </w:rPr>
        <w:t xml:space="preserve"> found that the appellant was eager to have documents that wou</w:t>
      </w:r>
      <w:r w:rsidR="00F026D3" w:rsidRPr="00BA5A45">
        <w:rPr>
          <w:rFonts w:ascii="Times New Roman" w:hAnsi="Times New Roman"/>
          <w:sz w:val="24"/>
          <w:lang w:val="en-GB"/>
        </w:rPr>
        <w:t>ld assist NFOL</w:t>
      </w:r>
      <w:r w:rsidR="00331ED3" w:rsidRPr="00BA5A45">
        <w:rPr>
          <w:rFonts w:ascii="Times New Roman" w:hAnsi="Times New Roman"/>
          <w:sz w:val="24"/>
          <w:lang w:val="en-GB"/>
        </w:rPr>
        <w:t xml:space="preserve"> </w:t>
      </w:r>
      <w:r w:rsidR="00F93CEB" w:rsidRPr="00BA5A45">
        <w:rPr>
          <w:rFonts w:ascii="Times New Roman" w:hAnsi="Times New Roman"/>
          <w:sz w:val="24"/>
          <w:lang w:val="en-GB"/>
        </w:rPr>
        <w:t xml:space="preserve">in </w:t>
      </w:r>
      <w:r w:rsidR="00331ED3" w:rsidRPr="00BA5A45">
        <w:rPr>
          <w:rFonts w:ascii="Times New Roman" w:hAnsi="Times New Roman"/>
          <w:sz w:val="24"/>
          <w:lang w:val="en-GB"/>
        </w:rPr>
        <w:t>disposing</w:t>
      </w:r>
      <w:r w:rsidR="008056AF">
        <w:rPr>
          <w:rFonts w:ascii="Times New Roman" w:hAnsi="Times New Roman"/>
          <w:sz w:val="24"/>
          <w:lang w:val="en-GB"/>
        </w:rPr>
        <w:t xml:space="preserve"> of</w:t>
      </w:r>
      <w:r w:rsidR="00331ED3" w:rsidRPr="00BA5A45">
        <w:rPr>
          <w:rFonts w:ascii="Times New Roman" w:hAnsi="Times New Roman"/>
          <w:sz w:val="24"/>
          <w:lang w:val="en-GB"/>
        </w:rPr>
        <w:t xml:space="preserve"> the complainants’ property to satisfy the debt owed by Celgrim Bakeries, therefore showing</w:t>
      </w:r>
      <w:r w:rsidR="00F026D3" w:rsidRPr="00BA5A45">
        <w:rPr>
          <w:rFonts w:ascii="Times New Roman" w:hAnsi="Times New Roman"/>
          <w:sz w:val="24"/>
          <w:lang w:val="en-GB"/>
        </w:rPr>
        <w:t xml:space="preserve"> his bias towards NFOL</w:t>
      </w:r>
      <w:r w:rsidR="008A19DB" w:rsidRPr="00BA5A45">
        <w:rPr>
          <w:rFonts w:ascii="Times New Roman" w:hAnsi="Times New Roman"/>
          <w:sz w:val="24"/>
          <w:lang w:val="en-GB"/>
        </w:rPr>
        <w:t xml:space="preserve"> at the expense of the compl</w:t>
      </w:r>
      <w:r w:rsidR="007961D7" w:rsidRPr="00BA5A45">
        <w:rPr>
          <w:rFonts w:ascii="Times New Roman" w:hAnsi="Times New Roman"/>
          <w:sz w:val="24"/>
          <w:lang w:val="en-GB"/>
        </w:rPr>
        <w:t xml:space="preserve">ainants. In addition, the </w:t>
      </w:r>
      <w:r w:rsidR="00FC6B04" w:rsidRPr="00BA5A45">
        <w:rPr>
          <w:rFonts w:ascii="Times New Roman" w:hAnsi="Times New Roman"/>
          <w:sz w:val="24"/>
          <w:lang w:val="en-GB"/>
        </w:rPr>
        <w:t>T</w:t>
      </w:r>
      <w:r w:rsidR="007961D7" w:rsidRPr="00BA5A45">
        <w:rPr>
          <w:rFonts w:ascii="Times New Roman" w:hAnsi="Times New Roman"/>
          <w:sz w:val="24"/>
          <w:lang w:val="en-GB"/>
        </w:rPr>
        <w:t>ribunal</w:t>
      </w:r>
      <w:r w:rsidR="008A19DB" w:rsidRPr="00BA5A45">
        <w:rPr>
          <w:rFonts w:ascii="Times New Roman" w:hAnsi="Times New Roman"/>
          <w:sz w:val="24"/>
          <w:lang w:val="en-GB"/>
        </w:rPr>
        <w:t xml:space="preserve"> </w:t>
      </w:r>
      <w:r w:rsidR="00FC6B04" w:rsidRPr="00BA5A45">
        <w:rPr>
          <w:rFonts w:ascii="Times New Roman" w:hAnsi="Times New Roman"/>
          <w:sz w:val="24"/>
          <w:lang w:val="en-GB"/>
        </w:rPr>
        <w:t>noted</w:t>
      </w:r>
      <w:r w:rsidR="008A19DB" w:rsidRPr="00BA5A45">
        <w:rPr>
          <w:rFonts w:ascii="Times New Roman" w:hAnsi="Times New Roman"/>
          <w:sz w:val="24"/>
          <w:lang w:val="en-GB"/>
        </w:rPr>
        <w:t xml:space="preserve"> that the appellant’s conflict of interest was evinced by the sale of the complainant’s immovable property without their consent or an order of court. </w:t>
      </w:r>
    </w:p>
    <w:p w14:paraId="311A02F9" w14:textId="77777777" w:rsidR="00D81197" w:rsidRPr="00BA5A45" w:rsidRDefault="00D81197" w:rsidP="00F42946">
      <w:pPr>
        <w:spacing w:after="0" w:line="480" w:lineRule="auto"/>
        <w:ind w:firstLine="720"/>
        <w:jc w:val="both"/>
        <w:rPr>
          <w:rFonts w:ascii="Times New Roman" w:hAnsi="Times New Roman"/>
          <w:sz w:val="24"/>
          <w:lang w:val="en-GB"/>
        </w:rPr>
      </w:pPr>
    </w:p>
    <w:p w14:paraId="09CC9139" w14:textId="42696DA9" w:rsidR="009742C5" w:rsidRPr="00BA5A45" w:rsidRDefault="00F026D3"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The second issue that the T</w:t>
      </w:r>
      <w:r w:rsidR="00D35D0B" w:rsidRPr="00BA5A45">
        <w:rPr>
          <w:rFonts w:ascii="Times New Roman" w:hAnsi="Times New Roman"/>
          <w:sz w:val="24"/>
          <w:lang w:val="en-GB"/>
        </w:rPr>
        <w:t>ribunal</w:t>
      </w:r>
      <w:r w:rsidR="008A19DB" w:rsidRPr="00BA5A45">
        <w:rPr>
          <w:rFonts w:ascii="Times New Roman" w:hAnsi="Times New Roman"/>
          <w:sz w:val="24"/>
          <w:lang w:val="en-GB"/>
        </w:rPr>
        <w:t xml:space="preserve"> had to determine was whether the sale of the complainants’ immovable property by the </w:t>
      </w:r>
      <w:r w:rsidR="00B2116A" w:rsidRPr="00BA5A45">
        <w:rPr>
          <w:rFonts w:ascii="Times New Roman" w:hAnsi="Times New Roman"/>
          <w:sz w:val="24"/>
          <w:lang w:val="en-GB"/>
        </w:rPr>
        <w:t>appellant</w:t>
      </w:r>
      <w:r w:rsidRPr="00BA5A45">
        <w:rPr>
          <w:rFonts w:ascii="Times New Roman" w:hAnsi="Times New Roman"/>
          <w:sz w:val="24"/>
          <w:lang w:val="en-GB"/>
        </w:rPr>
        <w:t xml:space="preserve"> and NFOL</w:t>
      </w:r>
      <w:r w:rsidR="00217E5F" w:rsidRPr="00BA5A45">
        <w:rPr>
          <w:rFonts w:ascii="Times New Roman" w:hAnsi="Times New Roman"/>
          <w:sz w:val="24"/>
          <w:lang w:val="en-GB"/>
        </w:rPr>
        <w:t xml:space="preserve"> was lawful. The Tribunal</w:t>
      </w:r>
      <w:r w:rsidR="008A19DB" w:rsidRPr="00BA5A45">
        <w:rPr>
          <w:rFonts w:ascii="Times New Roman" w:hAnsi="Times New Roman"/>
          <w:sz w:val="24"/>
          <w:lang w:val="en-GB"/>
        </w:rPr>
        <w:t xml:space="preserve"> found that the </w:t>
      </w:r>
      <w:r w:rsidR="000627D3" w:rsidRPr="00BA5A45">
        <w:rPr>
          <w:rFonts w:ascii="Times New Roman" w:hAnsi="Times New Roman"/>
          <w:sz w:val="24"/>
          <w:lang w:val="en-GB"/>
        </w:rPr>
        <w:t xml:space="preserve">sale of the immovable property was </w:t>
      </w:r>
      <w:r w:rsidR="008A19DB" w:rsidRPr="00BA5A45">
        <w:rPr>
          <w:rFonts w:ascii="Times New Roman" w:hAnsi="Times New Roman"/>
          <w:sz w:val="24"/>
          <w:lang w:val="en-GB"/>
        </w:rPr>
        <w:t>unlawful</w:t>
      </w:r>
      <w:r w:rsidR="000627D3" w:rsidRPr="00BA5A45">
        <w:rPr>
          <w:rFonts w:ascii="Times New Roman" w:hAnsi="Times New Roman"/>
          <w:sz w:val="24"/>
          <w:lang w:val="en-GB"/>
        </w:rPr>
        <w:t xml:space="preserve"> as the documents relied upon by</w:t>
      </w:r>
      <w:r w:rsidR="00B04EE2" w:rsidRPr="00BA5A45">
        <w:rPr>
          <w:rFonts w:ascii="Times New Roman" w:hAnsi="Times New Roman"/>
          <w:sz w:val="24"/>
          <w:lang w:val="en-GB"/>
        </w:rPr>
        <w:t xml:space="preserve"> the appellant as</w:t>
      </w:r>
      <w:r w:rsidR="000627D3" w:rsidRPr="00BA5A45">
        <w:rPr>
          <w:rFonts w:ascii="Times New Roman" w:hAnsi="Times New Roman"/>
          <w:sz w:val="24"/>
          <w:lang w:val="en-GB"/>
        </w:rPr>
        <w:t xml:space="preserve"> </w:t>
      </w:r>
      <w:r w:rsidR="00F93CEB" w:rsidRPr="00BA5A45">
        <w:rPr>
          <w:rFonts w:ascii="Times New Roman" w:hAnsi="Times New Roman"/>
          <w:sz w:val="24"/>
          <w:lang w:val="en-GB"/>
        </w:rPr>
        <w:t>authorising him</w:t>
      </w:r>
      <w:r w:rsidR="000627D3" w:rsidRPr="00BA5A45">
        <w:rPr>
          <w:rFonts w:ascii="Times New Roman" w:hAnsi="Times New Roman"/>
          <w:sz w:val="24"/>
          <w:lang w:val="en-GB"/>
        </w:rPr>
        <w:t xml:space="preserve"> to sell the property were inval</w:t>
      </w:r>
      <w:r w:rsidR="00F93CEB" w:rsidRPr="00BA5A45">
        <w:rPr>
          <w:rFonts w:ascii="Times New Roman" w:hAnsi="Times New Roman"/>
          <w:sz w:val="24"/>
          <w:lang w:val="en-GB"/>
        </w:rPr>
        <w:t>id.</w:t>
      </w:r>
      <w:r w:rsidR="002C6914" w:rsidRPr="00BA5A45">
        <w:rPr>
          <w:rFonts w:ascii="Times New Roman" w:hAnsi="Times New Roman"/>
          <w:sz w:val="24"/>
          <w:lang w:val="en-GB"/>
        </w:rPr>
        <w:t xml:space="preserve"> It found that </w:t>
      </w:r>
      <w:r w:rsidR="00F93CEB" w:rsidRPr="00BA5A45">
        <w:rPr>
          <w:rFonts w:ascii="Times New Roman" w:hAnsi="Times New Roman"/>
          <w:sz w:val="24"/>
          <w:lang w:val="en-GB"/>
        </w:rPr>
        <w:t>both the power of a</w:t>
      </w:r>
      <w:r w:rsidR="000627D3" w:rsidRPr="00BA5A45">
        <w:rPr>
          <w:rFonts w:ascii="Times New Roman" w:hAnsi="Times New Roman"/>
          <w:sz w:val="24"/>
          <w:lang w:val="en-GB"/>
        </w:rPr>
        <w:t xml:space="preserve">ttorney and the affidavit which ceded the </w:t>
      </w:r>
      <w:r w:rsidR="00A80326" w:rsidRPr="00BA5A45">
        <w:rPr>
          <w:rFonts w:ascii="Times New Roman" w:hAnsi="Times New Roman"/>
          <w:sz w:val="24"/>
          <w:lang w:val="en-GB"/>
        </w:rPr>
        <w:t>complainants’</w:t>
      </w:r>
      <w:r w:rsidR="000627D3" w:rsidRPr="00BA5A45">
        <w:rPr>
          <w:rFonts w:ascii="Times New Roman" w:hAnsi="Times New Roman"/>
          <w:sz w:val="24"/>
          <w:lang w:val="en-GB"/>
        </w:rPr>
        <w:t xml:space="preserve"> pr</w:t>
      </w:r>
      <w:r w:rsidRPr="00BA5A45">
        <w:rPr>
          <w:rFonts w:ascii="Times New Roman" w:hAnsi="Times New Roman"/>
          <w:sz w:val="24"/>
          <w:lang w:val="en-GB"/>
        </w:rPr>
        <w:t>operty to NFOL</w:t>
      </w:r>
      <w:r w:rsidR="000627D3" w:rsidRPr="00BA5A45">
        <w:rPr>
          <w:rFonts w:ascii="Times New Roman" w:hAnsi="Times New Roman"/>
          <w:sz w:val="24"/>
          <w:lang w:val="en-GB"/>
        </w:rPr>
        <w:t xml:space="preserve"> were invalid </w:t>
      </w:r>
      <w:r w:rsidR="008A19DB" w:rsidRPr="00BA5A45">
        <w:rPr>
          <w:rFonts w:ascii="Times New Roman" w:hAnsi="Times New Roman"/>
          <w:i/>
          <w:sz w:val="24"/>
          <w:lang w:val="en-GB"/>
        </w:rPr>
        <w:t>ab initio</w:t>
      </w:r>
      <w:r w:rsidR="008A19DB" w:rsidRPr="00BA5A45">
        <w:rPr>
          <w:rFonts w:ascii="Times New Roman" w:hAnsi="Times New Roman"/>
          <w:sz w:val="24"/>
          <w:lang w:val="en-GB"/>
        </w:rPr>
        <w:t xml:space="preserve"> </w:t>
      </w:r>
      <w:r w:rsidR="00F93CEB" w:rsidRPr="00BA5A45">
        <w:rPr>
          <w:rFonts w:ascii="Times New Roman" w:hAnsi="Times New Roman"/>
          <w:sz w:val="24"/>
          <w:lang w:val="en-GB"/>
        </w:rPr>
        <w:t>in that they</w:t>
      </w:r>
      <w:r w:rsidR="00B17D41" w:rsidRPr="00BA5A45">
        <w:rPr>
          <w:rFonts w:ascii="Times New Roman" w:hAnsi="Times New Roman"/>
          <w:sz w:val="24"/>
          <w:lang w:val="en-GB"/>
        </w:rPr>
        <w:t xml:space="preserve"> appointed Manokore</w:t>
      </w:r>
      <w:r w:rsidR="00D3654F" w:rsidRPr="00BA5A45">
        <w:rPr>
          <w:rFonts w:ascii="Times New Roman" w:hAnsi="Times New Roman"/>
          <w:sz w:val="24"/>
          <w:lang w:val="en-GB"/>
        </w:rPr>
        <w:t xml:space="preserve"> &amp; </w:t>
      </w:r>
      <w:r w:rsidR="00017DD2" w:rsidRPr="00BA5A45">
        <w:rPr>
          <w:rFonts w:ascii="Times New Roman" w:hAnsi="Times New Roman"/>
          <w:sz w:val="24"/>
          <w:lang w:val="en-GB"/>
        </w:rPr>
        <w:t>Partners to</w:t>
      </w:r>
      <w:r w:rsidR="000627D3" w:rsidRPr="00BA5A45">
        <w:rPr>
          <w:rFonts w:ascii="Times New Roman" w:hAnsi="Times New Roman"/>
          <w:sz w:val="24"/>
          <w:lang w:val="en-GB"/>
        </w:rPr>
        <w:t xml:space="preserve"> act on behalf of the complainants yet a law firm is not a legal </w:t>
      </w:r>
      <w:r w:rsidR="000627D3" w:rsidRPr="00BA5A45">
        <w:rPr>
          <w:rFonts w:ascii="Times New Roman" w:hAnsi="Times New Roman"/>
          <w:i/>
          <w:sz w:val="24"/>
          <w:lang w:val="en-GB"/>
        </w:rPr>
        <w:t>persona</w:t>
      </w:r>
      <w:r w:rsidR="000627D3" w:rsidRPr="00BA5A45">
        <w:rPr>
          <w:rFonts w:ascii="Times New Roman" w:hAnsi="Times New Roman"/>
          <w:sz w:val="24"/>
          <w:lang w:val="en-GB"/>
        </w:rPr>
        <w:t xml:space="preserve"> capable of acting on behalf of someone. It also found that the </w:t>
      </w:r>
      <w:r w:rsidR="00F93CEB" w:rsidRPr="00BA5A45">
        <w:rPr>
          <w:rFonts w:ascii="Times New Roman" w:hAnsi="Times New Roman"/>
          <w:sz w:val="24"/>
          <w:lang w:val="en-GB"/>
        </w:rPr>
        <w:t>power of a</w:t>
      </w:r>
      <w:r w:rsidR="009742C5" w:rsidRPr="00BA5A45">
        <w:rPr>
          <w:rFonts w:ascii="Times New Roman" w:hAnsi="Times New Roman"/>
          <w:sz w:val="24"/>
          <w:lang w:val="en-GB"/>
        </w:rPr>
        <w:t>ttorney</w:t>
      </w:r>
      <w:r w:rsidR="000627D3" w:rsidRPr="00BA5A45">
        <w:rPr>
          <w:rFonts w:ascii="Times New Roman" w:hAnsi="Times New Roman"/>
          <w:sz w:val="24"/>
          <w:lang w:val="en-GB"/>
        </w:rPr>
        <w:t xml:space="preserve"> was </w:t>
      </w:r>
      <w:r w:rsidR="000627D3" w:rsidRPr="00BA5A45">
        <w:rPr>
          <w:rFonts w:ascii="Times New Roman" w:hAnsi="Times New Roman"/>
          <w:sz w:val="24"/>
          <w:lang w:val="en-GB"/>
        </w:rPr>
        <w:lastRenderedPageBreak/>
        <w:t xml:space="preserve">invalid as it referred </w:t>
      </w:r>
      <w:r w:rsidR="009742C5" w:rsidRPr="00BA5A45">
        <w:rPr>
          <w:rFonts w:ascii="Times New Roman" w:hAnsi="Times New Roman"/>
          <w:sz w:val="24"/>
          <w:lang w:val="en-GB"/>
        </w:rPr>
        <w:t xml:space="preserve">to </w:t>
      </w:r>
      <w:r w:rsidR="000627D3" w:rsidRPr="00BA5A45">
        <w:rPr>
          <w:rFonts w:ascii="Times New Roman" w:hAnsi="Times New Roman"/>
          <w:sz w:val="24"/>
          <w:lang w:val="en-GB"/>
        </w:rPr>
        <w:t>the complainants as the d</w:t>
      </w:r>
      <w:r w:rsidRPr="00BA5A45">
        <w:rPr>
          <w:rFonts w:ascii="Times New Roman" w:hAnsi="Times New Roman"/>
          <w:sz w:val="24"/>
          <w:lang w:val="en-GB"/>
        </w:rPr>
        <w:t>ebtors of NFOL</w:t>
      </w:r>
      <w:r w:rsidR="000627D3" w:rsidRPr="00BA5A45">
        <w:rPr>
          <w:rFonts w:ascii="Times New Roman" w:hAnsi="Times New Roman"/>
          <w:sz w:val="24"/>
          <w:lang w:val="en-GB"/>
        </w:rPr>
        <w:t xml:space="preserve"> yet Celgrim Bakeries was the </w:t>
      </w:r>
      <w:r w:rsidRPr="00BA5A45">
        <w:rPr>
          <w:rFonts w:ascii="Times New Roman" w:hAnsi="Times New Roman"/>
          <w:sz w:val="24"/>
          <w:lang w:val="en-GB"/>
        </w:rPr>
        <w:t>debtor of NFOL</w:t>
      </w:r>
      <w:r w:rsidR="000627D3" w:rsidRPr="00BA5A45">
        <w:rPr>
          <w:rFonts w:ascii="Times New Roman" w:hAnsi="Times New Roman"/>
          <w:sz w:val="24"/>
          <w:lang w:val="en-GB"/>
        </w:rPr>
        <w:t>.</w:t>
      </w:r>
      <w:r w:rsidR="009742C5" w:rsidRPr="00BA5A45">
        <w:rPr>
          <w:rFonts w:ascii="Times New Roman" w:hAnsi="Times New Roman"/>
          <w:sz w:val="24"/>
          <w:lang w:val="en-GB"/>
        </w:rPr>
        <w:t xml:space="preserve"> </w:t>
      </w:r>
      <w:r w:rsidR="00D3654F" w:rsidRPr="00BA5A45">
        <w:rPr>
          <w:rFonts w:ascii="Times New Roman" w:hAnsi="Times New Roman"/>
          <w:sz w:val="24"/>
          <w:lang w:val="en-GB"/>
        </w:rPr>
        <w:t>Further</w:t>
      </w:r>
      <w:r w:rsidR="005E0B06" w:rsidRPr="00BA5A45">
        <w:rPr>
          <w:rFonts w:ascii="Times New Roman" w:hAnsi="Times New Roman"/>
          <w:sz w:val="24"/>
          <w:lang w:val="en-GB"/>
        </w:rPr>
        <w:t>,</w:t>
      </w:r>
      <w:r w:rsidR="00D35D0B" w:rsidRPr="00BA5A45">
        <w:rPr>
          <w:rFonts w:ascii="Times New Roman" w:hAnsi="Times New Roman"/>
          <w:sz w:val="24"/>
          <w:lang w:val="en-GB"/>
        </w:rPr>
        <w:t xml:space="preserve"> the </w:t>
      </w:r>
      <w:r w:rsidR="00B2116A" w:rsidRPr="00BA5A45">
        <w:rPr>
          <w:rFonts w:ascii="Times New Roman" w:hAnsi="Times New Roman"/>
          <w:sz w:val="24"/>
          <w:lang w:val="en-GB"/>
        </w:rPr>
        <w:t>T</w:t>
      </w:r>
      <w:r w:rsidR="00D35D0B" w:rsidRPr="00BA5A45">
        <w:rPr>
          <w:rFonts w:ascii="Times New Roman" w:hAnsi="Times New Roman"/>
          <w:sz w:val="24"/>
          <w:lang w:val="en-GB"/>
        </w:rPr>
        <w:t>ribunal</w:t>
      </w:r>
      <w:r w:rsidR="000627D3" w:rsidRPr="00BA5A45">
        <w:rPr>
          <w:rFonts w:ascii="Times New Roman" w:hAnsi="Times New Roman"/>
          <w:sz w:val="24"/>
          <w:lang w:val="en-GB"/>
        </w:rPr>
        <w:t xml:space="preserve"> found that the sale was illegal as </w:t>
      </w:r>
      <w:r w:rsidR="009742C5" w:rsidRPr="00BA5A45">
        <w:rPr>
          <w:rFonts w:ascii="Times New Roman" w:hAnsi="Times New Roman"/>
          <w:sz w:val="24"/>
          <w:lang w:val="en-GB"/>
        </w:rPr>
        <w:t>a</w:t>
      </w:r>
      <w:r w:rsidR="000627D3" w:rsidRPr="00BA5A45">
        <w:rPr>
          <w:rFonts w:ascii="Times New Roman" w:hAnsi="Times New Roman"/>
          <w:sz w:val="24"/>
          <w:lang w:val="en-GB"/>
        </w:rPr>
        <w:t xml:space="preserve"> court order was not obtained first before the property was sold. </w:t>
      </w:r>
    </w:p>
    <w:p w14:paraId="4DF0E1D3" w14:textId="77777777" w:rsidR="00D81197" w:rsidRPr="00BA5A45" w:rsidRDefault="00D81197" w:rsidP="00F42946">
      <w:pPr>
        <w:spacing w:after="0" w:line="480" w:lineRule="auto"/>
        <w:ind w:firstLine="720"/>
        <w:jc w:val="both"/>
        <w:rPr>
          <w:rFonts w:ascii="Times New Roman" w:hAnsi="Times New Roman"/>
          <w:sz w:val="24"/>
          <w:lang w:val="en-GB"/>
        </w:rPr>
      </w:pPr>
    </w:p>
    <w:p w14:paraId="755D001F" w14:textId="209DD88F" w:rsidR="004B12D0" w:rsidRPr="00BA5A45" w:rsidRDefault="00980FD7"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On the question of remitting the balanc</w:t>
      </w:r>
      <w:r w:rsidR="00F026D3" w:rsidRPr="00BA5A45">
        <w:rPr>
          <w:rFonts w:ascii="Times New Roman" w:hAnsi="Times New Roman"/>
          <w:sz w:val="24"/>
          <w:lang w:val="en-GB"/>
        </w:rPr>
        <w:t>e of the purchase price to NFOL</w:t>
      </w:r>
      <w:r w:rsidR="00B04EE2" w:rsidRPr="00BA5A45">
        <w:rPr>
          <w:rFonts w:ascii="Times New Roman" w:hAnsi="Times New Roman"/>
          <w:sz w:val="24"/>
          <w:lang w:val="en-GB"/>
        </w:rPr>
        <w:t xml:space="preserve"> without complainants’</w:t>
      </w:r>
      <w:r w:rsidRPr="00BA5A45">
        <w:rPr>
          <w:rFonts w:ascii="Times New Roman" w:hAnsi="Times New Roman"/>
          <w:sz w:val="24"/>
          <w:lang w:val="en-GB"/>
        </w:rPr>
        <w:t xml:space="preserve"> authority the </w:t>
      </w:r>
      <w:r w:rsidR="00B2116A" w:rsidRPr="00BA5A45">
        <w:rPr>
          <w:rFonts w:ascii="Times New Roman" w:hAnsi="Times New Roman"/>
          <w:sz w:val="24"/>
          <w:lang w:val="en-GB"/>
        </w:rPr>
        <w:t>T</w:t>
      </w:r>
      <w:r w:rsidRPr="00BA5A45">
        <w:rPr>
          <w:rFonts w:ascii="Times New Roman" w:hAnsi="Times New Roman"/>
          <w:sz w:val="24"/>
          <w:lang w:val="en-GB"/>
        </w:rPr>
        <w:t>ribunal found such conduct to be improper.</w:t>
      </w:r>
    </w:p>
    <w:p w14:paraId="31C5F8E0" w14:textId="77777777" w:rsidR="00816A5B" w:rsidRPr="00BA5A45" w:rsidRDefault="00816A5B" w:rsidP="00F42946">
      <w:pPr>
        <w:spacing w:after="0" w:line="480" w:lineRule="auto"/>
        <w:ind w:firstLine="1134"/>
        <w:jc w:val="both"/>
        <w:rPr>
          <w:rFonts w:ascii="Times New Roman" w:hAnsi="Times New Roman"/>
          <w:sz w:val="24"/>
          <w:lang w:val="en-GB"/>
        </w:rPr>
      </w:pPr>
    </w:p>
    <w:p w14:paraId="0267C7B4" w14:textId="79005A82" w:rsidR="00D119F9" w:rsidRPr="00BA5A45" w:rsidRDefault="002C6914"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T</w:t>
      </w:r>
      <w:r w:rsidR="005E0B06" w:rsidRPr="00BA5A45">
        <w:rPr>
          <w:rFonts w:ascii="Times New Roman" w:hAnsi="Times New Roman"/>
          <w:sz w:val="24"/>
          <w:lang w:val="en-GB"/>
        </w:rPr>
        <w:t>he</w:t>
      </w:r>
      <w:r w:rsidR="00D35D0B" w:rsidRPr="00BA5A45">
        <w:rPr>
          <w:rFonts w:ascii="Times New Roman" w:hAnsi="Times New Roman"/>
          <w:sz w:val="24"/>
          <w:lang w:val="en-GB"/>
        </w:rPr>
        <w:t xml:space="preserve"> </w:t>
      </w:r>
      <w:r w:rsidR="00B2116A" w:rsidRPr="00BA5A45">
        <w:rPr>
          <w:rFonts w:ascii="Times New Roman" w:hAnsi="Times New Roman"/>
          <w:sz w:val="24"/>
          <w:lang w:val="en-GB"/>
        </w:rPr>
        <w:t>Tr</w:t>
      </w:r>
      <w:r w:rsidR="00D35D0B" w:rsidRPr="00BA5A45">
        <w:rPr>
          <w:rFonts w:ascii="Times New Roman" w:hAnsi="Times New Roman"/>
          <w:sz w:val="24"/>
          <w:lang w:val="en-GB"/>
        </w:rPr>
        <w:t>ibunal</w:t>
      </w:r>
      <w:r w:rsidR="009742C5" w:rsidRPr="00BA5A45">
        <w:rPr>
          <w:rFonts w:ascii="Times New Roman" w:hAnsi="Times New Roman"/>
          <w:sz w:val="24"/>
          <w:lang w:val="en-GB"/>
        </w:rPr>
        <w:t xml:space="preserve"> </w:t>
      </w:r>
      <w:r w:rsidR="00422C1B" w:rsidRPr="00BA5A45">
        <w:rPr>
          <w:rFonts w:ascii="Times New Roman" w:hAnsi="Times New Roman"/>
          <w:sz w:val="24"/>
          <w:lang w:val="en-GB"/>
        </w:rPr>
        <w:t>concluded</w:t>
      </w:r>
      <w:r w:rsidR="009742C5" w:rsidRPr="00BA5A45">
        <w:rPr>
          <w:rFonts w:ascii="Times New Roman" w:hAnsi="Times New Roman"/>
          <w:sz w:val="24"/>
          <w:lang w:val="en-GB"/>
        </w:rPr>
        <w:t xml:space="preserve"> that the respondent had successfully proved on a balance of probabilities</w:t>
      </w:r>
      <w:r w:rsidR="00F93CEB" w:rsidRPr="00BA5A45">
        <w:rPr>
          <w:rFonts w:ascii="Times New Roman" w:hAnsi="Times New Roman"/>
          <w:sz w:val="24"/>
          <w:lang w:val="en-GB"/>
        </w:rPr>
        <w:t>,</w:t>
      </w:r>
      <w:r w:rsidR="009742C5" w:rsidRPr="00BA5A45">
        <w:rPr>
          <w:rFonts w:ascii="Times New Roman" w:hAnsi="Times New Roman"/>
          <w:sz w:val="24"/>
          <w:lang w:val="en-GB"/>
        </w:rPr>
        <w:t xml:space="preserve"> that the appellant’s conduct was </w:t>
      </w:r>
      <w:r w:rsidR="005E0B06" w:rsidRPr="00BA5A45">
        <w:rPr>
          <w:rFonts w:ascii="Times New Roman" w:hAnsi="Times New Roman"/>
          <w:sz w:val="24"/>
          <w:lang w:val="en-GB"/>
        </w:rPr>
        <w:t>unprofessional, dishonourable</w:t>
      </w:r>
      <w:r w:rsidR="009742C5" w:rsidRPr="00BA5A45">
        <w:rPr>
          <w:rFonts w:ascii="Times New Roman" w:hAnsi="Times New Roman"/>
          <w:sz w:val="24"/>
          <w:lang w:val="en-GB"/>
        </w:rPr>
        <w:t xml:space="preserve"> and unworthy of a legal practitioner. </w:t>
      </w:r>
      <w:r w:rsidR="00D35D0B" w:rsidRPr="00BA5A45">
        <w:rPr>
          <w:rFonts w:ascii="Times New Roman" w:hAnsi="Times New Roman"/>
          <w:sz w:val="24"/>
          <w:lang w:val="en-GB"/>
        </w:rPr>
        <w:t xml:space="preserve">In the result </w:t>
      </w:r>
      <w:r w:rsidR="00B2116A" w:rsidRPr="00BA5A45">
        <w:rPr>
          <w:rFonts w:ascii="Times New Roman" w:hAnsi="Times New Roman"/>
          <w:sz w:val="24"/>
          <w:lang w:val="en-GB"/>
        </w:rPr>
        <w:t>it</w:t>
      </w:r>
      <w:r w:rsidR="009742C5" w:rsidRPr="00BA5A45">
        <w:rPr>
          <w:rFonts w:ascii="Times New Roman" w:hAnsi="Times New Roman"/>
          <w:sz w:val="24"/>
          <w:lang w:val="en-GB"/>
        </w:rPr>
        <w:t xml:space="preserve"> issued an order </w:t>
      </w:r>
      <w:r w:rsidR="00B2116A" w:rsidRPr="00BA5A45">
        <w:rPr>
          <w:rFonts w:ascii="Times New Roman" w:hAnsi="Times New Roman"/>
          <w:sz w:val="24"/>
          <w:lang w:val="en-GB"/>
        </w:rPr>
        <w:t>for</w:t>
      </w:r>
      <w:r w:rsidR="009742C5" w:rsidRPr="00BA5A45">
        <w:rPr>
          <w:rFonts w:ascii="Times New Roman" w:hAnsi="Times New Roman"/>
          <w:sz w:val="24"/>
          <w:lang w:val="en-GB"/>
        </w:rPr>
        <w:t xml:space="preserve"> the </w:t>
      </w:r>
      <w:r w:rsidR="00D119F9" w:rsidRPr="00BA5A45">
        <w:rPr>
          <w:rFonts w:ascii="Times New Roman" w:hAnsi="Times New Roman"/>
          <w:sz w:val="24"/>
          <w:lang w:val="en-GB"/>
        </w:rPr>
        <w:t xml:space="preserve">appellant’s name </w:t>
      </w:r>
      <w:r w:rsidR="00B2116A" w:rsidRPr="00BA5A45">
        <w:rPr>
          <w:rFonts w:ascii="Times New Roman" w:hAnsi="Times New Roman"/>
          <w:sz w:val="24"/>
          <w:lang w:val="en-GB"/>
        </w:rPr>
        <w:t xml:space="preserve">to </w:t>
      </w:r>
      <w:r w:rsidR="00D119F9" w:rsidRPr="00BA5A45">
        <w:rPr>
          <w:rFonts w:ascii="Times New Roman" w:hAnsi="Times New Roman"/>
          <w:sz w:val="24"/>
          <w:lang w:val="en-GB"/>
        </w:rPr>
        <w:t xml:space="preserve">be deleted from the Register of Legal </w:t>
      </w:r>
      <w:r w:rsidR="005E0B06" w:rsidRPr="00BA5A45">
        <w:rPr>
          <w:rFonts w:ascii="Times New Roman" w:hAnsi="Times New Roman"/>
          <w:sz w:val="24"/>
          <w:lang w:val="en-GB"/>
        </w:rPr>
        <w:t>Practitioners, Notaries</w:t>
      </w:r>
      <w:r w:rsidR="00D119F9" w:rsidRPr="00BA5A45">
        <w:rPr>
          <w:rFonts w:ascii="Times New Roman" w:hAnsi="Times New Roman"/>
          <w:sz w:val="24"/>
          <w:lang w:val="en-GB"/>
        </w:rPr>
        <w:t xml:space="preserve"> Public and Conveyancers. The appellant was also ordered to pay costs incurred by the respondent.</w:t>
      </w:r>
    </w:p>
    <w:p w14:paraId="2D142D8D" w14:textId="77777777" w:rsidR="00D81197" w:rsidRPr="00BA5A45" w:rsidRDefault="00D81197" w:rsidP="00F42946">
      <w:pPr>
        <w:spacing w:after="0" w:line="480" w:lineRule="auto"/>
        <w:ind w:firstLine="360"/>
        <w:jc w:val="both"/>
        <w:rPr>
          <w:rFonts w:ascii="Times New Roman" w:hAnsi="Times New Roman"/>
          <w:sz w:val="24"/>
          <w:lang w:val="en-GB"/>
        </w:rPr>
      </w:pPr>
    </w:p>
    <w:p w14:paraId="626504D4" w14:textId="7793F1ED" w:rsidR="009742C5" w:rsidRPr="00BA5A45" w:rsidRDefault="009742C5"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Aggriev</w:t>
      </w:r>
      <w:r w:rsidR="00B04EE2" w:rsidRPr="00BA5A45">
        <w:rPr>
          <w:rFonts w:ascii="Times New Roman" w:hAnsi="Times New Roman"/>
          <w:sz w:val="24"/>
          <w:lang w:val="en-GB"/>
        </w:rPr>
        <w:t>ed by the decision of the Tribunal</w:t>
      </w:r>
      <w:r w:rsidRPr="00BA5A45">
        <w:rPr>
          <w:rFonts w:ascii="Times New Roman" w:hAnsi="Times New Roman"/>
          <w:sz w:val="24"/>
          <w:lang w:val="en-GB"/>
        </w:rPr>
        <w:t>, the appel</w:t>
      </w:r>
      <w:r w:rsidR="003F20B6" w:rsidRPr="00BA5A45">
        <w:rPr>
          <w:rFonts w:ascii="Times New Roman" w:hAnsi="Times New Roman"/>
          <w:sz w:val="24"/>
          <w:lang w:val="en-GB"/>
        </w:rPr>
        <w:t xml:space="preserve">lant noted the present </w:t>
      </w:r>
      <w:r w:rsidR="004B12D0" w:rsidRPr="00BA5A45">
        <w:rPr>
          <w:rFonts w:ascii="Times New Roman" w:hAnsi="Times New Roman"/>
          <w:sz w:val="24"/>
          <w:lang w:val="en-GB"/>
        </w:rPr>
        <w:t>appeal against</w:t>
      </w:r>
      <w:r w:rsidR="00D3654F" w:rsidRPr="00BA5A45">
        <w:rPr>
          <w:rFonts w:ascii="Times New Roman" w:hAnsi="Times New Roman"/>
          <w:sz w:val="24"/>
          <w:lang w:val="en-GB"/>
        </w:rPr>
        <w:t xml:space="preserve"> both conviction and sentence. </w:t>
      </w:r>
    </w:p>
    <w:p w14:paraId="00D2C9D8" w14:textId="77777777" w:rsidR="007B57EE" w:rsidRPr="00BA5A45" w:rsidRDefault="007B57EE" w:rsidP="00F42946">
      <w:pPr>
        <w:spacing w:after="0" w:line="480" w:lineRule="auto"/>
        <w:ind w:firstLine="360"/>
        <w:jc w:val="both"/>
        <w:rPr>
          <w:rFonts w:ascii="Times New Roman" w:hAnsi="Times New Roman"/>
          <w:sz w:val="24"/>
          <w:lang w:val="en-GB"/>
        </w:rPr>
      </w:pPr>
    </w:p>
    <w:p w14:paraId="58771AF3" w14:textId="77777777" w:rsidR="00D119F9" w:rsidRPr="00BA5A45" w:rsidRDefault="00D119F9" w:rsidP="00F42946">
      <w:pPr>
        <w:spacing w:after="0" w:line="480" w:lineRule="auto"/>
        <w:jc w:val="both"/>
        <w:rPr>
          <w:rFonts w:ascii="Times New Roman" w:hAnsi="Times New Roman"/>
          <w:b/>
          <w:sz w:val="24"/>
          <w:lang w:val="en-GB"/>
        </w:rPr>
      </w:pPr>
      <w:r w:rsidRPr="00BA5A45">
        <w:rPr>
          <w:rFonts w:ascii="Times New Roman" w:hAnsi="Times New Roman"/>
          <w:b/>
          <w:sz w:val="24"/>
          <w:lang w:val="en-GB"/>
        </w:rPr>
        <w:t>GROUNDS OF APPEAL</w:t>
      </w:r>
    </w:p>
    <w:p w14:paraId="6DBA5E42" w14:textId="5A3AE39D" w:rsidR="007613D3" w:rsidRPr="00BA5A45" w:rsidRDefault="00DC27B1" w:rsidP="00F42946">
      <w:pPr>
        <w:spacing w:after="0" w:line="480" w:lineRule="auto"/>
        <w:ind w:firstLine="1134"/>
        <w:jc w:val="both"/>
        <w:rPr>
          <w:rFonts w:ascii="Times New Roman" w:hAnsi="Times New Roman"/>
          <w:sz w:val="24"/>
          <w:szCs w:val="24"/>
          <w:lang w:val="en-GB"/>
        </w:rPr>
      </w:pPr>
      <w:r w:rsidRPr="00BA5A45">
        <w:rPr>
          <w:rFonts w:ascii="Times New Roman" w:hAnsi="Times New Roman"/>
          <w:sz w:val="24"/>
          <w:szCs w:val="24"/>
          <w:lang w:val="en-GB"/>
        </w:rPr>
        <w:t>The appellant raised 9 grounds of appeal against conviction and 4 grounds of appeal against sentence.</w:t>
      </w:r>
    </w:p>
    <w:p w14:paraId="0F45A67E" w14:textId="77777777" w:rsidR="00816A5B" w:rsidRDefault="00816A5B" w:rsidP="00F42946">
      <w:pPr>
        <w:pStyle w:val="ListParagraph"/>
        <w:spacing w:before="240" w:after="0" w:line="240" w:lineRule="auto"/>
        <w:ind w:left="0"/>
        <w:jc w:val="both"/>
        <w:rPr>
          <w:rFonts w:ascii="Times New Roman" w:hAnsi="Times New Roman"/>
          <w:b/>
          <w:sz w:val="24"/>
          <w:szCs w:val="24"/>
          <w:u w:val="single"/>
          <w:lang w:val="en-GB"/>
        </w:rPr>
      </w:pPr>
    </w:p>
    <w:p w14:paraId="2175ADCC" w14:textId="77777777" w:rsidR="00BA5A45" w:rsidRPr="00BA5A45" w:rsidRDefault="00BA5A45" w:rsidP="00F42946">
      <w:pPr>
        <w:pStyle w:val="ListParagraph"/>
        <w:spacing w:before="240" w:after="0" w:line="240" w:lineRule="auto"/>
        <w:ind w:left="0"/>
        <w:jc w:val="both"/>
        <w:rPr>
          <w:rFonts w:ascii="Times New Roman" w:hAnsi="Times New Roman"/>
          <w:b/>
          <w:sz w:val="24"/>
          <w:szCs w:val="24"/>
          <w:u w:val="single"/>
          <w:lang w:val="en-GB"/>
        </w:rPr>
      </w:pPr>
    </w:p>
    <w:p w14:paraId="21BF02C3" w14:textId="10F261E6" w:rsidR="00EA1FA3" w:rsidRPr="00BA5A45" w:rsidRDefault="007F20C4" w:rsidP="00F42946">
      <w:pPr>
        <w:pStyle w:val="ListParagraph"/>
        <w:spacing w:before="240" w:after="0" w:line="480" w:lineRule="auto"/>
        <w:ind w:left="0"/>
        <w:jc w:val="both"/>
        <w:rPr>
          <w:rFonts w:ascii="Times New Roman" w:hAnsi="Times New Roman"/>
          <w:b/>
          <w:sz w:val="24"/>
          <w:szCs w:val="24"/>
          <w:lang w:val="en-GB"/>
        </w:rPr>
      </w:pPr>
      <w:r w:rsidRPr="00BA5A45">
        <w:rPr>
          <w:rFonts w:ascii="Times New Roman" w:hAnsi="Times New Roman"/>
          <w:b/>
          <w:sz w:val="24"/>
          <w:szCs w:val="24"/>
          <w:lang w:val="en-GB"/>
        </w:rPr>
        <w:t>SUBMISSIONS BEFORE</w:t>
      </w:r>
      <w:r w:rsidR="00EA1FA3" w:rsidRPr="00BA5A45">
        <w:rPr>
          <w:rFonts w:ascii="Times New Roman" w:hAnsi="Times New Roman"/>
          <w:b/>
          <w:sz w:val="24"/>
          <w:szCs w:val="24"/>
          <w:lang w:val="en-GB"/>
        </w:rPr>
        <w:t xml:space="preserve"> THIS COURT</w:t>
      </w:r>
    </w:p>
    <w:p w14:paraId="3DA27A63" w14:textId="3BD0C40F" w:rsidR="0089396C" w:rsidRPr="00BA5A45" w:rsidRDefault="0089396C" w:rsidP="00F42946">
      <w:pPr>
        <w:pStyle w:val="ListParagraph"/>
        <w:spacing w:before="240" w:after="0" w:line="480" w:lineRule="auto"/>
        <w:ind w:left="0"/>
        <w:jc w:val="both"/>
        <w:rPr>
          <w:rFonts w:ascii="Times New Roman" w:hAnsi="Times New Roman"/>
          <w:b/>
          <w:sz w:val="24"/>
          <w:szCs w:val="24"/>
          <w:lang w:val="en-GB"/>
        </w:rPr>
      </w:pPr>
      <w:r w:rsidRPr="00BA5A45">
        <w:rPr>
          <w:rFonts w:ascii="Times New Roman" w:hAnsi="Times New Roman"/>
          <w:b/>
          <w:sz w:val="24"/>
          <w:szCs w:val="24"/>
          <w:lang w:val="en-GB"/>
        </w:rPr>
        <w:t>Ad conviction</w:t>
      </w:r>
    </w:p>
    <w:p w14:paraId="37D9C530" w14:textId="234BD664" w:rsidR="007613D3" w:rsidRPr="00BA5A45" w:rsidRDefault="007613D3" w:rsidP="00F42946">
      <w:pPr>
        <w:pStyle w:val="ListParagraph"/>
        <w:spacing w:before="240" w:after="0" w:line="480" w:lineRule="auto"/>
        <w:ind w:left="0" w:firstLine="1134"/>
        <w:jc w:val="both"/>
        <w:rPr>
          <w:rFonts w:ascii="Times New Roman" w:hAnsi="Times New Roman"/>
          <w:sz w:val="24"/>
          <w:szCs w:val="24"/>
        </w:rPr>
      </w:pPr>
      <w:r w:rsidRPr="00BA5A45">
        <w:rPr>
          <w:rFonts w:ascii="Times New Roman" w:hAnsi="Times New Roman"/>
          <w:sz w:val="24"/>
          <w:szCs w:val="24"/>
        </w:rPr>
        <w:lastRenderedPageBreak/>
        <w:t xml:space="preserve">At the hearing of this appeal, </w:t>
      </w:r>
      <w:r w:rsidR="00C07557" w:rsidRPr="00C07557">
        <w:rPr>
          <w:rFonts w:ascii="Times New Roman" w:hAnsi="Times New Roman"/>
          <w:i/>
          <w:sz w:val="24"/>
          <w:szCs w:val="24"/>
        </w:rPr>
        <w:t>Mr.</w:t>
      </w:r>
      <w:r w:rsidRPr="00BA5A45">
        <w:rPr>
          <w:rFonts w:ascii="Times New Roman" w:hAnsi="Times New Roman"/>
          <w:i/>
          <w:sz w:val="24"/>
          <w:szCs w:val="24"/>
        </w:rPr>
        <w:t xml:space="preserve"> Girach</w:t>
      </w:r>
      <w:r w:rsidR="00524E9F" w:rsidRPr="00BA5A45">
        <w:rPr>
          <w:rFonts w:ascii="Times New Roman" w:hAnsi="Times New Roman"/>
          <w:sz w:val="24"/>
          <w:szCs w:val="24"/>
        </w:rPr>
        <w:t xml:space="preserve"> </w:t>
      </w:r>
      <w:r w:rsidRPr="00BA5A45">
        <w:rPr>
          <w:rFonts w:ascii="Times New Roman" w:hAnsi="Times New Roman"/>
          <w:sz w:val="24"/>
          <w:szCs w:val="24"/>
        </w:rPr>
        <w:t>ame</w:t>
      </w:r>
      <w:r w:rsidR="003F20B6" w:rsidRPr="00BA5A45">
        <w:rPr>
          <w:rFonts w:ascii="Times New Roman" w:hAnsi="Times New Roman"/>
          <w:sz w:val="24"/>
          <w:szCs w:val="24"/>
        </w:rPr>
        <w:t>nd</w:t>
      </w:r>
      <w:r w:rsidR="00524E9F" w:rsidRPr="00BA5A45">
        <w:rPr>
          <w:rFonts w:ascii="Times New Roman" w:hAnsi="Times New Roman"/>
          <w:sz w:val="24"/>
          <w:szCs w:val="24"/>
        </w:rPr>
        <w:t xml:space="preserve">ed </w:t>
      </w:r>
      <w:r w:rsidR="006D0D55" w:rsidRPr="00BA5A45">
        <w:rPr>
          <w:rFonts w:ascii="Times New Roman" w:hAnsi="Times New Roman"/>
          <w:sz w:val="24"/>
          <w:szCs w:val="24"/>
        </w:rPr>
        <w:t>the grounds</w:t>
      </w:r>
      <w:r w:rsidRPr="00BA5A45">
        <w:rPr>
          <w:rFonts w:ascii="Times New Roman" w:hAnsi="Times New Roman"/>
          <w:sz w:val="24"/>
          <w:szCs w:val="24"/>
        </w:rPr>
        <w:t xml:space="preserve"> of appeal </w:t>
      </w:r>
      <w:r w:rsidR="00524E9F" w:rsidRPr="00BA5A45">
        <w:rPr>
          <w:rFonts w:ascii="Times New Roman" w:hAnsi="Times New Roman"/>
          <w:sz w:val="24"/>
          <w:szCs w:val="24"/>
        </w:rPr>
        <w:t>against conviction</w:t>
      </w:r>
      <w:r w:rsidR="007F20C4" w:rsidRPr="00BA5A45">
        <w:rPr>
          <w:rFonts w:ascii="Times New Roman" w:hAnsi="Times New Roman"/>
          <w:sz w:val="24"/>
          <w:szCs w:val="24"/>
        </w:rPr>
        <w:t xml:space="preserve"> by</w:t>
      </w:r>
      <w:r w:rsidR="003F20B6" w:rsidRPr="00BA5A45">
        <w:rPr>
          <w:rFonts w:ascii="Times New Roman" w:hAnsi="Times New Roman"/>
          <w:sz w:val="24"/>
          <w:szCs w:val="24"/>
        </w:rPr>
        <w:t xml:space="preserve"> abandoning grounds </w:t>
      </w:r>
      <w:r w:rsidRPr="00BA5A45">
        <w:rPr>
          <w:rFonts w:ascii="Times New Roman" w:hAnsi="Times New Roman"/>
          <w:sz w:val="24"/>
          <w:szCs w:val="24"/>
        </w:rPr>
        <w:t xml:space="preserve">one, two, three, six and eight, which </w:t>
      </w:r>
      <w:r w:rsidR="00EE1839" w:rsidRPr="00BA5A45">
        <w:rPr>
          <w:rFonts w:ascii="Times New Roman" w:hAnsi="Times New Roman"/>
          <w:sz w:val="24"/>
          <w:szCs w:val="24"/>
        </w:rPr>
        <w:t xml:space="preserve">amendment </w:t>
      </w:r>
      <w:r w:rsidRPr="00BA5A45">
        <w:rPr>
          <w:rFonts w:ascii="Times New Roman" w:hAnsi="Times New Roman"/>
          <w:sz w:val="24"/>
          <w:szCs w:val="24"/>
        </w:rPr>
        <w:t xml:space="preserve">the Court granted with the consent of </w:t>
      </w:r>
      <w:r w:rsidR="00C07557" w:rsidRPr="00C07557">
        <w:rPr>
          <w:rFonts w:ascii="Times New Roman" w:hAnsi="Times New Roman"/>
          <w:i/>
          <w:sz w:val="24"/>
          <w:szCs w:val="24"/>
        </w:rPr>
        <w:t>Mr</w:t>
      </w:r>
      <w:r w:rsidR="00C07557" w:rsidRPr="00BA5A45">
        <w:rPr>
          <w:rFonts w:ascii="Times New Roman" w:hAnsi="Times New Roman"/>
          <w:sz w:val="24"/>
          <w:szCs w:val="24"/>
        </w:rPr>
        <w:t>.</w:t>
      </w:r>
      <w:r w:rsidRPr="00BA5A45">
        <w:rPr>
          <w:rFonts w:ascii="Times New Roman" w:hAnsi="Times New Roman"/>
          <w:i/>
          <w:sz w:val="24"/>
          <w:szCs w:val="24"/>
        </w:rPr>
        <w:t xml:space="preserve"> Gahadzikwa</w:t>
      </w:r>
      <w:r w:rsidRPr="00BA5A45">
        <w:rPr>
          <w:rFonts w:ascii="Times New Roman" w:hAnsi="Times New Roman"/>
          <w:sz w:val="24"/>
          <w:szCs w:val="24"/>
        </w:rPr>
        <w:t xml:space="preserve"> for the </w:t>
      </w:r>
      <w:r w:rsidR="006E4A04" w:rsidRPr="00BA5A45">
        <w:rPr>
          <w:rFonts w:ascii="Times New Roman" w:hAnsi="Times New Roman"/>
          <w:sz w:val="24"/>
          <w:szCs w:val="24"/>
        </w:rPr>
        <w:t>respondent. The</w:t>
      </w:r>
      <w:r w:rsidR="00524E9F" w:rsidRPr="00BA5A45">
        <w:rPr>
          <w:rFonts w:ascii="Times New Roman" w:hAnsi="Times New Roman"/>
          <w:sz w:val="24"/>
          <w:szCs w:val="24"/>
        </w:rPr>
        <w:t xml:space="preserve"> grounds that remained were</w:t>
      </w:r>
      <w:r w:rsidR="00DC27B1" w:rsidRPr="00BA5A45">
        <w:rPr>
          <w:rFonts w:ascii="Times New Roman" w:hAnsi="Times New Roman"/>
          <w:sz w:val="24"/>
          <w:szCs w:val="24"/>
        </w:rPr>
        <w:t xml:space="preserve"> as follows:</w:t>
      </w:r>
    </w:p>
    <w:p w14:paraId="122E06E9" w14:textId="42AA1B13" w:rsidR="00816A5B" w:rsidRPr="00BA5A45" w:rsidRDefault="00524E9F" w:rsidP="00F42946">
      <w:pPr>
        <w:pStyle w:val="ListParagraph"/>
        <w:numPr>
          <w:ilvl w:val="0"/>
          <w:numId w:val="5"/>
        </w:numPr>
        <w:spacing w:before="240" w:after="0" w:line="480" w:lineRule="auto"/>
        <w:ind w:left="1134" w:hanging="567"/>
        <w:jc w:val="both"/>
        <w:rPr>
          <w:rFonts w:ascii="Times New Roman" w:hAnsi="Times New Roman"/>
          <w:sz w:val="24"/>
          <w:szCs w:val="24"/>
          <w:lang w:val="en-GB"/>
        </w:rPr>
      </w:pPr>
      <w:r w:rsidRPr="00BA5A45">
        <w:rPr>
          <w:rFonts w:ascii="Times New Roman" w:hAnsi="Times New Roman"/>
          <w:sz w:val="24"/>
          <w:szCs w:val="24"/>
          <w:lang w:val="en-GB"/>
        </w:rPr>
        <w:t xml:space="preserve">The Tribunal erred in failing to place sufficient emphasis on the fact that it was only when the tender was refused by </w:t>
      </w:r>
      <w:r w:rsidR="006E4A04" w:rsidRPr="00BA5A45">
        <w:rPr>
          <w:rFonts w:ascii="Times New Roman" w:hAnsi="Times New Roman"/>
          <w:sz w:val="24"/>
          <w:szCs w:val="24"/>
          <w:lang w:val="en-GB"/>
        </w:rPr>
        <w:t>complainants that</w:t>
      </w:r>
      <w:r w:rsidRPr="00BA5A45">
        <w:rPr>
          <w:rFonts w:ascii="Times New Roman" w:hAnsi="Times New Roman"/>
          <w:sz w:val="24"/>
          <w:szCs w:val="24"/>
          <w:lang w:val="en-GB"/>
        </w:rPr>
        <w:t xml:space="preserve"> payment of the residue was </w:t>
      </w:r>
      <w:r w:rsidR="006D0D55" w:rsidRPr="00BA5A45">
        <w:rPr>
          <w:rFonts w:ascii="Times New Roman" w:hAnsi="Times New Roman"/>
          <w:sz w:val="24"/>
          <w:szCs w:val="24"/>
          <w:lang w:val="en-GB"/>
        </w:rPr>
        <w:t xml:space="preserve">made </w:t>
      </w:r>
      <w:r w:rsidRPr="00BA5A45">
        <w:rPr>
          <w:rFonts w:ascii="Times New Roman" w:hAnsi="Times New Roman"/>
          <w:sz w:val="24"/>
          <w:szCs w:val="24"/>
          <w:lang w:val="en-GB"/>
        </w:rPr>
        <w:t>to National Foods</w:t>
      </w:r>
      <w:r w:rsidR="00D0069F" w:rsidRPr="00BA5A45">
        <w:rPr>
          <w:rFonts w:ascii="Times New Roman" w:hAnsi="Times New Roman"/>
          <w:sz w:val="24"/>
          <w:szCs w:val="24"/>
          <w:lang w:val="en-GB"/>
        </w:rPr>
        <w:t xml:space="preserve"> Operations</w:t>
      </w:r>
      <w:r w:rsidRPr="00BA5A45">
        <w:rPr>
          <w:rFonts w:ascii="Times New Roman" w:hAnsi="Times New Roman"/>
          <w:sz w:val="24"/>
          <w:szCs w:val="24"/>
          <w:lang w:val="en-GB"/>
        </w:rPr>
        <w:t xml:space="preserve"> Limited.</w:t>
      </w:r>
    </w:p>
    <w:p w14:paraId="0ACBD3D7" w14:textId="5EB8EAB8" w:rsidR="00524E9F" w:rsidRPr="00BA5A45" w:rsidRDefault="00524E9F" w:rsidP="00F42946">
      <w:pPr>
        <w:pStyle w:val="ListParagraph"/>
        <w:numPr>
          <w:ilvl w:val="0"/>
          <w:numId w:val="5"/>
        </w:numPr>
        <w:spacing w:before="240" w:after="0" w:line="480" w:lineRule="auto"/>
        <w:ind w:left="1134" w:hanging="567"/>
        <w:jc w:val="both"/>
        <w:rPr>
          <w:rFonts w:ascii="Times New Roman" w:hAnsi="Times New Roman"/>
          <w:sz w:val="24"/>
          <w:szCs w:val="24"/>
          <w:lang w:val="en-GB"/>
        </w:rPr>
      </w:pPr>
      <w:r w:rsidRPr="00BA5A45">
        <w:rPr>
          <w:rFonts w:ascii="Times New Roman" w:hAnsi="Times New Roman"/>
          <w:sz w:val="24"/>
          <w:szCs w:val="24"/>
          <w:lang w:val="en-GB"/>
        </w:rPr>
        <w:t xml:space="preserve">The </w:t>
      </w:r>
      <w:r w:rsidR="00B2116A" w:rsidRPr="00BA5A45">
        <w:rPr>
          <w:rFonts w:ascii="Times New Roman" w:hAnsi="Times New Roman"/>
          <w:sz w:val="24"/>
          <w:szCs w:val="24"/>
          <w:lang w:val="en-GB"/>
        </w:rPr>
        <w:t>T</w:t>
      </w:r>
      <w:r w:rsidRPr="00BA5A45">
        <w:rPr>
          <w:rFonts w:ascii="Times New Roman" w:hAnsi="Times New Roman"/>
          <w:sz w:val="24"/>
          <w:szCs w:val="24"/>
          <w:lang w:val="en-GB"/>
        </w:rPr>
        <w:t xml:space="preserve">ribunal erred, in any event, in not finding that </w:t>
      </w:r>
      <w:r w:rsidR="006D0D55" w:rsidRPr="00BA5A45">
        <w:rPr>
          <w:rFonts w:ascii="Times New Roman" w:hAnsi="Times New Roman"/>
          <w:sz w:val="24"/>
          <w:szCs w:val="24"/>
          <w:lang w:val="en-GB"/>
        </w:rPr>
        <w:t xml:space="preserve">the </w:t>
      </w:r>
      <w:r w:rsidRPr="00BA5A45">
        <w:rPr>
          <w:rFonts w:ascii="Times New Roman" w:hAnsi="Times New Roman"/>
          <w:sz w:val="24"/>
          <w:szCs w:val="24"/>
          <w:lang w:val="en-GB"/>
        </w:rPr>
        <w:t xml:space="preserve">appellant could not have been conflicted in circumstances where he acted in terms of a </w:t>
      </w:r>
      <w:r w:rsidR="006E4A04" w:rsidRPr="00BA5A45">
        <w:rPr>
          <w:rFonts w:ascii="Times New Roman" w:hAnsi="Times New Roman"/>
          <w:sz w:val="24"/>
          <w:szCs w:val="24"/>
          <w:lang w:val="en-GB"/>
        </w:rPr>
        <w:t>power of attorney which power of</w:t>
      </w:r>
      <w:r w:rsidRPr="00BA5A45">
        <w:rPr>
          <w:rFonts w:ascii="Times New Roman" w:hAnsi="Times New Roman"/>
          <w:sz w:val="24"/>
          <w:szCs w:val="24"/>
          <w:lang w:val="en-GB"/>
        </w:rPr>
        <w:t xml:space="preserve"> attorney the </w:t>
      </w:r>
      <w:r w:rsidR="00B2116A" w:rsidRPr="00BA5A45">
        <w:rPr>
          <w:rFonts w:ascii="Times New Roman" w:hAnsi="Times New Roman"/>
          <w:sz w:val="24"/>
          <w:szCs w:val="24"/>
          <w:lang w:val="en-GB"/>
        </w:rPr>
        <w:t>T</w:t>
      </w:r>
      <w:r w:rsidRPr="00BA5A45">
        <w:rPr>
          <w:rFonts w:ascii="Times New Roman" w:hAnsi="Times New Roman"/>
          <w:sz w:val="24"/>
          <w:szCs w:val="24"/>
          <w:lang w:val="en-GB"/>
        </w:rPr>
        <w:t xml:space="preserve">ribunal has found to be invalid </w:t>
      </w:r>
      <w:r w:rsidRPr="00BA5A45">
        <w:rPr>
          <w:rFonts w:ascii="Times New Roman" w:hAnsi="Times New Roman"/>
          <w:i/>
          <w:sz w:val="24"/>
          <w:szCs w:val="24"/>
          <w:lang w:val="en-GB"/>
        </w:rPr>
        <w:t>ab initio</w:t>
      </w:r>
      <w:r w:rsidRPr="00BA5A45">
        <w:rPr>
          <w:rFonts w:ascii="Times New Roman" w:hAnsi="Times New Roman"/>
          <w:sz w:val="24"/>
          <w:szCs w:val="24"/>
          <w:lang w:val="en-GB"/>
        </w:rPr>
        <w:t>.</w:t>
      </w:r>
    </w:p>
    <w:p w14:paraId="0A004EF5" w14:textId="12DD892A" w:rsidR="00524E9F" w:rsidRPr="00BA5A45" w:rsidRDefault="00524E9F" w:rsidP="00F42946">
      <w:pPr>
        <w:pStyle w:val="ListParagraph"/>
        <w:numPr>
          <w:ilvl w:val="0"/>
          <w:numId w:val="5"/>
        </w:numPr>
        <w:spacing w:before="240" w:after="0" w:line="480" w:lineRule="auto"/>
        <w:ind w:left="1134" w:hanging="567"/>
        <w:jc w:val="both"/>
        <w:rPr>
          <w:rFonts w:ascii="Times New Roman" w:hAnsi="Times New Roman"/>
          <w:sz w:val="24"/>
          <w:szCs w:val="24"/>
          <w:lang w:val="en-GB"/>
        </w:rPr>
      </w:pPr>
      <w:r w:rsidRPr="00BA5A45">
        <w:rPr>
          <w:rFonts w:ascii="Times New Roman" w:hAnsi="Times New Roman"/>
          <w:sz w:val="24"/>
          <w:szCs w:val="24"/>
          <w:lang w:val="en-GB"/>
        </w:rPr>
        <w:t xml:space="preserve">The </w:t>
      </w:r>
      <w:r w:rsidR="00B2116A" w:rsidRPr="00BA5A45">
        <w:rPr>
          <w:rFonts w:ascii="Times New Roman" w:hAnsi="Times New Roman"/>
          <w:sz w:val="24"/>
          <w:szCs w:val="24"/>
          <w:lang w:val="en-GB"/>
        </w:rPr>
        <w:t>Tr</w:t>
      </w:r>
      <w:r w:rsidRPr="00BA5A45">
        <w:rPr>
          <w:rFonts w:ascii="Times New Roman" w:hAnsi="Times New Roman"/>
          <w:sz w:val="24"/>
          <w:szCs w:val="24"/>
          <w:lang w:val="en-GB"/>
        </w:rPr>
        <w:t xml:space="preserve">ibunal erred in finding </w:t>
      </w:r>
      <w:r w:rsidR="006E4A04" w:rsidRPr="00BA5A45">
        <w:rPr>
          <w:rFonts w:ascii="Times New Roman" w:hAnsi="Times New Roman"/>
          <w:sz w:val="24"/>
          <w:szCs w:val="24"/>
          <w:lang w:val="en-GB"/>
        </w:rPr>
        <w:t xml:space="preserve">that </w:t>
      </w:r>
      <w:r w:rsidRPr="00BA5A45">
        <w:rPr>
          <w:rFonts w:ascii="Times New Roman" w:hAnsi="Times New Roman"/>
          <w:sz w:val="24"/>
          <w:szCs w:val="24"/>
          <w:lang w:val="en-GB"/>
        </w:rPr>
        <w:t xml:space="preserve">the appellant exhibited a bias in favour of National Foods </w:t>
      </w:r>
      <w:r w:rsidR="00D0069F" w:rsidRPr="00BA5A45">
        <w:rPr>
          <w:rFonts w:ascii="Times New Roman" w:hAnsi="Times New Roman"/>
          <w:sz w:val="24"/>
          <w:szCs w:val="24"/>
          <w:lang w:val="en-GB"/>
        </w:rPr>
        <w:t xml:space="preserve">Operations </w:t>
      </w:r>
      <w:r w:rsidRPr="00BA5A45">
        <w:rPr>
          <w:rFonts w:ascii="Times New Roman" w:hAnsi="Times New Roman"/>
          <w:sz w:val="24"/>
          <w:szCs w:val="24"/>
          <w:lang w:val="en-GB"/>
        </w:rPr>
        <w:t>Limited and erred in failing to place sufficient weight on the fact that the power of attorney and the cession had not been drafted by appellant.</w:t>
      </w:r>
    </w:p>
    <w:p w14:paraId="06883AE6" w14:textId="5EA7A181" w:rsidR="00524E9F" w:rsidRPr="00BA5A45" w:rsidRDefault="00524E9F" w:rsidP="00F42946">
      <w:pPr>
        <w:pStyle w:val="ListParagraph"/>
        <w:numPr>
          <w:ilvl w:val="0"/>
          <w:numId w:val="5"/>
        </w:numPr>
        <w:spacing w:before="240" w:after="0" w:line="480" w:lineRule="auto"/>
        <w:ind w:left="1134" w:hanging="567"/>
        <w:jc w:val="both"/>
        <w:rPr>
          <w:rFonts w:ascii="Times New Roman" w:hAnsi="Times New Roman"/>
          <w:sz w:val="24"/>
          <w:szCs w:val="24"/>
        </w:rPr>
      </w:pPr>
      <w:r w:rsidRPr="00BA5A45">
        <w:rPr>
          <w:rFonts w:ascii="Times New Roman" w:hAnsi="Times New Roman"/>
          <w:sz w:val="24"/>
          <w:szCs w:val="24"/>
          <w:lang w:val="en-GB"/>
        </w:rPr>
        <w:t xml:space="preserve">In any event, the Tribunal erred in finding that the arrangement between the parties did not constitute </w:t>
      </w:r>
      <w:r w:rsidRPr="00BA5A45">
        <w:rPr>
          <w:rFonts w:ascii="Times New Roman" w:hAnsi="Times New Roman"/>
          <w:i/>
          <w:iCs/>
          <w:sz w:val="24"/>
          <w:szCs w:val="24"/>
          <w:lang w:val="en-GB"/>
        </w:rPr>
        <w:t>paratie executie</w:t>
      </w:r>
      <w:r w:rsidR="00CC64AC" w:rsidRPr="00BA5A45">
        <w:rPr>
          <w:rFonts w:ascii="Times New Roman" w:hAnsi="Times New Roman"/>
          <w:i/>
          <w:iCs/>
          <w:sz w:val="24"/>
          <w:szCs w:val="24"/>
          <w:lang w:val="en-GB"/>
        </w:rPr>
        <w:t>.</w:t>
      </w:r>
    </w:p>
    <w:p w14:paraId="2CE4CC54" w14:textId="77777777" w:rsidR="00D81197" w:rsidRPr="00BA5A45" w:rsidRDefault="00D81197" w:rsidP="00F42946">
      <w:pPr>
        <w:spacing w:after="0" w:line="480" w:lineRule="auto"/>
        <w:ind w:firstLine="360"/>
        <w:jc w:val="both"/>
        <w:rPr>
          <w:rFonts w:ascii="Times New Roman" w:hAnsi="Times New Roman"/>
          <w:sz w:val="24"/>
          <w:lang w:val="en-GB"/>
        </w:rPr>
      </w:pPr>
    </w:p>
    <w:p w14:paraId="5BD3286E" w14:textId="6AA39CA7" w:rsidR="00CC64AC" w:rsidRDefault="00CC64AC"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 xml:space="preserve">It is appropriate to discount the fourth ground of appeal from the outset. There is no such finding as is being attributed to the </w:t>
      </w:r>
      <w:r w:rsidR="001D5A57" w:rsidRPr="00BA5A45">
        <w:rPr>
          <w:rFonts w:ascii="Times New Roman" w:hAnsi="Times New Roman"/>
          <w:sz w:val="24"/>
          <w:lang w:val="en-GB"/>
        </w:rPr>
        <w:t>Tr</w:t>
      </w:r>
      <w:r w:rsidRPr="00BA5A45">
        <w:rPr>
          <w:rFonts w:ascii="Times New Roman" w:hAnsi="Times New Roman"/>
          <w:sz w:val="24"/>
          <w:lang w:val="en-GB"/>
        </w:rPr>
        <w:t xml:space="preserve">ibunal. The </w:t>
      </w:r>
      <w:r w:rsidR="001D5A57" w:rsidRPr="00BA5A45">
        <w:rPr>
          <w:rFonts w:ascii="Times New Roman" w:hAnsi="Times New Roman"/>
          <w:sz w:val="24"/>
          <w:lang w:val="en-GB"/>
        </w:rPr>
        <w:t>T</w:t>
      </w:r>
      <w:r w:rsidRPr="00BA5A45">
        <w:rPr>
          <w:rFonts w:ascii="Times New Roman" w:hAnsi="Times New Roman"/>
          <w:sz w:val="24"/>
          <w:lang w:val="en-GB"/>
        </w:rPr>
        <w:t xml:space="preserve">ribunal stated that in view of its finding on the invalidity of the documents </w:t>
      </w:r>
      <w:r w:rsidR="00C43E98" w:rsidRPr="00BA5A45">
        <w:rPr>
          <w:rFonts w:ascii="Times New Roman" w:hAnsi="Times New Roman"/>
          <w:sz w:val="24"/>
          <w:lang w:val="en-GB"/>
        </w:rPr>
        <w:t xml:space="preserve">the </w:t>
      </w:r>
      <w:r w:rsidRPr="00BA5A45">
        <w:rPr>
          <w:rFonts w:ascii="Times New Roman" w:hAnsi="Times New Roman"/>
          <w:sz w:val="24"/>
          <w:lang w:val="en-GB"/>
        </w:rPr>
        <w:t xml:space="preserve">appellant was relying on as authority for his </w:t>
      </w:r>
      <w:r w:rsidR="00D955D7" w:rsidRPr="00BA5A45">
        <w:rPr>
          <w:rFonts w:ascii="Times New Roman" w:hAnsi="Times New Roman"/>
          <w:sz w:val="24"/>
          <w:lang w:val="en-GB"/>
        </w:rPr>
        <w:t>conduct;</w:t>
      </w:r>
      <w:r w:rsidRPr="00BA5A45">
        <w:rPr>
          <w:rFonts w:ascii="Times New Roman" w:hAnsi="Times New Roman"/>
          <w:sz w:val="24"/>
          <w:lang w:val="en-GB"/>
        </w:rPr>
        <w:t xml:space="preserve"> it was not relevant to consider the question of </w:t>
      </w:r>
      <w:r w:rsidRPr="00BA5A45">
        <w:rPr>
          <w:rFonts w:ascii="Times New Roman" w:hAnsi="Times New Roman"/>
          <w:i/>
          <w:iCs/>
          <w:sz w:val="24"/>
          <w:lang w:val="en-GB"/>
        </w:rPr>
        <w:t>paratie executie</w:t>
      </w:r>
      <w:r w:rsidRPr="00BA5A45">
        <w:rPr>
          <w:rFonts w:ascii="Times New Roman" w:hAnsi="Times New Roman"/>
          <w:sz w:val="24"/>
          <w:lang w:val="en-GB"/>
        </w:rPr>
        <w:t>. In effect therefore only three grounds are available for consideration.</w:t>
      </w:r>
    </w:p>
    <w:p w14:paraId="34A0799E" w14:textId="77777777" w:rsidR="00446F75" w:rsidRPr="00BA5A45" w:rsidRDefault="00446F75" w:rsidP="00F42946">
      <w:pPr>
        <w:spacing w:after="0" w:line="480" w:lineRule="auto"/>
        <w:ind w:firstLine="1134"/>
        <w:jc w:val="both"/>
        <w:rPr>
          <w:rFonts w:ascii="Times New Roman" w:hAnsi="Times New Roman"/>
          <w:sz w:val="24"/>
          <w:lang w:val="en-GB"/>
        </w:rPr>
      </w:pPr>
    </w:p>
    <w:p w14:paraId="04435A6E" w14:textId="271479C9" w:rsidR="00D1326D" w:rsidRPr="00BA5A45" w:rsidRDefault="007613D3"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lastRenderedPageBreak/>
        <w:t xml:space="preserve">In </w:t>
      </w:r>
      <w:r w:rsidR="001D5A57" w:rsidRPr="00BA5A45">
        <w:rPr>
          <w:rFonts w:ascii="Times New Roman" w:hAnsi="Times New Roman"/>
          <w:sz w:val="24"/>
          <w:lang w:val="en-GB"/>
        </w:rPr>
        <w:t>motivating the appeal</w:t>
      </w:r>
      <w:r w:rsidR="00053A12" w:rsidRPr="00BA5A45">
        <w:rPr>
          <w:rFonts w:ascii="Times New Roman" w:hAnsi="Times New Roman"/>
          <w:sz w:val="24"/>
          <w:lang w:val="en-GB"/>
        </w:rPr>
        <w:t xml:space="preserve"> in respect of the amended</w:t>
      </w:r>
      <w:r w:rsidRPr="00BA5A45">
        <w:rPr>
          <w:rFonts w:ascii="Times New Roman" w:hAnsi="Times New Roman"/>
          <w:sz w:val="24"/>
          <w:lang w:val="en-GB"/>
        </w:rPr>
        <w:t xml:space="preserve"> grounds of appeal, </w:t>
      </w:r>
      <w:r w:rsidR="00EE1839" w:rsidRPr="00C07557">
        <w:rPr>
          <w:rFonts w:ascii="Times New Roman" w:hAnsi="Times New Roman"/>
          <w:i/>
          <w:sz w:val="24"/>
          <w:lang w:val="en-GB"/>
        </w:rPr>
        <w:t>Mr</w:t>
      </w:r>
      <w:r w:rsidR="00053A12" w:rsidRPr="00BA5A45">
        <w:rPr>
          <w:rFonts w:ascii="Times New Roman" w:hAnsi="Times New Roman"/>
          <w:sz w:val="24"/>
          <w:lang w:val="en-GB"/>
        </w:rPr>
        <w:t xml:space="preserve"> </w:t>
      </w:r>
      <w:r w:rsidR="00053A12" w:rsidRPr="00BA5A45">
        <w:rPr>
          <w:rFonts w:ascii="Times New Roman" w:hAnsi="Times New Roman"/>
          <w:i/>
          <w:sz w:val="24"/>
          <w:lang w:val="en-GB"/>
        </w:rPr>
        <w:t>Girach</w:t>
      </w:r>
      <w:r w:rsidRPr="00BA5A45">
        <w:rPr>
          <w:rFonts w:ascii="Times New Roman" w:hAnsi="Times New Roman"/>
          <w:sz w:val="24"/>
          <w:lang w:val="en-GB"/>
        </w:rPr>
        <w:t xml:space="preserve"> </w:t>
      </w:r>
      <w:r w:rsidR="00053A12" w:rsidRPr="00BA5A45">
        <w:rPr>
          <w:rFonts w:ascii="Times New Roman" w:hAnsi="Times New Roman"/>
          <w:sz w:val="24"/>
          <w:lang w:val="en-GB"/>
        </w:rPr>
        <w:t>submitted</w:t>
      </w:r>
      <w:r w:rsidRPr="00BA5A45">
        <w:rPr>
          <w:rFonts w:ascii="Times New Roman" w:hAnsi="Times New Roman"/>
          <w:sz w:val="24"/>
          <w:lang w:val="en-GB"/>
        </w:rPr>
        <w:t xml:space="preserve"> that</w:t>
      </w:r>
      <w:r w:rsidR="00053A12" w:rsidRPr="00BA5A45">
        <w:rPr>
          <w:rFonts w:ascii="Times New Roman" w:hAnsi="Times New Roman"/>
          <w:sz w:val="24"/>
          <w:lang w:val="en-GB"/>
        </w:rPr>
        <w:t xml:space="preserve"> he had three principal points to elaborate on. </w:t>
      </w:r>
      <w:r w:rsidR="001A6874" w:rsidRPr="00BA5A45">
        <w:rPr>
          <w:rFonts w:ascii="Times New Roman" w:hAnsi="Times New Roman"/>
          <w:sz w:val="24"/>
          <w:lang w:val="en-GB"/>
        </w:rPr>
        <w:t xml:space="preserve">Firstly, </w:t>
      </w:r>
      <w:r w:rsidR="00F93CEB" w:rsidRPr="00BA5A45">
        <w:rPr>
          <w:rFonts w:ascii="Times New Roman" w:hAnsi="Times New Roman"/>
          <w:sz w:val="24"/>
          <w:lang w:val="en-GB"/>
        </w:rPr>
        <w:t>he</w:t>
      </w:r>
      <w:r w:rsidR="00F93CEB" w:rsidRPr="00BA5A45">
        <w:rPr>
          <w:rFonts w:ascii="Times New Roman" w:hAnsi="Times New Roman"/>
          <w:i/>
          <w:sz w:val="24"/>
          <w:lang w:val="en-GB"/>
        </w:rPr>
        <w:t xml:space="preserve"> </w:t>
      </w:r>
      <w:r w:rsidR="003F20B6" w:rsidRPr="00BA5A45">
        <w:rPr>
          <w:rFonts w:ascii="Times New Roman" w:hAnsi="Times New Roman"/>
          <w:sz w:val="24"/>
          <w:lang w:val="en-GB"/>
        </w:rPr>
        <w:t>submitted</w:t>
      </w:r>
      <w:r w:rsidR="00217E5F" w:rsidRPr="00BA5A45">
        <w:rPr>
          <w:rFonts w:ascii="Times New Roman" w:hAnsi="Times New Roman"/>
          <w:sz w:val="24"/>
          <w:lang w:val="en-GB"/>
        </w:rPr>
        <w:t xml:space="preserve"> that the Tribunal</w:t>
      </w:r>
      <w:r w:rsidR="00053A12" w:rsidRPr="00BA5A45">
        <w:rPr>
          <w:rFonts w:ascii="Times New Roman" w:hAnsi="Times New Roman"/>
          <w:sz w:val="24"/>
          <w:lang w:val="en-GB"/>
        </w:rPr>
        <w:t xml:space="preserve"> erred by making a finding that there was a</w:t>
      </w:r>
      <w:r w:rsidR="00D1326D" w:rsidRPr="00BA5A45">
        <w:rPr>
          <w:rFonts w:ascii="Times New Roman" w:hAnsi="Times New Roman"/>
          <w:sz w:val="24"/>
          <w:lang w:val="en-GB"/>
        </w:rPr>
        <w:t>n</w:t>
      </w:r>
      <w:r w:rsidR="00053A12" w:rsidRPr="00BA5A45">
        <w:rPr>
          <w:rFonts w:ascii="Times New Roman" w:hAnsi="Times New Roman"/>
          <w:sz w:val="24"/>
          <w:lang w:val="en-GB"/>
        </w:rPr>
        <w:t xml:space="preserve"> </w:t>
      </w:r>
      <w:r w:rsidR="00F93CEB" w:rsidRPr="00BA5A45">
        <w:rPr>
          <w:rFonts w:ascii="Times New Roman" w:hAnsi="Times New Roman"/>
          <w:sz w:val="24"/>
          <w:lang w:val="en-GB"/>
        </w:rPr>
        <w:t>attorney</w:t>
      </w:r>
      <w:r w:rsidR="00D1326D" w:rsidRPr="00BA5A45">
        <w:rPr>
          <w:rFonts w:ascii="Times New Roman" w:hAnsi="Times New Roman"/>
          <w:sz w:val="24"/>
          <w:lang w:val="en-GB"/>
        </w:rPr>
        <w:t>-</w:t>
      </w:r>
      <w:r w:rsidR="00053A12" w:rsidRPr="00BA5A45">
        <w:rPr>
          <w:rFonts w:ascii="Times New Roman" w:hAnsi="Times New Roman"/>
          <w:sz w:val="24"/>
          <w:lang w:val="en-GB"/>
        </w:rPr>
        <w:t>clien</w:t>
      </w:r>
      <w:r w:rsidR="00D1326D" w:rsidRPr="00BA5A45">
        <w:rPr>
          <w:rFonts w:ascii="Times New Roman" w:hAnsi="Times New Roman"/>
          <w:sz w:val="24"/>
          <w:lang w:val="en-GB"/>
        </w:rPr>
        <w:t>t</w:t>
      </w:r>
      <w:r w:rsidR="00053A12" w:rsidRPr="00BA5A45">
        <w:rPr>
          <w:rFonts w:ascii="Times New Roman" w:hAnsi="Times New Roman"/>
          <w:sz w:val="24"/>
          <w:lang w:val="en-GB"/>
        </w:rPr>
        <w:t xml:space="preserve"> relationship between the appellant and the complainants. </w:t>
      </w:r>
      <w:r w:rsidR="001A6874" w:rsidRPr="00BA5A45">
        <w:rPr>
          <w:rFonts w:ascii="Times New Roman" w:hAnsi="Times New Roman"/>
          <w:sz w:val="24"/>
          <w:lang w:val="en-GB"/>
        </w:rPr>
        <w:t xml:space="preserve">He submitted that the complainants knew at all times that Manokore </w:t>
      </w:r>
      <w:r w:rsidR="00927EB5" w:rsidRPr="00BA5A45">
        <w:rPr>
          <w:rFonts w:ascii="Times New Roman" w:hAnsi="Times New Roman"/>
          <w:sz w:val="24"/>
          <w:lang w:val="en-GB"/>
        </w:rPr>
        <w:t xml:space="preserve">&amp; </w:t>
      </w:r>
      <w:r w:rsidR="006E4A04" w:rsidRPr="00BA5A45">
        <w:rPr>
          <w:rFonts w:ascii="Times New Roman" w:hAnsi="Times New Roman"/>
          <w:sz w:val="24"/>
          <w:lang w:val="en-GB"/>
        </w:rPr>
        <w:t>Partners were</w:t>
      </w:r>
      <w:r w:rsidR="001A6874" w:rsidRPr="00BA5A45">
        <w:rPr>
          <w:rFonts w:ascii="Times New Roman" w:hAnsi="Times New Roman"/>
          <w:sz w:val="24"/>
          <w:lang w:val="en-GB"/>
        </w:rPr>
        <w:t xml:space="preserve"> not their lawyers but were acting on </w:t>
      </w:r>
      <w:r w:rsidR="00D0069F" w:rsidRPr="00BA5A45">
        <w:rPr>
          <w:rFonts w:ascii="Times New Roman" w:hAnsi="Times New Roman"/>
          <w:sz w:val="24"/>
          <w:lang w:val="en-GB"/>
        </w:rPr>
        <w:t>behalf of NFOL</w:t>
      </w:r>
      <w:r w:rsidR="001A6874" w:rsidRPr="00BA5A45">
        <w:rPr>
          <w:rFonts w:ascii="Times New Roman" w:hAnsi="Times New Roman"/>
          <w:sz w:val="24"/>
          <w:lang w:val="en-GB"/>
        </w:rPr>
        <w:t xml:space="preserve">. He also submitted that the complainants had not appointed the appellant to </w:t>
      </w:r>
      <w:r w:rsidR="00F93CEB" w:rsidRPr="00BA5A45">
        <w:rPr>
          <w:rFonts w:ascii="Times New Roman" w:hAnsi="Times New Roman"/>
          <w:sz w:val="24"/>
          <w:lang w:val="en-GB"/>
        </w:rPr>
        <w:t xml:space="preserve">act </w:t>
      </w:r>
      <w:r w:rsidR="001A6874" w:rsidRPr="00BA5A45">
        <w:rPr>
          <w:rFonts w:ascii="Times New Roman" w:hAnsi="Times New Roman"/>
          <w:sz w:val="24"/>
          <w:lang w:val="en-GB"/>
        </w:rPr>
        <w:t xml:space="preserve">as their attorney. He added that the fact that the complainants appointed their own legal practitioners at the time was an indication that they did not consider that an </w:t>
      </w:r>
      <w:r w:rsidR="00D1326D" w:rsidRPr="00BA5A45">
        <w:rPr>
          <w:rFonts w:ascii="Times New Roman" w:hAnsi="Times New Roman"/>
          <w:sz w:val="24"/>
          <w:lang w:val="en-GB"/>
        </w:rPr>
        <w:t>attorney-client relationship had been formed with the appellant.</w:t>
      </w:r>
    </w:p>
    <w:p w14:paraId="1732BC80" w14:textId="77777777" w:rsidR="00D81197" w:rsidRPr="00BA5A45" w:rsidRDefault="00D81197" w:rsidP="00F42946">
      <w:pPr>
        <w:spacing w:after="0" w:line="480" w:lineRule="auto"/>
        <w:ind w:firstLine="360"/>
        <w:jc w:val="both"/>
        <w:rPr>
          <w:rFonts w:ascii="Times New Roman" w:hAnsi="Times New Roman"/>
          <w:sz w:val="24"/>
          <w:lang w:val="en-GB"/>
        </w:rPr>
      </w:pPr>
    </w:p>
    <w:p w14:paraId="006A49DB" w14:textId="0A699562" w:rsidR="00273420" w:rsidRPr="00BA5A45" w:rsidRDefault="008E309D"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 xml:space="preserve">The second submission by </w:t>
      </w:r>
      <w:r w:rsidR="00EE1839" w:rsidRPr="00C07557">
        <w:rPr>
          <w:rFonts w:ascii="Times New Roman" w:hAnsi="Times New Roman"/>
          <w:i/>
          <w:sz w:val="24"/>
          <w:lang w:val="en-GB"/>
        </w:rPr>
        <w:t>Mr</w:t>
      </w:r>
      <w:r w:rsidRPr="00BA5A45">
        <w:rPr>
          <w:rFonts w:ascii="Times New Roman" w:hAnsi="Times New Roman"/>
          <w:sz w:val="24"/>
          <w:lang w:val="en-GB"/>
        </w:rPr>
        <w:t xml:space="preserve"> </w:t>
      </w:r>
      <w:r w:rsidRPr="00BA5A45">
        <w:rPr>
          <w:rFonts w:ascii="Times New Roman" w:hAnsi="Times New Roman"/>
          <w:i/>
          <w:sz w:val="24"/>
          <w:lang w:val="en-GB"/>
        </w:rPr>
        <w:t>Girach</w:t>
      </w:r>
      <w:r w:rsidR="00AF788E" w:rsidRPr="00BA5A45">
        <w:rPr>
          <w:rFonts w:ascii="Times New Roman" w:hAnsi="Times New Roman"/>
          <w:sz w:val="24"/>
          <w:lang w:val="en-GB"/>
        </w:rPr>
        <w:t xml:space="preserve"> was that the Tribunal</w:t>
      </w:r>
      <w:r w:rsidRPr="00BA5A45">
        <w:rPr>
          <w:rFonts w:ascii="Times New Roman" w:hAnsi="Times New Roman"/>
          <w:sz w:val="24"/>
          <w:lang w:val="en-GB"/>
        </w:rPr>
        <w:t xml:space="preserve"> erred by </w:t>
      </w:r>
      <w:r w:rsidR="00053A12" w:rsidRPr="00BA5A45">
        <w:rPr>
          <w:rFonts w:ascii="Times New Roman" w:hAnsi="Times New Roman"/>
          <w:sz w:val="24"/>
          <w:lang w:val="en-GB"/>
        </w:rPr>
        <w:t>failing to take into ac</w:t>
      </w:r>
      <w:r w:rsidR="00F93CEB" w:rsidRPr="00BA5A45">
        <w:rPr>
          <w:rFonts w:ascii="Times New Roman" w:hAnsi="Times New Roman"/>
          <w:sz w:val="24"/>
          <w:lang w:val="en-GB"/>
        </w:rPr>
        <w:t>count the express terms of the power of a</w:t>
      </w:r>
      <w:r w:rsidR="00053A12" w:rsidRPr="00BA5A45">
        <w:rPr>
          <w:rFonts w:ascii="Times New Roman" w:hAnsi="Times New Roman"/>
          <w:sz w:val="24"/>
          <w:lang w:val="en-GB"/>
        </w:rPr>
        <w:t xml:space="preserve">ttorney which authorised the appellant to sell the complainants’ immovable property. </w:t>
      </w:r>
      <w:r w:rsidRPr="00BA5A45">
        <w:rPr>
          <w:rFonts w:ascii="Times New Roman" w:hAnsi="Times New Roman"/>
          <w:sz w:val="24"/>
          <w:lang w:val="en-GB"/>
        </w:rPr>
        <w:t xml:space="preserve">He argued that </w:t>
      </w:r>
      <w:r w:rsidR="00F93CEB" w:rsidRPr="00BA5A45">
        <w:rPr>
          <w:rFonts w:ascii="Times New Roman" w:hAnsi="Times New Roman"/>
          <w:sz w:val="24"/>
          <w:lang w:val="en-GB"/>
        </w:rPr>
        <w:t>the power of a</w:t>
      </w:r>
      <w:r w:rsidR="00E26A89" w:rsidRPr="00BA5A45">
        <w:rPr>
          <w:rFonts w:ascii="Times New Roman" w:hAnsi="Times New Roman"/>
          <w:sz w:val="24"/>
          <w:lang w:val="en-GB"/>
        </w:rPr>
        <w:t xml:space="preserve">ttorney was sufficient for the purposes of securing transfer for the property. </w:t>
      </w:r>
      <w:r w:rsidR="007F20C4" w:rsidRPr="00BA5A45">
        <w:rPr>
          <w:rFonts w:ascii="Times New Roman" w:hAnsi="Times New Roman"/>
          <w:sz w:val="24"/>
          <w:lang w:val="en-GB"/>
        </w:rPr>
        <w:t>Counsel also submitted</w:t>
      </w:r>
      <w:r w:rsidR="00E26A89" w:rsidRPr="00BA5A45">
        <w:rPr>
          <w:rFonts w:ascii="Times New Roman" w:hAnsi="Times New Roman"/>
          <w:sz w:val="24"/>
          <w:lang w:val="en-GB"/>
        </w:rPr>
        <w:t xml:space="preserve"> that the fact that the Regis</w:t>
      </w:r>
      <w:r w:rsidR="00F93CEB" w:rsidRPr="00BA5A45">
        <w:rPr>
          <w:rFonts w:ascii="Times New Roman" w:hAnsi="Times New Roman"/>
          <w:sz w:val="24"/>
          <w:lang w:val="en-GB"/>
        </w:rPr>
        <w:t>trar of Deeds had accepted the power of a</w:t>
      </w:r>
      <w:r w:rsidR="00E26A89" w:rsidRPr="00BA5A45">
        <w:rPr>
          <w:rFonts w:ascii="Times New Roman" w:hAnsi="Times New Roman"/>
          <w:sz w:val="24"/>
          <w:lang w:val="en-GB"/>
        </w:rPr>
        <w:t>ttorney without raising any iss</w:t>
      </w:r>
      <w:r w:rsidR="00F93CEB" w:rsidRPr="00BA5A45">
        <w:rPr>
          <w:rFonts w:ascii="Times New Roman" w:hAnsi="Times New Roman"/>
          <w:sz w:val="24"/>
          <w:lang w:val="en-GB"/>
        </w:rPr>
        <w:t>ues was an indication that the power of a</w:t>
      </w:r>
      <w:r w:rsidR="00E26A89" w:rsidRPr="00BA5A45">
        <w:rPr>
          <w:rFonts w:ascii="Times New Roman" w:hAnsi="Times New Roman"/>
          <w:sz w:val="24"/>
          <w:lang w:val="en-GB"/>
        </w:rPr>
        <w:t xml:space="preserve">ttorney was legally </w:t>
      </w:r>
      <w:r w:rsidR="005E0B06" w:rsidRPr="00BA5A45">
        <w:rPr>
          <w:rFonts w:ascii="Times New Roman" w:hAnsi="Times New Roman"/>
          <w:sz w:val="24"/>
          <w:lang w:val="en-GB"/>
        </w:rPr>
        <w:t>valid. He</w:t>
      </w:r>
      <w:r w:rsidR="00E26A89" w:rsidRPr="00BA5A45">
        <w:rPr>
          <w:rFonts w:ascii="Times New Roman" w:hAnsi="Times New Roman"/>
          <w:sz w:val="24"/>
          <w:lang w:val="en-GB"/>
        </w:rPr>
        <w:t xml:space="preserve"> further argued that </w:t>
      </w:r>
      <w:r w:rsidRPr="00BA5A45">
        <w:rPr>
          <w:rFonts w:ascii="Times New Roman" w:hAnsi="Times New Roman"/>
          <w:sz w:val="24"/>
          <w:lang w:val="en-GB"/>
        </w:rPr>
        <w:t xml:space="preserve">the charge against the appellant was that he had sold the complainants’ property without consent but the evidence submitted showed </w:t>
      </w:r>
      <w:r w:rsidR="00EE176B" w:rsidRPr="00BA5A45">
        <w:rPr>
          <w:rFonts w:ascii="Times New Roman" w:hAnsi="Times New Roman"/>
          <w:sz w:val="24"/>
          <w:lang w:val="en-GB"/>
        </w:rPr>
        <w:t xml:space="preserve">that the complainants had consented to the sale. He referred to </w:t>
      </w:r>
      <w:r w:rsidR="00F93CEB" w:rsidRPr="00BA5A45">
        <w:rPr>
          <w:rFonts w:ascii="Times New Roman" w:hAnsi="Times New Roman"/>
          <w:sz w:val="24"/>
          <w:lang w:val="en-GB"/>
        </w:rPr>
        <w:t xml:space="preserve">the letter dated 11 February </w:t>
      </w:r>
      <w:r w:rsidR="00E26A89" w:rsidRPr="00BA5A45">
        <w:rPr>
          <w:rFonts w:ascii="Times New Roman" w:hAnsi="Times New Roman"/>
          <w:sz w:val="24"/>
          <w:lang w:val="en-GB"/>
        </w:rPr>
        <w:t>2014, written</w:t>
      </w:r>
      <w:r w:rsidR="0088543B" w:rsidRPr="00BA5A45">
        <w:rPr>
          <w:rFonts w:ascii="Times New Roman" w:hAnsi="Times New Roman"/>
          <w:sz w:val="24"/>
          <w:lang w:val="en-GB"/>
        </w:rPr>
        <w:t xml:space="preserve"> </w:t>
      </w:r>
      <w:r w:rsidR="00D0069F" w:rsidRPr="00BA5A45">
        <w:rPr>
          <w:rFonts w:ascii="Times New Roman" w:hAnsi="Times New Roman"/>
          <w:sz w:val="24"/>
          <w:lang w:val="en-GB"/>
        </w:rPr>
        <w:t xml:space="preserve">to </w:t>
      </w:r>
      <w:r w:rsidR="0088543B" w:rsidRPr="00BA5A45">
        <w:rPr>
          <w:rFonts w:ascii="Times New Roman" w:hAnsi="Times New Roman"/>
          <w:sz w:val="24"/>
          <w:lang w:val="en-GB"/>
        </w:rPr>
        <w:t>Perkins</w:t>
      </w:r>
      <w:r w:rsidR="00E26A89" w:rsidRPr="00BA5A45">
        <w:rPr>
          <w:rFonts w:ascii="Times New Roman" w:hAnsi="Times New Roman"/>
          <w:sz w:val="24"/>
          <w:lang w:val="en-GB"/>
        </w:rPr>
        <w:t xml:space="preserve">, wherein </w:t>
      </w:r>
      <w:r w:rsidR="0089396C" w:rsidRPr="00BA5A45">
        <w:rPr>
          <w:rFonts w:ascii="Times New Roman" w:hAnsi="Times New Roman"/>
          <w:sz w:val="24"/>
          <w:lang w:val="en-GB"/>
        </w:rPr>
        <w:t>he</w:t>
      </w:r>
      <w:r w:rsidR="00D0069F" w:rsidRPr="00BA5A45">
        <w:rPr>
          <w:rFonts w:ascii="Times New Roman" w:hAnsi="Times New Roman"/>
          <w:sz w:val="24"/>
          <w:lang w:val="en-GB"/>
        </w:rPr>
        <w:t xml:space="preserve"> is alleged</w:t>
      </w:r>
      <w:r w:rsidR="00E26A89" w:rsidRPr="00BA5A45">
        <w:rPr>
          <w:rFonts w:ascii="Times New Roman" w:hAnsi="Times New Roman"/>
          <w:sz w:val="24"/>
          <w:lang w:val="en-GB"/>
        </w:rPr>
        <w:t xml:space="preserve"> to have consented to the sale of the </w:t>
      </w:r>
      <w:r w:rsidR="006E4A04" w:rsidRPr="00BA5A45">
        <w:rPr>
          <w:rFonts w:ascii="Times New Roman" w:hAnsi="Times New Roman"/>
          <w:sz w:val="24"/>
          <w:lang w:val="en-GB"/>
        </w:rPr>
        <w:t>property. He</w:t>
      </w:r>
      <w:r w:rsidR="00524E9F" w:rsidRPr="00BA5A45">
        <w:rPr>
          <w:rFonts w:ascii="Times New Roman" w:hAnsi="Times New Roman"/>
          <w:sz w:val="24"/>
          <w:lang w:val="en-GB"/>
        </w:rPr>
        <w:t xml:space="preserve"> further submitted that once there was </w:t>
      </w:r>
      <w:r w:rsidR="00196B71" w:rsidRPr="00BA5A45">
        <w:rPr>
          <w:rFonts w:ascii="Times New Roman" w:hAnsi="Times New Roman"/>
          <w:sz w:val="24"/>
          <w:lang w:val="en-GB"/>
        </w:rPr>
        <w:t>consent</w:t>
      </w:r>
      <w:r w:rsidR="00524E9F" w:rsidRPr="00BA5A45">
        <w:rPr>
          <w:rFonts w:ascii="Times New Roman" w:hAnsi="Times New Roman"/>
          <w:sz w:val="24"/>
          <w:lang w:val="en-GB"/>
        </w:rPr>
        <w:t>, there was no need for a court order before selling the property.</w:t>
      </w:r>
    </w:p>
    <w:p w14:paraId="10764B47" w14:textId="77777777" w:rsidR="00D81197" w:rsidRPr="00BA5A45" w:rsidRDefault="00D81197" w:rsidP="00F42946">
      <w:pPr>
        <w:spacing w:after="0" w:line="480" w:lineRule="auto"/>
        <w:ind w:firstLine="720"/>
        <w:jc w:val="both"/>
        <w:rPr>
          <w:rFonts w:ascii="Times New Roman" w:hAnsi="Times New Roman"/>
          <w:sz w:val="24"/>
          <w:lang w:val="en-GB"/>
        </w:rPr>
      </w:pPr>
    </w:p>
    <w:p w14:paraId="269148AD" w14:textId="1B7DD06E" w:rsidR="00A42AFD" w:rsidRPr="00BA5A45" w:rsidRDefault="00A42AFD"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 xml:space="preserve">On the </w:t>
      </w:r>
      <w:r w:rsidR="00196B71" w:rsidRPr="00BA5A45">
        <w:rPr>
          <w:rFonts w:ascii="Times New Roman" w:hAnsi="Times New Roman"/>
          <w:sz w:val="24"/>
          <w:lang w:val="en-GB"/>
        </w:rPr>
        <w:t>appellant’s</w:t>
      </w:r>
      <w:r w:rsidRPr="00BA5A45">
        <w:rPr>
          <w:rFonts w:ascii="Times New Roman" w:hAnsi="Times New Roman"/>
          <w:sz w:val="24"/>
          <w:lang w:val="en-GB"/>
        </w:rPr>
        <w:t xml:space="preserve"> conduct of</w:t>
      </w:r>
      <w:r w:rsidR="00196B71" w:rsidRPr="00BA5A45">
        <w:rPr>
          <w:rFonts w:ascii="Times New Roman" w:hAnsi="Times New Roman"/>
          <w:sz w:val="24"/>
          <w:lang w:val="en-GB"/>
        </w:rPr>
        <w:t xml:space="preserve"> remitting the balance of the purchase pric</w:t>
      </w:r>
      <w:r w:rsidR="00D0069F" w:rsidRPr="00BA5A45">
        <w:rPr>
          <w:rFonts w:ascii="Times New Roman" w:hAnsi="Times New Roman"/>
          <w:sz w:val="24"/>
          <w:lang w:val="en-GB"/>
        </w:rPr>
        <w:t>e to NFOL</w:t>
      </w:r>
      <w:r w:rsidR="00196B71" w:rsidRPr="00BA5A45">
        <w:rPr>
          <w:rFonts w:ascii="Times New Roman" w:hAnsi="Times New Roman"/>
          <w:sz w:val="24"/>
          <w:lang w:val="en-GB"/>
        </w:rPr>
        <w:t>,</w:t>
      </w:r>
      <w:r w:rsidRPr="00BA5A45">
        <w:rPr>
          <w:rFonts w:ascii="Times New Roman" w:hAnsi="Times New Roman"/>
          <w:sz w:val="24"/>
          <w:lang w:val="en-GB"/>
        </w:rPr>
        <w:t xml:space="preserve"> Counsel</w:t>
      </w:r>
      <w:r w:rsidRPr="00BA5A45">
        <w:rPr>
          <w:rFonts w:ascii="Times New Roman" w:hAnsi="Times New Roman"/>
          <w:i/>
          <w:sz w:val="24"/>
          <w:lang w:val="en-GB"/>
        </w:rPr>
        <w:t xml:space="preserve"> </w:t>
      </w:r>
      <w:r w:rsidRPr="00BA5A45">
        <w:rPr>
          <w:rFonts w:ascii="Times New Roman" w:hAnsi="Times New Roman"/>
          <w:sz w:val="24"/>
          <w:lang w:val="en-GB"/>
        </w:rPr>
        <w:t>submitted that the appellant only transferred the</w:t>
      </w:r>
      <w:r w:rsidR="00D0069F" w:rsidRPr="00BA5A45">
        <w:rPr>
          <w:rFonts w:ascii="Times New Roman" w:hAnsi="Times New Roman"/>
          <w:sz w:val="24"/>
          <w:lang w:val="en-GB"/>
        </w:rPr>
        <w:t xml:space="preserve"> money to NFOL</w:t>
      </w:r>
      <w:r w:rsidRPr="00BA5A45">
        <w:rPr>
          <w:rFonts w:ascii="Times New Roman" w:hAnsi="Times New Roman"/>
          <w:sz w:val="24"/>
          <w:lang w:val="en-GB"/>
        </w:rPr>
        <w:t xml:space="preserve"> after t</w:t>
      </w:r>
      <w:r w:rsidR="00C37451">
        <w:rPr>
          <w:rFonts w:ascii="Times New Roman" w:hAnsi="Times New Roman"/>
          <w:sz w:val="24"/>
          <w:lang w:val="en-GB"/>
        </w:rPr>
        <w:t xml:space="preserve">he complainants </w:t>
      </w:r>
      <w:r w:rsidR="00C37451">
        <w:rPr>
          <w:rFonts w:ascii="Times New Roman" w:hAnsi="Times New Roman"/>
          <w:sz w:val="24"/>
          <w:lang w:val="en-GB"/>
        </w:rPr>
        <w:lastRenderedPageBreak/>
        <w:t xml:space="preserve">had refused to </w:t>
      </w:r>
      <w:r w:rsidR="00B31476">
        <w:rPr>
          <w:rFonts w:ascii="Times New Roman" w:hAnsi="Times New Roman"/>
          <w:sz w:val="24"/>
          <w:lang w:val="en-GB"/>
        </w:rPr>
        <w:t>disclose</w:t>
      </w:r>
      <w:r w:rsidRPr="00BA5A45">
        <w:rPr>
          <w:rFonts w:ascii="Times New Roman" w:hAnsi="Times New Roman"/>
          <w:sz w:val="24"/>
          <w:lang w:val="en-GB"/>
        </w:rPr>
        <w:t xml:space="preserve"> their banking details. He submitted that it was an error of judgment on the appellant’s part but such conduct was not dishonourable.</w:t>
      </w:r>
    </w:p>
    <w:p w14:paraId="25328EED" w14:textId="77777777" w:rsidR="00D81197" w:rsidRPr="00BA5A45" w:rsidRDefault="00D81197" w:rsidP="00F42946">
      <w:pPr>
        <w:spacing w:after="0" w:line="480" w:lineRule="auto"/>
        <w:ind w:firstLine="720"/>
        <w:jc w:val="both"/>
        <w:rPr>
          <w:rFonts w:ascii="Times New Roman" w:hAnsi="Times New Roman"/>
          <w:sz w:val="24"/>
          <w:lang w:val="en-GB"/>
        </w:rPr>
      </w:pPr>
    </w:p>
    <w:p w14:paraId="07D828E0" w14:textId="0F947D90" w:rsidR="008619CE" w:rsidRPr="00BA5A45" w:rsidRDefault="00464EC2" w:rsidP="00F42946">
      <w:pPr>
        <w:spacing w:after="0" w:line="480" w:lineRule="auto"/>
        <w:ind w:firstLine="1134"/>
        <w:jc w:val="both"/>
        <w:rPr>
          <w:rFonts w:ascii="Times New Roman" w:hAnsi="Times New Roman"/>
          <w:sz w:val="24"/>
          <w:lang w:val="en-GB"/>
        </w:rPr>
      </w:pPr>
      <w:r w:rsidRPr="00BA5A45">
        <w:rPr>
          <w:rFonts w:ascii="Times New Roman" w:hAnsi="Times New Roman"/>
          <w:i/>
          <w:iCs/>
          <w:sz w:val="24"/>
          <w:lang w:val="en-GB"/>
        </w:rPr>
        <w:t>Per contra</w:t>
      </w:r>
      <w:r w:rsidR="00D955D7" w:rsidRPr="00BA5A45">
        <w:rPr>
          <w:rFonts w:ascii="Times New Roman" w:hAnsi="Times New Roman"/>
          <w:i/>
          <w:iCs/>
          <w:sz w:val="24"/>
          <w:lang w:val="en-GB"/>
        </w:rPr>
        <w:t>,</w:t>
      </w:r>
      <w:r w:rsidRPr="00BA5A45">
        <w:rPr>
          <w:rFonts w:ascii="Times New Roman" w:hAnsi="Times New Roman"/>
          <w:sz w:val="24"/>
          <w:lang w:val="en-GB"/>
        </w:rPr>
        <w:t xml:space="preserve"> </w:t>
      </w:r>
      <w:r w:rsidR="00845578" w:rsidRPr="00BA5A45">
        <w:rPr>
          <w:rFonts w:ascii="Times New Roman" w:hAnsi="Times New Roman"/>
          <w:sz w:val="24"/>
          <w:lang w:val="en-GB"/>
        </w:rPr>
        <w:t>Mr</w:t>
      </w:r>
      <w:r w:rsidR="00845578" w:rsidRPr="00BA5A45">
        <w:rPr>
          <w:rFonts w:ascii="Times New Roman" w:hAnsi="Times New Roman"/>
          <w:i/>
          <w:sz w:val="24"/>
          <w:lang w:val="en-GB"/>
        </w:rPr>
        <w:t xml:space="preserve"> Gahadzikwa</w:t>
      </w:r>
      <w:r w:rsidR="00845578" w:rsidRPr="00BA5A45">
        <w:rPr>
          <w:rFonts w:ascii="Times New Roman" w:hAnsi="Times New Roman"/>
          <w:sz w:val="24"/>
          <w:lang w:val="en-GB"/>
        </w:rPr>
        <w:t xml:space="preserve"> for the respondent </w:t>
      </w:r>
      <w:r w:rsidRPr="00BA5A45">
        <w:rPr>
          <w:rFonts w:ascii="Times New Roman" w:hAnsi="Times New Roman"/>
          <w:sz w:val="24"/>
          <w:lang w:val="en-GB"/>
        </w:rPr>
        <w:t>submitted</w:t>
      </w:r>
      <w:r w:rsidR="00845578" w:rsidRPr="00BA5A45">
        <w:rPr>
          <w:rFonts w:ascii="Times New Roman" w:hAnsi="Times New Roman"/>
          <w:sz w:val="24"/>
          <w:lang w:val="en-GB"/>
        </w:rPr>
        <w:t xml:space="preserve"> </w:t>
      </w:r>
      <w:r w:rsidR="0045314E" w:rsidRPr="00BA5A45">
        <w:rPr>
          <w:rFonts w:ascii="Times New Roman" w:hAnsi="Times New Roman"/>
          <w:sz w:val="24"/>
          <w:lang w:val="en-GB"/>
        </w:rPr>
        <w:t xml:space="preserve">that the </w:t>
      </w:r>
      <w:r w:rsidR="001D5A57" w:rsidRPr="00BA5A45">
        <w:rPr>
          <w:rFonts w:ascii="Times New Roman" w:hAnsi="Times New Roman"/>
          <w:sz w:val="24"/>
          <w:lang w:val="en-GB"/>
        </w:rPr>
        <w:t>T</w:t>
      </w:r>
      <w:r w:rsidR="0045314E" w:rsidRPr="00BA5A45">
        <w:rPr>
          <w:rFonts w:ascii="Times New Roman" w:hAnsi="Times New Roman"/>
          <w:sz w:val="24"/>
          <w:lang w:val="en-GB"/>
        </w:rPr>
        <w:t>ribunal</w:t>
      </w:r>
      <w:r w:rsidR="00845578" w:rsidRPr="00BA5A45">
        <w:rPr>
          <w:rFonts w:ascii="Times New Roman" w:hAnsi="Times New Roman"/>
          <w:sz w:val="24"/>
          <w:lang w:val="en-GB"/>
        </w:rPr>
        <w:t xml:space="preserve"> was correct in finding the appellant guilty of unprofessional conduct. He submitted that the appellant was guilty becaus</w:t>
      </w:r>
      <w:r w:rsidR="001E5F7C" w:rsidRPr="00BA5A45">
        <w:rPr>
          <w:rFonts w:ascii="Times New Roman" w:hAnsi="Times New Roman"/>
          <w:sz w:val="24"/>
          <w:lang w:val="en-GB"/>
        </w:rPr>
        <w:t>e he acted for both NFOL</w:t>
      </w:r>
      <w:r w:rsidR="00845578" w:rsidRPr="00BA5A45">
        <w:rPr>
          <w:rFonts w:ascii="Times New Roman" w:hAnsi="Times New Roman"/>
          <w:sz w:val="24"/>
          <w:lang w:val="en-GB"/>
        </w:rPr>
        <w:t xml:space="preserve"> and the complainants in circumstances where their interest</w:t>
      </w:r>
      <w:r w:rsidR="0045314E" w:rsidRPr="00BA5A45">
        <w:rPr>
          <w:rFonts w:ascii="Times New Roman" w:hAnsi="Times New Roman"/>
          <w:sz w:val="24"/>
          <w:lang w:val="en-GB"/>
        </w:rPr>
        <w:t>s</w:t>
      </w:r>
      <w:r w:rsidR="00845578" w:rsidRPr="00BA5A45">
        <w:rPr>
          <w:rFonts w:ascii="Times New Roman" w:hAnsi="Times New Roman"/>
          <w:sz w:val="24"/>
          <w:lang w:val="en-GB"/>
        </w:rPr>
        <w:t xml:space="preserve"> were conflicted</w:t>
      </w:r>
      <w:r w:rsidR="008619CE" w:rsidRPr="00BA5A45">
        <w:rPr>
          <w:rFonts w:ascii="Times New Roman" w:hAnsi="Times New Roman"/>
          <w:sz w:val="24"/>
          <w:lang w:val="en-GB"/>
        </w:rPr>
        <w:t xml:space="preserve">. Counsel </w:t>
      </w:r>
      <w:r w:rsidR="001D5A57" w:rsidRPr="00BA5A45">
        <w:rPr>
          <w:rFonts w:ascii="Times New Roman" w:hAnsi="Times New Roman"/>
          <w:sz w:val="24"/>
          <w:lang w:val="en-GB"/>
        </w:rPr>
        <w:t xml:space="preserve">submitted </w:t>
      </w:r>
      <w:r w:rsidR="008619CE" w:rsidRPr="00BA5A45">
        <w:rPr>
          <w:rFonts w:ascii="Times New Roman" w:hAnsi="Times New Roman"/>
          <w:sz w:val="24"/>
          <w:lang w:val="en-GB"/>
        </w:rPr>
        <w:t>t</w:t>
      </w:r>
      <w:r w:rsidR="0045314E" w:rsidRPr="00BA5A45">
        <w:rPr>
          <w:rFonts w:ascii="Times New Roman" w:hAnsi="Times New Roman"/>
          <w:sz w:val="24"/>
          <w:lang w:val="en-GB"/>
        </w:rPr>
        <w:t xml:space="preserve">hat the finding by the </w:t>
      </w:r>
      <w:r w:rsidR="001D5A57" w:rsidRPr="00BA5A45">
        <w:rPr>
          <w:rFonts w:ascii="Times New Roman" w:hAnsi="Times New Roman"/>
          <w:sz w:val="24"/>
          <w:lang w:val="en-GB"/>
        </w:rPr>
        <w:t>T</w:t>
      </w:r>
      <w:r w:rsidR="0045314E" w:rsidRPr="00BA5A45">
        <w:rPr>
          <w:rFonts w:ascii="Times New Roman" w:hAnsi="Times New Roman"/>
          <w:sz w:val="24"/>
          <w:lang w:val="en-GB"/>
        </w:rPr>
        <w:t>ribunal</w:t>
      </w:r>
      <w:r w:rsidR="008619CE" w:rsidRPr="00BA5A45">
        <w:rPr>
          <w:rFonts w:ascii="Times New Roman" w:hAnsi="Times New Roman"/>
          <w:sz w:val="24"/>
          <w:lang w:val="en-GB"/>
        </w:rPr>
        <w:t xml:space="preserve"> that there was an attorney</w:t>
      </w:r>
      <w:r w:rsidR="001D5A57" w:rsidRPr="00BA5A45">
        <w:rPr>
          <w:rFonts w:ascii="Times New Roman" w:hAnsi="Times New Roman"/>
          <w:sz w:val="24"/>
          <w:lang w:val="en-GB"/>
        </w:rPr>
        <w:t>-</w:t>
      </w:r>
      <w:r w:rsidR="008619CE" w:rsidRPr="00BA5A45">
        <w:rPr>
          <w:rFonts w:ascii="Times New Roman" w:hAnsi="Times New Roman"/>
          <w:sz w:val="24"/>
          <w:lang w:val="en-GB"/>
        </w:rPr>
        <w:t>client relationship between the appellant and the complainants was well grounded. This was because the mandate given to the appellant’s firm to act on behalf o</w:t>
      </w:r>
      <w:r w:rsidR="00F93CEB" w:rsidRPr="00BA5A45">
        <w:rPr>
          <w:rFonts w:ascii="Times New Roman" w:hAnsi="Times New Roman"/>
          <w:sz w:val="24"/>
          <w:lang w:val="en-GB"/>
        </w:rPr>
        <w:t>f the complainants through the power of a</w:t>
      </w:r>
      <w:r w:rsidR="008619CE" w:rsidRPr="00BA5A45">
        <w:rPr>
          <w:rFonts w:ascii="Times New Roman" w:hAnsi="Times New Roman"/>
          <w:sz w:val="24"/>
          <w:lang w:val="en-GB"/>
        </w:rPr>
        <w:t xml:space="preserve">ttorney was akin to the establishment of an attorney-client relationship. In addition, </w:t>
      </w:r>
      <w:r w:rsidR="001D5A57" w:rsidRPr="00BA5A45">
        <w:rPr>
          <w:rFonts w:ascii="Times New Roman" w:hAnsi="Times New Roman"/>
          <w:sz w:val="24"/>
          <w:lang w:val="en-GB"/>
        </w:rPr>
        <w:t>counsel</w:t>
      </w:r>
      <w:r w:rsidR="008619CE" w:rsidRPr="00BA5A45">
        <w:rPr>
          <w:rFonts w:ascii="Times New Roman" w:hAnsi="Times New Roman"/>
          <w:i/>
          <w:sz w:val="24"/>
          <w:lang w:val="en-GB"/>
        </w:rPr>
        <w:t xml:space="preserve"> </w:t>
      </w:r>
      <w:r w:rsidR="008619CE" w:rsidRPr="00BA5A45">
        <w:rPr>
          <w:rFonts w:ascii="Times New Roman" w:hAnsi="Times New Roman"/>
          <w:sz w:val="24"/>
          <w:lang w:val="en-GB"/>
        </w:rPr>
        <w:t xml:space="preserve">submitted that where a legal practitioner is appointed to act on behalf of </w:t>
      </w:r>
      <w:r w:rsidR="005E0B06" w:rsidRPr="00BA5A45">
        <w:rPr>
          <w:rFonts w:ascii="Times New Roman" w:hAnsi="Times New Roman"/>
          <w:sz w:val="24"/>
          <w:lang w:val="en-GB"/>
        </w:rPr>
        <w:t>someone, they</w:t>
      </w:r>
      <w:r w:rsidR="008619CE" w:rsidRPr="00BA5A45">
        <w:rPr>
          <w:rFonts w:ascii="Times New Roman" w:hAnsi="Times New Roman"/>
          <w:sz w:val="24"/>
          <w:lang w:val="en-GB"/>
        </w:rPr>
        <w:t xml:space="preserve"> have to act in favour of the principal. Thus</w:t>
      </w:r>
      <w:r w:rsidR="00EE1839" w:rsidRPr="00BA5A45">
        <w:rPr>
          <w:rFonts w:ascii="Times New Roman" w:hAnsi="Times New Roman"/>
          <w:sz w:val="24"/>
          <w:lang w:val="en-GB"/>
        </w:rPr>
        <w:t>,</w:t>
      </w:r>
      <w:r w:rsidR="008619CE" w:rsidRPr="00BA5A45">
        <w:rPr>
          <w:rFonts w:ascii="Times New Roman" w:hAnsi="Times New Roman"/>
          <w:sz w:val="24"/>
          <w:lang w:val="en-GB"/>
        </w:rPr>
        <w:t xml:space="preserve"> because the appellant was acting</w:t>
      </w:r>
      <w:r w:rsidR="001E5F7C" w:rsidRPr="00BA5A45">
        <w:rPr>
          <w:rFonts w:ascii="Times New Roman" w:hAnsi="Times New Roman"/>
          <w:sz w:val="24"/>
          <w:lang w:val="en-GB"/>
        </w:rPr>
        <w:t xml:space="preserve"> for both NFOL</w:t>
      </w:r>
      <w:r w:rsidR="008619CE" w:rsidRPr="00BA5A45">
        <w:rPr>
          <w:rFonts w:ascii="Times New Roman" w:hAnsi="Times New Roman"/>
          <w:sz w:val="24"/>
          <w:lang w:val="en-GB"/>
        </w:rPr>
        <w:t xml:space="preserve"> and the </w:t>
      </w:r>
      <w:r w:rsidR="005E0B06" w:rsidRPr="00BA5A45">
        <w:rPr>
          <w:rFonts w:ascii="Times New Roman" w:hAnsi="Times New Roman"/>
          <w:sz w:val="24"/>
          <w:lang w:val="en-GB"/>
        </w:rPr>
        <w:t>complainants, there</w:t>
      </w:r>
      <w:r w:rsidR="008619CE" w:rsidRPr="00BA5A45">
        <w:rPr>
          <w:rFonts w:ascii="Times New Roman" w:hAnsi="Times New Roman"/>
          <w:sz w:val="24"/>
          <w:lang w:val="en-GB"/>
        </w:rPr>
        <w:t xml:space="preserve"> was conflict of interest.</w:t>
      </w:r>
    </w:p>
    <w:p w14:paraId="1FA1F36A" w14:textId="77777777" w:rsidR="00D81197" w:rsidRPr="00BA5A45" w:rsidRDefault="00D81197" w:rsidP="00F42946">
      <w:pPr>
        <w:spacing w:after="0" w:line="480" w:lineRule="auto"/>
        <w:ind w:firstLine="720"/>
        <w:jc w:val="both"/>
        <w:rPr>
          <w:rFonts w:ascii="Times New Roman" w:hAnsi="Times New Roman"/>
          <w:sz w:val="24"/>
          <w:lang w:val="en-GB"/>
        </w:rPr>
      </w:pPr>
    </w:p>
    <w:p w14:paraId="0AA4C639" w14:textId="211CA06F" w:rsidR="00845578" w:rsidRPr="00BA5A45" w:rsidRDefault="00845578"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 xml:space="preserve"> </w:t>
      </w:r>
      <w:r w:rsidR="00F93CEB" w:rsidRPr="00BA5A45">
        <w:rPr>
          <w:rFonts w:ascii="Times New Roman" w:hAnsi="Times New Roman"/>
          <w:sz w:val="24"/>
          <w:lang w:val="en-GB"/>
        </w:rPr>
        <w:tab/>
      </w:r>
      <w:r w:rsidR="00B31A21" w:rsidRPr="00BA5A45">
        <w:rPr>
          <w:rFonts w:ascii="Times New Roman" w:hAnsi="Times New Roman"/>
          <w:sz w:val="24"/>
          <w:lang w:val="en-GB"/>
        </w:rPr>
        <w:t xml:space="preserve">Mr </w:t>
      </w:r>
      <w:r w:rsidR="00B31A21" w:rsidRPr="00BA5A45">
        <w:rPr>
          <w:rFonts w:ascii="Times New Roman" w:hAnsi="Times New Roman"/>
          <w:i/>
          <w:sz w:val="24"/>
          <w:lang w:val="en-GB"/>
        </w:rPr>
        <w:t>Gahadzikwa</w:t>
      </w:r>
      <w:r w:rsidR="00B31A21" w:rsidRPr="00BA5A45">
        <w:rPr>
          <w:rFonts w:ascii="Times New Roman" w:hAnsi="Times New Roman"/>
          <w:sz w:val="24"/>
          <w:lang w:val="en-GB"/>
        </w:rPr>
        <w:t xml:space="preserve"> </w:t>
      </w:r>
      <w:r w:rsidR="001D5A57" w:rsidRPr="00BA5A45">
        <w:rPr>
          <w:rFonts w:ascii="Times New Roman" w:hAnsi="Times New Roman"/>
          <w:sz w:val="24"/>
          <w:lang w:val="en-GB"/>
        </w:rPr>
        <w:t>further</w:t>
      </w:r>
      <w:r w:rsidR="00B31A21" w:rsidRPr="00BA5A45">
        <w:rPr>
          <w:rFonts w:ascii="Times New Roman" w:hAnsi="Times New Roman"/>
          <w:sz w:val="24"/>
          <w:lang w:val="en-GB"/>
        </w:rPr>
        <w:t xml:space="preserve"> submitted that t</w:t>
      </w:r>
      <w:r w:rsidRPr="00BA5A45">
        <w:rPr>
          <w:rFonts w:ascii="Times New Roman" w:hAnsi="Times New Roman"/>
          <w:sz w:val="24"/>
          <w:lang w:val="en-GB"/>
        </w:rPr>
        <w:t xml:space="preserve">he </w:t>
      </w:r>
      <w:r w:rsidR="00B31A21" w:rsidRPr="00BA5A45">
        <w:rPr>
          <w:rFonts w:ascii="Times New Roman" w:hAnsi="Times New Roman"/>
          <w:sz w:val="24"/>
          <w:lang w:val="en-GB"/>
        </w:rPr>
        <w:t xml:space="preserve">appellant </w:t>
      </w:r>
      <w:r w:rsidRPr="00BA5A45">
        <w:rPr>
          <w:rFonts w:ascii="Times New Roman" w:hAnsi="Times New Roman"/>
          <w:sz w:val="24"/>
          <w:lang w:val="en-GB"/>
        </w:rPr>
        <w:t>sold the immovable property of the complainants without authorisation.</w:t>
      </w:r>
      <w:r w:rsidR="00B31A21" w:rsidRPr="00BA5A45">
        <w:rPr>
          <w:rFonts w:ascii="Times New Roman" w:hAnsi="Times New Roman"/>
          <w:sz w:val="24"/>
          <w:lang w:val="en-GB"/>
        </w:rPr>
        <w:t xml:space="preserve"> He argued that the charge against the appellant regarding selling </w:t>
      </w:r>
      <w:r w:rsidR="00422C1B" w:rsidRPr="00BA5A45">
        <w:rPr>
          <w:rFonts w:ascii="Times New Roman" w:hAnsi="Times New Roman"/>
          <w:sz w:val="24"/>
          <w:lang w:val="en-GB"/>
        </w:rPr>
        <w:t xml:space="preserve">the </w:t>
      </w:r>
      <w:r w:rsidR="00B31A21" w:rsidRPr="00BA5A45">
        <w:rPr>
          <w:rFonts w:ascii="Times New Roman" w:hAnsi="Times New Roman"/>
          <w:sz w:val="24"/>
          <w:lang w:val="en-GB"/>
        </w:rPr>
        <w:t xml:space="preserve">property without consent </w:t>
      </w:r>
      <w:r w:rsidR="007F20C4" w:rsidRPr="00BA5A45">
        <w:rPr>
          <w:rFonts w:ascii="Times New Roman" w:hAnsi="Times New Roman"/>
          <w:sz w:val="24"/>
          <w:lang w:val="en-GB"/>
        </w:rPr>
        <w:t xml:space="preserve">or a court order was premised </w:t>
      </w:r>
      <w:r w:rsidR="00B31A21" w:rsidRPr="00BA5A45">
        <w:rPr>
          <w:rFonts w:ascii="Times New Roman" w:hAnsi="Times New Roman"/>
          <w:sz w:val="24"/>
          <w:lang w:val="en-GB"/>
        </w:rPr>
        <w:t xml:space="preserve">on </w:t>
      </w:r>
      <w:r w:rsidR="00A3069F" w:rsidRPr="00BA5A45">
        <w:rPr>
          <w:rFonts w:ascii="Times New Roman" w:hAnsi="Times New Roman"/>
          <w:sz w:val="24"/>
          <w:lang w:val="en-GB"/>
        </w:rPr>
        <w:t>t</w:t>
      </w:r>
      <w:r w:rsidR="00B31A21" w:rsidRPr="00BA5A45">
        <w:rPr>
          <w:rFonts w:ascii="Times New Roman" w:hAnsi="Times New Roman"/>
          <w:sz w:val="24"/>
          <w:lang w:val="en-GB"/>
        </w:rPr>
        <w:t>he fact that when Celgrim Bakeries failed to pay</w:t>
      </w:r>
      <w:r w:rsidR="001E5F7C" w:rsidRPr="00BA5A45">
        <w:rPr>
          <w:rFonts w:ascii="Times New Roman" w:hAnsi="Times New Roman"/>
          <w:sz w:val="24"/>
          <w:lang w:val="en-GB"/>
        </w:rPr>
        <w:t xml:space="preserve"> the debt due to NFOL</w:t>
      </w:r>
      <w:r w:rsidR="005E0B06" w:rsidRPr="00BA5A45">
        <w:rPr>
          <w:rFonts w:ascii="Times New Roman" w:hAnsi="Times New Roman"/>
          <w:sz w:val="24"/>
          <w:lang w:val="en-GB"/>
        </w:rPr>
        <w:t>, what</w:t>
      </w:r>
      <w:r w:rsidR="00B31A21" w:rsidRPr="00BA5A45">
        <w:rPr>
          <w:rFonts w:ascii="Times New Roman" w:hAnsi="Times New Roman"/>
          <w:sz w:val="24"/>
          <w:lang w:val="en-GB"/>
        </w:rPr>
        <w:t xml:space="preserve"> ought to have happened is a law suit against Celgrim Bakeries to recover the debt. He added that in the event the debt was not recovered from </w:t>
      </w:r>
      <w:r w:rsidR="005E0B06" w:rsidRPr="00BA5A45">
        <w:rPr>
          <w:rFonts w:ascii="Times New Roman" w:hAnsi="Times New Roman"/>
          <w:sz w:val="24"/>
          <w:lang w:val="en-GB"/>
        </w:rPr>
        <w:t>Celgrim</w:t>
      </w:r>
      <w:r w:rsidR="00A3069F" w:rsidRPr="00BA5A45">
        <w:rPr>
          <w:rFonts w:ascii="Times New Roman" w:hAnsi="Times New Roman"/>
          <w:sz w:val="24"/>
          <w:lang w:val="en-GB"/>
        </w:rPr>
        <w:t xml:space="preserve"> Bakeries</w:t>
      </w:r>
      <w:r w:rsidR="005E0B06" w:rsidRPr="00BA5A45">
        <w:rPr>
          <w:rFonts w:ascii="Times New Roman" w:hAnsi="Times New Roman"/>
          <w:sz w:val="24"/>
          <w:lang w:val="en-GB"/>
        </w:rPr>
        <w:t>, that</w:t>
      </w:r>
      <w:r w:rsidR="00B31A21" w:rsidRPr="00BA5A45">
        <w:rPr>
          <w:rFonts w:ascii="Times New Roman" w:hAnsi="Times New Roman"/>
          <w:sz w:val="24"/>
          <w:lang w:val="en-GB"/>
        </w:rPr>
        <w:t xml:space="preserve"> is when the appellant ought to have </w:t>
      </w:r>
      <w:r w:rsidR="00105000" w:rsidRPr="00BA5A45">
        <w:rPr>
          <w:rFonts w:ascii="Times New Roman" w:hAnsi="Times New Roman"/>
          <w:sz w:val="24"/>
          <w:lang w:val="en-GB"/>
        </w:rPr>
        <w:t>proceeded</w:t>
      </w:r>
      <w:r w:rsidR="00927EB5" w:rsidRPr="00BA5A45">
        <w:rPr>
          <w:rFonts w:ascii="Times New Roman" w:hAnsi="Times New Roman"/>
          <w:sz w:val="24"/>
          <w:lang w:val="en-GB"/>
        </w:rPr>
        <w:t xml:space="preserve"> against the </w:t>
      </w:r>
      <w:r w:rsidR="00105000" w:rsidRPr="00BA5A45">
        <w:rPr>
          <w:rFonts w:ascii="Times New Roman" w:hAnsi="Times New Roman"/>
          <w:sz w:val="24"/>
          <w:lang w:val="en-GB"/>
        </w:rPr>
        <w:t>sureties</w:t>
      </w:r>
      <w:r w:rsidR="00927EB5" w:rsidRPr="00BA5A45">
        <w:rPr>
          <w:rFonts w:ascii="Times New Roman" w:hAnsi="Times New Roman"/>
          <w:sz w:val="24"/>
          <w:lang w:val="en-GB"/>
        </w:rPr>
        <w:t>.</w:t>
      </w:r>
      <w:r w:rsidR="00B31A21" w:rsidRPr="00BA5A45">
        <w:rPr>
          <w:rFonts w:ascii="Times New Roman" w:hAnsi="Times New Roman"/>
          <w:sz w:val="24"/>
          <w:lang w:val="en-GB"/>
        </w:rPr>
        <w:t xml:space="preserve"> </w:t>
      </w:r>
      <w:r w:rsidR="0088543B" w:rsidRPr="00BA5A45">
        <w:rPr>
          <w:rFonts w:ascii="Times New Roman" w:hAnsi="Times New Roman"/>
          <w:sz w:val="24"/>
          <w:lang w:val="en-GB"/>
        </w:rPr>
        <w:t>He added</w:t>
      </w:r>
      <w:r w:rsidR="00B31A21" w:rsidRPr="00BA5A45">
        <w:rPr>
          <w:rFonts w:ascii="Times New Roman" w:hAnsi="Times New Roman"/>
          <w:sz w:val="24"/>
          <w:lang w:val="en-GB"/>
        </w:rPr>
        <w:t xml:space="preserve"> that proof that the sale </w:t>
      </w:r>
      <w:r w:rsidR="005E0B06" w:rsidRPr="00BA5A45">
        <w:rPr>
          <w:rFonts w:ascii="Times New Roman" w:hAnsi="Times New Roman"/>
          <w:sz w:val="24"/>
          <w:lang w:val="en-GB"/>
        </w:rPr>
        <w:t xml:space="preserve">was </w:t>
      </w:r>
      <w:r w:rsidR="00A42AFD" w:rsidRPr="00BA5A45">
        <w:rPr>
          <w:rFonts w:ascii="Times New Roman" w:hAnsi="Times New Roman"/>
          <w:sz w:val="24"/>
          <w:lang w:val="en-GB"/>
        </w:rPr>
        <w:t xml:space="preserve">not </w:t>
      </w:r>
      <w:r w:rsidR="005E0B06" w:rsidRPr="00BA5A45">
        <w:rPr>
          <w:rFonts w:ascii="Times New Roman" w:hAnsi="Times New Roman"/>
          <w:sz w:val="24"/>
          <w:lang w:val="en-GB"/>
        </w:rPr>
        <w:t xml:space="preserve">done </w:t>
      </w:r>
      <w:r w:rsidR="00105000" w:rsidRPr="00BA5A45">
        <w:rPr>
          <w:rFonts w:ascii="Times New Roman" w:hAnsi="Times New Roman"/>
          <w:sz w:val="24"/>
          <w:lang w:val="en-GB"/>
        </w:rPr>
        <w:t>procedurally</w:t>
      </w:r>
      <w:r w:rsidR="005E0B06" w:rsidRPr="00BA5A45">
        <w:rPr>
          <w:rFonts w:ascii="Times New Roman" w:hAnsi="Times New Roman"/>
          <w:sz w:val="24"/>
          <w:lang w:val="en-GB"/>
        </w:rPr>
        <w:t xml:space="preserve"> was </w:t>
      </w:r>
      <w:r w:rsidR="00A3069F" w:rsidRPr="00BA5A45">
        <w:rPr>
          <w:rFonts w:ascii="Times New Roman" w:hAnsi="Times New Roman"/>
          <w:sz w:val="24"/>
          <w:lang w:val="en-GB"/>
        </w:rPr>
        <w:t>seen in</w:t>
      </w:r>
      <w:r w:rsidR="00B31A21" w:rsidRPr="00BA5A45">
        <w:rPr>
          <w:rFonts w:ascii="Times New Roman" w:hAnsi="Times New Roman"/>
          <w:sz w:val="24"/>
          <w:lang w:val="en-GB"/>
        </w:rPr>
        <w:t xml:space="preserve"> the failure </w:t>
      </w:r>
      <w:r w:rsidR="00927EB5" w:rsidRPr="00BA5A45">
        <w:rPr>
          <w:rFonts w:ascii="Times New Roman" w:hAnsi="Times New Roman"/>
          <w:sz w:val="24"/>
          <w:lang w:val="en-GB"/>
        </w:rPr>
        <w:t>of the appellant to furnish a</w:t>
      </w:r>
      <w:r w:rsidR="00A3069F" w:rsidRPr="00BA5A45">
        <w:rPr>
          <w:rFonts w:ascii="Times New Roman" w:hAnsi="Times New Roman"/>
          <w:sz w:val="24"/>
          <w:lang w:val="en-GB"/>
        </w:rPr>
        <w:t xml:space="preserve"> power of a</w:t>
      </w:r>
      <w:r w:rsidR="00B31A21" w:rsidRPr="00BA5A45">
        <w:rPr>
          <w:rFonts w:ascii="Times New Roman" w:hAnsi="Times New Roman"/>
          <w:sz w:val="24"/>
          <w:lang w:val="en-GB"/>
        </w:rPr>
        <w:t xml:space="preserve">ttorney or the seller’s declaration to pass transfer of the property. Counsel </w:t>
      </w:r>
      <w:r w:rsidR="00B31A21" w:rsidRPr="00BA5A45">
        <w:rPr>
          <w:rFonts w:ascii="Times New Roman" w:hAnsi="Times New Roman"/>
          <w:sz w:val="24"/>
          <w:lang w:val="en-GB"/>
        </w:rPr>
        <w:lastRenderedPageBreak/>
        <w:t>submitted that these were all indications that the appellant did not have the complainants’ authority for the sale of the property.</w:t>
      </w:r>
    </w:p>
    <w:p w14:paraId="2303F0C4" w14:textId="77777777" w:rsidR="00D81197" w:rsidRPr="00BA5A45" w:rsidRDefault="00D81197" w:rsidP="00F42946">
      <w:pPr>
        <w:spacing w:after="0" w:line="480" w:lineRule="auto"/>
        <w:ind w:firstLine="360"/>
        <w:jc w:val="both"/>
        <w:rPr>
          <w:rFonts w:ascii="Times New Roman" w:hAnsi="Times New Roman"/>
          <w:sz w:val="24"/>
          <w:lang w:val="en-GB"/>
        </w:rPr>
      </w:pPr>
    </w:p>
    <w:p w14:paraId="6E553FD0" w14:textId="1D2EAA14" w:rsidR="00B31A21" w:rsidRPr="00BA5A45" w:rsidRDefault="00FC6FC8"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 xml:space="preserve"> </w:t>
      </w:r>
      <w:r w:rsidR="006A21D8" w:rsidRPr="00BA5A45">
        <w:rPr>
          <w:rFonts w:ascii="Times New Roman" w:hAnsi="Times New Roman"/>
          <w:sz w:val="24"/>
          <w:lang w:val="en-GB"/>
        </w:rPr>
        <w:t>Counsel further</w:t>
      </w:r>
      <w:r w:rsidRPr="00BA5A45">
        <w:rPr>
          <w:rFonts w:ascii="Times New Roman" w:hAnsi="Times New Roman"/>
          <w:sz w:val="24"/>
          <w:lang w:val="en-GB"/>
        </w:rPr>
        <w:t xml:space="preserve"> submitted that the complainants did not consent to the sale of their property. He argued that when the appellant wrote to the complainants regarding the outstanding </w:t>
      </w:r>
      <w:r w:rsidR="005E0B06" w:rsidRPr="00BA5A45">
        <w:rPr>
          <w:rFonts w:ascii="Times New Roman" w:hAnsi="Times New Roman"/>
          <w:sz w:val="24"/>
          <w:lang w:val="en-GB"/>
        </w:rPr>
        <w:t>debt, the</w:t>
      </w:r>
      <w:r w:rsidRPr="00BA5A45">
        <w:rPr>
          <w:rFonts w:ascii="Times New Roman" w:hAnsi="Times New Roman"/>
          <w:sz w:val="24"/>
          <w:lang w:val="en-GB"/>
        </w:rPr>
        <w:t xml:space="preserve"> complainants engaged their nephew</w:t>
      </w:r>
      <w:r w:rsidR="00A42AFD" w:rsidRPr="00BA5A45">
        <w:rPr>
          <w:rFonts w:ascii="Times New Roman" w:hAnsi="Times New Roman"/>
          <w:sz w:val="24"/>
          <w:lang w:val="en-GB"/>
        </w:rPr>
        <w:t>,</w:t>
      </w:r>
      <w:r w:rsidR="00002455" w:rsidRPr="00BA5A45">
        <w:rPr>
          <w:rFonts w:ascii="Times New Roman" w:hAnsi="Times New Roman"/>
          <w:sz w:val="24"/>
          <w:lang w:val="en-GB"/>
        </w:rPr>
        <w:t xml:space="preserve"> </w:t>
      </w:r>
      <w:r w:rsidR="00A42AFD" w:rsidRPr="00BA5A45">
        <w:rPr>
          <w:rFonts w:ascii="Times New Roman" w:hAnsi="Times New Roman"/>
          <w:sz w:val="24"/>
          <w:lang w:val="en-GB"/>
        </w:rPr>
        <w:t>Nyatanga,</w:t>
      </w:r>
      <w:r w:rsidRPr="00BA5A45">
        <w:rPr>
          <w:rFonts w:ascii="Times New Roman" w:hAnsi="Times New Roman"/>
          <w:sz w:val="24"/>
          <w:lang w:val="en-GB"/>
        </w:rPr>
        <w:t xml:space="preserve"> who in turn engaged legal practitioners from Zuze Law Chambe</w:t>
      </w:r>
      <w:r w:rsidR="001E5F7C" w:rsidRPr="00BA5A45">
        <w:rPr>
          <w:rFonts w:ascii="Times New Roman" w:hAnsi="Times New Roman"/>
          <w:sz w:val="24"/>
          <w:lang w:val="en-GB"/>
        </w:rPr>
        <w:t>rs. The legal practitioners</w:t>
      </w:r>
      <w:r w:rsidR="006A21D8" w:rsidRPr="00BA5A45">
        <w:rPr>
          <w:rFonts w:ascii="Times New Roman" w:hAnsi="Times New Roman"/>
          <w:sz w:val="24"/>
          <w:lang w:val="en-GB"/>
        </w:rPr>
        <w:t>,</w:t>
      </w:r>
      <w:r w:rsidRPr="00BA5A45">
        <w:rPr>
          <w:rFonts w:ascii="Times New Roman" w:hAnsi="Times New Roman"/>
          <w:sz w:val="24"/>
          <w:lang w:val="en-GB"/>
        </w:rPr>
        <w:t xml:space="preserve"> communicated with the appellant’s law firm </w:t>
      </w:r>
      <w:r w:rsidR="00975CEE" w:rsidRPr="00BA5A45">
        <w:rPr>
          <w:rFonts w:ascii="Times New Roman" w:hAnsi="Times New Roman"/>
          <w:sz w:val="24"/>
          <w:lang w:val="en-GB"/>
        </w:rPr>
        <w:t>a tender</w:t>
      </w:r>
      <w:r w:rsidRPr="00BA5A45">
        <w:rPr>
          <w:rFonts w:ascii="Times New Roman" w:hAnsi="Times New Roman"/>
          <w:sz w:val="24"/>
          <w:lang w:val="en-GB"/>
        </w:rPr>
        <w:t xml:space="preserve"> by Celgrim </w:t>
      </w:r>
      <w:r w:rsidR="0045314E" w:rsidRPr="00BA5A45">
        <w:rPr>
          <w:rFonts w:ascii="Times New Roman" w:hAnsi="Times New Roman"/>
          <w:sz w:val="24"/>
          <w:lang w:val="en-GB"/>
        </w:rPr>
        <w:t>Bakeries</w:t>
      </w:r>
      <w:r w:rsidR="00975CEE" w:rsidRPr="00BA5A45">
        <w:rPr>
          <w:rFonts w:ascii="Times New Roman" w:hAnsi="Times New Roman"/>
          <w:sz w:val="24"/>
          <w:lang w:val="en-GB"/>
        </w:rPr>
        <w:t xml:space="preserve"> of its equipment</w:t>
      </w:r>
      <w:r w:rsidR="0045314E" w:rsidRPr="00BA5A45">
        <w:rPr>
          <w:rFonts w:ascii="Times New Roman" w:hAnsi="Times New Roman"/>
          <w:sz w:val="24"/>
          <w:lang w:val="en-GB"/>
        </w:rPr>
        <w:t xml:space="preserve"> </w:t>
      </w:r>
      <w:r w:rsidR="00975CEE" w:rsidRPr="00BA5A45">
        <w:rPr>
          <w:rFonts w:ascii="Times New Roman" w:hAnsi="Times New Roman"/>
          <w:sz w:val="24"/>
          <w:lang w:val="en-GB"/>
        </w:rPr>
        <w:t>in settlement of the debt.</w:t>
      </w:r>
      <w:r w:rsidRPr="00BA5A45">
        <w:rPr>
          <w:rFonts w:ascii="Times New Roman" w:hAnsi="Times New Roman"/>
          <w:sz w:val="24"/>
          <w:lang w:val="en-GB"/>
        </w:rPr>
        <w:t xml:space="preserve"> </w:t>
      </w:r>
      <w:r w:rsidR="006A21D8" w:rsidRPr="00BA5A45">
        <w:rPr>
          <w:rFonts w:ascii="Times New Roman" w:hAnsi="Times New Roman"/>
          <w:sz w:val="24"/>
          <w:lang w:val="en-GB"/>
        </w:rPr>
        <w:t>Counsel</w:t>
      </w:r>
      <w:r w:rsidRPr="00BA5A45">
        <w:rPr>
          <w:rFonts w:ascii="Times New Roman" w:hAnsi="Times New Roman"/>
          <w:sz w:val="24"/>
          <w:lang w:val="en-GB"/>
        </w:rPr>
        <w:t xml:space="preserve"> submitted that this showed </w:t>
      </w:r>
      <w:r w:rsidR="006A21D8" w:rsidRPr="00BA5A45">
        <w:rPr>
          <w:rFonts w:ascii="Times New Roman" w:hAnsi="Times New Roman"/>
          <w:sz w:val="24"/>
          <w:lang w:val="en-GB"/>
        </w:rPr>
        <w:t>unwillingness</w:t>
      </w:r>
      <w:r w:rsidRPr="00BA5A45">
        <w:rPr>
          <w:rFonts w:ascii="Times New Roman" w:hAnsi="Times New Roman"/>
          <w:sz w:val="24"/>
          <w:lang w:val="en-GB"/>
        </w:rPr>
        <w:t xml:space="preserve"> by the complainants to have their property sold in </w:t>
      </w:r>
      <w:r w:rsidR="00975CEE" w:rsidRPr="00BA5A45">
        <w:rPr>
          <w:rFonts w:ascii="Times New Roman" w:hAnsi="Times New Roman"/>
          <w:sz w:val="24"/>
          <w:lang w:val="en-GB"/>
        </w:rPr>
        <w:t>settlement</w:t>
      </w:r>
      <w:r w:rsidRPr="00BA5A45">
        <w:rPr>
          <w:rFonts w:ascii="Times New Roman" w:hAnsi="Times New Roman"/>
          <w:sz w:val="24"/>
          <w:lang w:val="en-GB"/>
        </w:rPr>
        <w:t xml:space="preserve"> of the debt owed by Celgrim Ba</w:t>
      </w:r>
      <w:r w:rsidR="001E5F7C" w:rsidRPr="00BA5A45">
        <w:rPr>
          <w:rFonts w:ascii="Times New Roman" w:hAnsi="Times New Roman"/>
          <w:sz w:val="24"/>
          <w:lang w:val="en-GB"/>
        </w:rPr>
        <w:t>keries to NFOL</w:t>
      </w:r>
      <w:r w:rsidRPr="00BA5A45">
        <w:rPr>
          <w:rFonts w:ascii="Times New Roman" w:hAnsi="Times New Roman"/>
          <w:sz w:val="24"/>
          <w:lang w:val="en-GB"/>
        </w:rPr>
        <w:t>.</w:t>
      </w:r>
    </w:p>
    <w:p w14:paraId="69385F13" w14:textId="77777777" w:rsidR="00D81197" w:rsidRPr="00BA5A45" w:rsidRDefault="00D81197" w:rsidP="00F42946">
      <w:pPr>
        <w:spacing w:after="0" w:line="480" w:lineRule="auto"/>
        <w:ind w:firstLine="720"/>
        <w:jc w:val="both"/>
        <w:rPr>
          <w:rFonts w:ascii="Times New Roman" w:hAnsi="Times New Roman"/>
          <w:sz w:val="24"/>
          <w:lang w:val="en-GB"/>
        </w:rPr>
      </w:pPr>
    </w:p>
    <w:p w14:paraId="46A0B4BF" w14:textId="6A176B4E" w:rsidR="00BC31C6" w:rsidRPr="00BA5A45" w:rsidRDefault="00295289"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 xml:space="preserve">In his final </w:t>
      </w:r>
      <w:r w:rsidR="005E0B06" w:rsidRPr="00BA5A45">
        <w:rPr>
          <w:rFonts w:ascii="Times New Roman" w:hAnsi="Times New Roman"/>
          <w:sz w:val="24"/>
          <w:lang w:val="en-GB"/>
        </w:rPr>
        <w:t>submission,</w:t>
      </w:r>
      <w:r w:rsidR="005E0B06" w:rsidRPr="00BA5A45">
        <w:rPr>
          <w:rFonts w:ascii="Times New Roman" w:hAnsi="Times New Roman"/>
          <w:i/>
          <w:sz w:val="24"/>
          <w:lang w:val="en-GB"/>
        </w:rPr>
        <w:t xml:space="preserve"> </w:t>
      </w:r>
      <w:r w:rsidR="005E0B06" w:rsidRPr="00BA5A45">
        <w:rPr>
          <w:rFonts w:ascii="Times New Roman" w:hAnsi="Times New Roman"/>
          <w:sz w:val="24"/>
          <w:lang w:val="en-GB"/>
        </w:rPr>
        <w:t>Mr</w:t>
      </w:r>
      <w:r w:rsidRPr="00BA5A45">
        <w:rPr>
          <w:rFonts w:ascii="Times New Roman" w:hAnsi="Times New Roman"/>
          <w:i/>
          <w:sz w:val="24"/>
          <w:lang w:val="en-GB"/>
        </w:rPr>
        <w:t xml:space="preserve"> Gahadzikwa</w:t>
      </w:r>
      <w:r w:rsidR="001E5F7C" w:rsidRPr="00BA5A45">
        <w:rPr>
          <w:rFonts w:ascii="Times New Roman" w:hAnsi="Times New Roman"/>
          <w:sz w:val="24"/>
          <w:lang w:val="en-GB"/>
        </w:rPr>
        <w:t xml:space="preserve"> averred</w:t>
      </w:r>
      <w:r w:rsidRPr="00BA5A45">
        <w:rPr>
          <w:rFonts w:ascii="Times New Roman" w:hAnsi="Times New Roman"/>
          <w:sz w:val="24"/>
          <w:lang w:val="en-GB"/>
        </w:rPr>
        <w:t xml:space="preserve"> that the </w:t>
      </w:r>
      <w:r w:rsidR="00166B9B" w:rsidRPr="00BA5A45">
        <w:rPr>
          <w:rFonts w:ascii="Times New Roman" w:hAnsi="Times New Roman"/>
          <w:sz w:val="24"/>
          <w:lang w:val="en-GB"/>
        </w:rPr>
        <w:t xml:space="preserve">appellant transferred trust </w:t>
      </w:r>
      <w:r w:rsidR="001E5F7C" w:rsidRPr="00BA5A45">
        <w:rPr>
          <w:rFonts w:ascii="Times New Roman" w:hAnsi="Times New Roman"/>
          <w:sz w:val="24"/>
          <w:lang w:val="en-GB"/>
        </w:rPr>
        <w:t xml:space="preserve">funds to NFOL </w:t>
      </w:r>
      <w:r w:rsidR="00166B9B" w:rsidRPr="00BA5A45">
        <w:rPr>
          <w:rFonts w:ascii="Times New Roman" w:hAnsi="Times New Roman"/>
          <w:sz w:val="24"/>
          <w:lang w:val="en-GB"/>
        </w:rPr>
        <w:t xml:space="preserve">without authority. He stated that the </w:t>
      </w:r>
      <w:r w:rsidRPr="00BA5A45">
        <w:rPr>
          <w:rFonts w:ascii="Times New Roman" w:hAnsi="Times New Roman"/>
          <w:sz w:val="24"/>
          <w:lang w:val="en-GB"/>
        </w:rPr>
        <w:t>payment of the balance of the purchase price of the complainants’</w:t>
      </w:r>
      <w:r w:rsidR="00EA1FA3" w:rsidRPr="00BA5A45">
        <w:rPr>
          <w:rFonts w:ascii="Times New Roman" w:hAnsi="Times New Roman"/>
          <w:sz w:val="24"/>
          <w:lang w:val="en-GB"/>
        </w:rPr>
        <w:t xml:space="preserve"> </w:t>
      </w:r>
      <w:r w:rsidRPr="00BA5A45">
        <w:rPr>
          <w:rFonts w:ascii="Times New Roman" w:hAnsi="Times New Roman"/>
          <w:sz w:val="24"/>
          <w:lang w:val="en-GB"/>
        </w:rPr>
        <w:t>pr</w:t>
      </w:r>
      <w:r w:rsidR="001E5F7C" w:rsidRPr="00BA5A45">
        <w:rPr>
          <w:rFonts w:ascii="Times New Roman" w:hAnsi="Times New Roman"/>
          <w:sz w:val="24"/>
          <w:lang w:val="en-GB"/>
        </w:rPr>
        <w:t>operty to NFOL</w:t>
      </w:r>
      <w:r w:rsidRPr="00BA5A45">
        <w:rPr>
          <w:rFonts w:ascii="Times New Roman" w:hAnsi="Times New Roman"/>
          <w:sz w:val="24"/>
          <w:lang w:val="en-GB"/>
        </w:rPr>
        <w:t xml:space="preserve"> amounted to </w:t>
      </w:r>
      <w:r w:rsidR="00C37451">
        <w:rPr>
          <w:rFonts w:ascii="Times New Roman" w:hAnsi="Times New Roman"/>
          <w:sz w:val="24"/>
          <w:lang w:val="en-GB"/>
        </w:rPr>
        <w:t xml:space="preserve">an </w:t>
      </w:r>
      <w:r w:rsidRPr="00BA5A45">
        <w:rPr>
          <w:rFonts w:ascii="Times New Roman" w:hAnsi="Times New Roman"/>
          <w:sz w:val="24"/>
          <w:lang w:val="en-GB"/>
        </w:rPr>
        <w:t>abuse of trust funds by the appellant as the funds were given to a party who was not entitled to them.</w:t>
      </w:r>
    </w:p>
    <w:p w14:paraId="32A44DDF" w14:textId="77777777" w:rsidR="00D81197" w:rsidRPr="00BA5A45" w:rsidRDefault="00D81197" w:rsidP="00F42946">
      <w:pPr>
        <w:spacing w:after="0" w:line="480" w:lineRule="auto"/>
        <w:ind w:firstLine="720"/>
        <w:jc w:val="both"/>
        <w:rPr>
          <w:rFonts w:ascii="Times New Roman" w:hAnsi="Times New Roman"/>
          <w:sz w:val="24"/>
          <w:lang w:val="en-GB"/>
        </w:rPr>
      </w:pPr>
    </w:p>
    <w:p w14:paraId="1E42DA02" w14:textId="27B923DD" w:rsidR="00B84352" w:rsidRPr="00BA5A45" w:rsidRDefault="001E5F7C"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There are</w:t>
      </w:r>
      <w:r w:rsidR="00010A8E" w:rsidRPr="00BA5A45">
        <w:rPr>
          <w:rFonts w:ascii="Times New Roman" w:hAnsi="Times New Roman"/>
          <w:sz w:val="24"/>
          <w:lang w:val="en-GB"/>
        </w:rPr>
        <w:t xml:space="preserve"> four</w:t>
      </w:r>
      <w:r w:rsidR="00EA1FA3" w:rsidRPr="00BA5A45">
        <w:rPr>
          <w:rFonts w:ascii="Times New Roman" w:hAnsi="Times New Roman"/>
          <w:sz w:val="24"/>
          <w:lang w:val="en-GB"/>
        </w:rPr>
        <w:t xml:space="preserve"> main issues </w:t>
      </w:r>
      <w:r w:rsidRPr="00BA5A45">
        <w:rPr>
          <w:rFonts w:ascii="Times New Roman" w:hAnsi="Times New Roman"/>
          <w:sz w:val="24"/>
          <w:lang w:val="en-GB"/>
        </w:rPr>
        <w:t xml:space="preserve">that </w:t>
      </w:r>
      <w:r w:rsidR="00EA1FA3" w:rsidRPr="00BA5A45">
        <w:rPr>
          <w:rFonts w:ascii="Times New Roman" w:hAnsi="Times New Roman"/>
          <w:sz w:val="24"/>
          <w:lang w:val="en-GB"/>
        </w:rPr>
        <w:t>arise in this matter for determination</w:t>
      </w:r>
      <w:r w:rsidR="000A4209" w:rsidRPr="00BA5A45">
        <w:rPr>
          <w:rFonts w:ascii="Times New Roman" w:hAnsi="Times New Roman"/>
          <w:sz w:val="24"/>
          <w:lang w:val="en-GB"/>
        </w:rPr>
        <w:t xml:space="preserve"> on conviction</w:t>
      </w:r>
      <w:r w:rsidR="00EA1FA3" w:rsidRPr="00BA5A45">
        <w:rPr>
          <w:rFonts w:ascii="Times New Roman" w:hAnsi="Times New Roman"/>
          <w:sz w:val="24"/>
          <w:lang w:val="en-GB"/>
        </w:rPr>
        <w:t xml:space="preserve">. </w:t>
      </w:r>
      <w:r w:rsidR="00B84352" w:rsidRPr="00BA5A45">
        <w:rPr>
          <w:rFonts w:ascii="Times New Roman" w:hAnsi="Times New Roman"/>
          <w:sz w:val="24"/>
          <w:lang w:val="en-GB"/>
        </w:rPr>
        <w:t>They are as follows:</w:t>
      </w:r>
    </w:p>
    <w:p w14:paraId="05B2314F" w14:textId="056AA57D" w:rsidR="00A3069F" w:rsidRPr="00BA5A45" w:rsidRDefault="00B84352" w:rsidP="00F42946">
      <w:pPr>
        <w:numPr>
          <w:ilvl w:val="0"/>
          <w:numId w:val="8"/>
        </w:numPr>
        <w:spacing w:after="0" w:line="480" w:lineRule="auto"/>
        <w:ind w:left="1134" w:hanging="567"/>
        <w:jc w:val="both"/>
        <w:rPr>
          <w:rFonts w:ascii="Times New Roman" w:hAnsi="Times New Roman"/>
          <w:sz w:val="24"/>
          <w:lang w:val="en-GB"/>
        </w:rPr>
      </w:pPr>
      <w:r w:rsidRPr="00BA5A45">
        <w:rPr>
          <w:rFonts w:ascii="Times New Roman" w:hAnsi="Times New Roman"/>
          <w:sz w:val="24"/>
          <w:lang w:val="en-GB"/>
        </w:rPr>
        <w:t>Whether</w:t>
      </w:r>
      <w:r w:rsidR="00EA1FA3" w:rsidRPr="00BA5A45">
        <w:rPr>
          <w:rFonts w:ascii="Times New Roman" w:hAnsi="Times New Roman"/>
          <w:sz w:val="24"/>
          <w:lang w:val="en-GB"/>
        </w:rPr>
        <w:t xml:space="preserve"> the </w:t>
      </w:r>
      <w:r w:rsidR="00EA1F2A" w:rsidRPr="00BA5A45">
        <w:rPr>
          <w:rFonts w:ascii="Times New Roman" w:hAnsi="Times New Roman"/>
          <w:sz w:val="24"/>
          <w:lang w:val="en-GB"/>
        </w:rPr>
        <w:t>Tribunal erred and misdirected itself in holding that there was conflict of interest as the relationship between complainants and appellant was one of</w:t>
      </w:r>
      <w:r w:rsidR="001E5F7C" w:rsidRPr="00BA5A45">
        <w:rPr>
          <w:rFonts w:ascii="Times New Roman" w:hAnsi="Times New Roman"/>
          <w:sz w:val="24"/>
          <w:lang w:val="en-GB"/>
        </w:rPr>
        <w:t xml:space="preserve"> attorney-client</w:t>
      </w:r>
      <w:r w:rsidR="00EA1F2A" w:rsidRPr="00BA5A45">
        <w:rPr>
          <w:rFonts w:ascii="Times New Roman" w:hAnsi="Times New Roman"/>
          <w:sz w:val="24"/>
          <w:lang w:val="en-GB"/>
        </w:rPr>
        <w:t>.</w:t>
      </w:r>
    </w:p>
    <w:p w14:paraId="201A481E" w14:textId="6CD70AD6" w:rsidR="00B84352" w:rsidRPr="00BA5A45" w:rsidRDefault="00B84352" w:rsidP="00F42946">
      <w:pPr>
        <w:numPr>
          <w:ilvl w:val="0"/>
          <w:numId w:val="8"/>
        </w:numPr>
        <w:spacing w:after="0" w:line="480" w:lineRule="auto"/>
        <w:ind w:left="1134" w:hanging="567"/>
        <w:jc w:val="both"/>
        <w:rPr>
          <w:rFonts w:ascii="Times New Roman" w:hAnsi="Times New Roman"/>
          <w:sz w:val="24"/>
          <w:lang w:val="en-GB"/>
        </w:rPr>
      </w:pPr>
      <w:r w:rsidRPr="00BA5A45">
        <w:rPr>
          <w:rFonts w:ascii="Times New Roman" w:hAnsi="Times New Roman"/>
          <w:sz w:val="24"/>
          <w:lang w:val="en-GB"/>
        </w:rPr>
        <w:t xml:space="preserve">Whether it was proper for the appellant to </w:t>
      </w:r>
      <w:r w:rsidR="00EA1F2A" w:rsidRPr="00BA5A45">
        <w:rPr>
          <w:rFonts w:ascii="Times New Roman" w:hAnsi="Times New Roman"/>
          <w:sz w:val="24"/>
          <w:lang w:val="en-GB"/>
        </w:rPr>
        <w:t>execute against</w:t>
      </w:r>
      <w:r w:rsidRPr="00BA5A45">
        <w:rPr>
          <w:rFonts w:ascii="Times New Roman" w:hAnsi="Times New Roman"/>
          <w:sz w:val="24"/>
          <w:lang w:val="en-GB"/>
        </w:rPr>
        <w:t xml:space="preserve"> the sur</w:t>
      </w:r>
      <w:r w:rsidR="00EA1F2A" w:rsidRPr="00BA5A45">
        <w:rPr>
          <w:rFonts w:ascii="Times New Roman" w:hAnsi="Times New Roman"/>
          <w:sz w:val="24"/>
          <w:lang w:val="en-GB"/>
        </w:rPr>
        <w:t>e</w:t>
      </w:r>
      <w:r w:rsidRPr="00BA5A45">
        <w:rPr>
          <w:rFonts w:ascii="Times New Roman" w:hAnsi="Times New Roman"/>
          <w:sz w:val="24"/>
          <w:lang w:val="en-GB"/>
        </w:rPr>
        <w:t>ties</w:t>
      </w:r>
      <w:r w:rsidR="00EA1F2A" w:rsidRPr="00BA5A45">
        <w:rPr>
          <w:rFonts w:ascii="Times New Roman" w:hAnsi="Times New Roman"/>
          <w:sz w:val="24"/>
          <w:lang w:val="en-GB"/>
        </w:rPr>
        <w:t>’</w:t>
      </w:r>
      <w:r w:rsidRPr="00BA5A45">
        <w:rPr>
          <w:rFonts w:ascii="Times New Roman" w:hAnsi="Times New Roman"/>
          <w:sz w:val="24"/>
          <w:lang w:val="en-GB"/>
        </w:rPr>
        <w:t xml:space="preserve"> </w:t>
      </w:r>
      <w:r w:rsidR="00EA1F2A" w:rsidRPr="00BA5A45">
        <w:rPr>
          <w:rFonts w:ascii="Times New Roman" w:hAnsi="Times New Roman"/>
          <w:sz w:val="24"/>
          <w:lang w:val="en-GB"/>
        </w:rPr>
        <w:t>property before suing</w:t>
      </w:r>
      <w:r w:rsidRPr="00BA5A45">
        <w:rPr>
          <w:rFonts w:ascii="Times New Roman" w:hAnsi="Times New Roman"/>
          <w:sz w:val="24"/>
          <w:lang w:val="en-GB"/>
        </w:rPr>
        <w:t xml:space="preserve"> the principal debtor in recovering the debt.</w:t>
      </w:r>
    </w:p>
    <w:p w14:paraId="2B4D6504" w14:textId="77777777" w:rsidR="00B84352" w:rsidRPr="00BA5A45" w:rsidRDefault="00B84352" w:rsidP="00F42946">
      <w:pPr>
        <w:numPr>
          <w:ilvl w:val="0"/>
          <w:numId w:val="8"/>
        </w:numPr>
        <w:spacing w:after="0" w:line="480" w:lineRule="auto"/>
        <w:ind w:left="1134" w:hanging="567"/>
        <w:jc w:val="both"/>
        <w:rPr>
          <w:rFonts w:ascii="Times New Roman" w:hAnsi="Times New Roman"/>
          <w:sz w:val="24"/>
          <w:lang w:val="en-GB"/>
        </w:rPr>
      </w:pPr>
      <w:r w:rsidRPr="00BA5A45">
        <w:rPr>
          <w:rFonts w:ascii="Times New Roman" w:hAnsi="Times New Roman"/>
          <w:sz w:val="24"/>
          <w:lang w:val="en-GB"/>
        </w:rPr>
        <w:lastRenderedPageBreak/>
        <w:t>Whether there was need for the complainants’ consent or a court order before selling their property</w:t>
      </w:r>
      <w:r w:rsidR="00500D46" w:rsidRPr="00BA5A45">
        <w:rPr>
          <w:rFonts w:ascii="Times New Roman" w:hAnsi="Times New Roman"/>
          <w:sz w:val="24"/>
          <w:lang w:val="en-GB"/>
        </w:rPr>
        <w:t>.</w:t>
      </w:r>
    </w:p>
    <w:p w14:paraId="5329142F" w14:textId="1F7C8C05" w:rsidR="00F97761" w:rsidRPr="00BA5A45" w:rsidRDefault="00B84352" w:rsidP="00F42946">
      <w:pPr>
        <w:numPr>
          <w:ilvl w:val="0"/>
          <w:numId w:val="8"/>
        </w:numPr>
        <w:spacing w:after="0" w:line="480" w:lineRule="auto"/>
        <w:ind w:left="1134" w:hanging="567"/>
        <w:jc w:val="both"/>
        <w:rPr>
          <w:rFonts w:ascii="Times New Roman" w:hAnsi="Times New Roman"/>
          <w:b/>
          <w:sz w:val="24"/>
          <w:u w:val="single"/>
          <w:lang w:val="en-GB"/>
        </w:rPr>
      </w:pPr>
      <w:r w:rsidRPr="00BA5A45">
        <w:rPr>
          <w:rFonts w:ascii="Times New Roman" w:hAnsi="Times New Roman"/>
          <w:sz w:val="24"/>
          <w:lang w:val="en-GB"/>
        </w:rPr>
        <w:t>Whether the appellant’s conduct in transferring the balance of the purchase price to National Foods</w:t>
      </w:r>
      <w:r w:rsidR="001E5F7C" w:rsidRPr="00BA5A45">
        <w:rPr>
          <w:rFonts w:ascii="Times New Roman" w:hAnsi="Times New Roman"/>
          <w:sz w:val="24"/>
          <w:lang w:val="en-GB"/>
        </w:rPr>
        <w:t xml:space="preserve"> Operations Limited</w:t>
      </w:r>
      <w:r w:rsidRPr="00BA5A45">
        <w:rPr>
          <w:rFonts w:ascii="Times New Roman" w:hAnsi="Times New Roman"/>
          <w:sz w:val="24"/>
          <w:lang w:val="en-GB"/>
        </w:rPr>
        <w:t xml:space="preserve"> instead of </w:t>
      </w:r>
      <w:r w:rsidR="00513216" w:rsidRPr="00BA5A45">
        <w:rPr>
          <w:rFonts w:ascii="Times New Roman" w:hAnsi="Times New Roman"/>
          <w:sz w:val="24"/>
          <w:lang w:val="en-GB"/>
        </w:rPr>
        <w:t xml:space="preserve">to </w:t>
      </w:r>
      <w:r w:rsidRPr="00BA5A45">
        <w:rPr>
          <w:rFonts w:ascii="Times New Roman" w:hAnsi="Times New Roman"/>
          <w:sz w:val="24"/>
          <w:lang w:val="en-GB"/>
        </w:rPr>
        <w:t>the complainants a</w:t>
      </w:r>
      <w:r w:rsidR="00500D46" w:rsidRPr="00BA5A45">
        <w:rPr>
          <w:rFonts w:ascii="Times New Roman" w:hAnsi="Times New Roman"/>
          <w:sz w:val="24"/>
          <w:lang w:val="en-GB"/>
        </w:rPr>
        <w:t>mounts to</w:t>
      </w:r>
      <w:r w:rsidR="00C37451">
        <w:rPr>
          <w:rFonts w:ascii="Times New Roman" w:hAnsi="Times New Roman"/>
          <w:sz w:val="24"/>
          <w:lang w:val="en-GB"/>
        </w:rPr>
        <w:t xml:space="preserve"> an</w:t>
      </w:r>
      <w:r w:rsidR="00500D46" w:rsidRPr="00BA5A45">
        <w:rPr>
          <w:rFonts w:ascii="Times New Roman" w:hAnsi="Times New Roman"/>
          <w:sz w:val="24"/>
          <w:lang w:val="en-GB"/>
        </w:rPr>
        <w:t xml:space="preserve"> abuse of trust funds.</w:t>
      </w:r>
    </w:p>
    <w:p w14:paraId="7399C7CF" w14:textId="77777777" w:rsidR="00816A5B" w:rsidRPr="00BA5A45" w:rsidRDefault="00816A5B" w:rsidP="00F42946">
      <w:pPr>
        <w:spacing w:after="0" w:line="480" w:lineRule="auto"/>
        <w:jc w:val="both"/>
        <w:rPr>
          <w:rFonts w:ascii="Times New Roman" w:hAnsi="Times New Roman"/>
          <w:b/>
          <w:sz w:val="24"/>
          <w:u w:val="single"/>
          <w:lang w:val="en-GB"/>
        </w:rPr>
      </w:pPr>
    </w:p>
    <w:p w14:paraId="69F81EB9" w14:textId="77777777" w:rsidR="00EA1FA3" w:rsidRPr="00BA5A45" w:rsidRDefault="00EA1FA3" w:rsidP="00F42946">
      <w:pPr>
        <w:spacing w:after="0" w:line="480" w:lineRule="auto"/>
        <w:jc w:val="both"/>
        <w:rPr>
          <w:rFonts w:ascii="Times New Roman" w:hAnsi="Times New Roman"/>
          <w:b/>
          <w:sz w:val="24"/>
          <w:lang w:val="en-GB"/>
        </w:rPr>
      </w:pPr>
      <w:r w:rsidRPr="00BA5A45">
        <w:rPr>
          <w:rFonts w:ascii="Times New Roman" w:hAnsi="Times New Roman"/>
          <w:b/>
          <w:sz w:val="24"/>
          <w:lang w:val="en-GB"/>
        </w:rPr>
        <w:t>APPLICATION OF THE LAW TO THE FACTS</w:t>
      </w:r>
    </w:p>
    <w:p w14:paraId="6EBF7C44" w14:textId="77777777" w:rsidR="00F97761" w:rsidRPr="00BA5A45" w:rsidRDefault="00A3069F" w:rsidP="00F42946">
      <w:pPr>
        <w:spacing w:after="0" w:line="480" w:lineRule="auto"/>
        <w:jc w:val="both"/>
        <w:rPr>
          <w:rFonts w:ascii="Times New Roman" w:hAnsi="Times New Roman"/>
          <w:b/>
          <w:sz w:val="24"/>
          <w:lang w:val="en-GB"/>
        </w:rPr>
      </w:pPr>
      <w:r w:rsidRPr="00BA5A45">
        <w:rPr>
          <w:rFonts w:ascii="Times New Roman" w:hAnsi="Times New Roman"/>
          <w:b/>
          <w:sz w:val="24"/>
          <w:lang w:val="en-GB"/>
        </w:rPr>
        <w:t>Whether the power of a</w:t>
      </w:r>
      <w:r w:rsidR="00F97761" w:rsidRPr="00BA5A45">
        <w:rPr>
          <w:rFonts w:ascii="Times New Roman" w:hAnsi="Times New Roman"/>
          <w:b/>
          <w:sz w:val="24"/>
          <w:lang w:val="en-GB"/>
        </w:rPr>
        <w:t xml:space="preserve">ttorney from the complainants </w:t>
      </w:r>
      <w:r w:rsidR="00FA77C7" w:rsidRPr="00BA5A45">
        <w:rPr>
          <w:rFonts w:ascii="Times New Roman" w:hAnsi="Times New Roman"/>
          <w:b/>
          <w:sz w:val="24"/>
          <w:lang w:val="en-GB"/>
        </w:rPr>
        <w:t xml:space="preserve">established an attorney-client relationship between the </w:t>
      </w:r>
      <w:r w:rsidRPr="00BA5A45">
        <w:rPr>
          <w:rFonts w:ascii="Times New Roman" w:hAnsi="Times New Roman"/>
          <w:b/>
          <w:sz w:val="24"/>
          <w:lang w:val="en-GB"/>
        </w:rPr>
        <w:t>parties</w:t>
      </w:r>
      <w:r w:rsidR="00FA77C7" w:rsidRPr="00BA5A45">
        <w:rPr>
          <w:rFonts w:ascii="Times New Roman" w:hAnsi="Times New Roman"/>
          <w:b/>
          <w:sz w:val="24"/>
          <w:lang w:val="en-GB"/>
        </w:rPr>
        <w:t>.</w:t>
      </w:r>
    </w:p>
    <w:p w14:paraId="430F2D78" w14:textId="38F41965" w:rsidR="00F97761" w:rsidRPr="00BA5A45" w:rsidRDefault="00F97761" w:rsidP="00F42946">
      <w:pPr>
        <w:spacing w:after="0" w:line="480" w:lineRule="auto"/>
        <w:jc w:val="both"/>
        <w:rPr>
          <w:rFonts w:ascii="Times New Roman" w:hAnsi="Times New Roman"/>
          <w:sz w:val="24"/>
          <w:lang w:val="en-GB"/>
        </w:rPr>
      </w:pPr>
      <w:r w:rsidRPr="00BA5A45">
        <w:rPr>
          <w:rFonts w:ascii="Times New Roman" w:hAnsi="Times New Roman"/>
          <w:b/>
          <w:sz w:val="24"/>
          <w:lang w:val="en-GB"/>
        </w:rPr>
        <w:tab/>
      </w:r>
      <w:r w:rsidR="00816A5B" w:rsidRPr="00BA5A45">
        <w:rPr>
          <w:rFonts w:ascii="Times New Roman" w:hAnsi="Times New Roman"/>
          <w:b/>
          <w:sz w:val="24"/>
          <w:lang w:val="en-GB"/>
        </w:rPr>
        <w:tab/>
      </w:r>
      <w:r w:rsidRPr="00BA5A45">
        <w:rPr>
          <w:rFonts w:ascii="Times New Roman" w:hAnsi="Times New Roman"/>
          <w:sz w:val="24"/>
          <w:lang w:val="en-GB"/>
        </w:rPr>
        <w:t xml:space="preserve">It is common cause </w:t>
      </w:r>
      <w:r w:rsidR="00A3069F" w:rsidRPr="00BA5A45">
        <w:rPr>
          <w:rFonts w:ascii="Times New Roman" w:hAnsi="Times New Roman"/>
          <w:sz w:val="24"/>
          <w:lang w:val="en-GB"/>
        </w:rPr>
        <w:t>that the complainants signed a power of a</w:t>
      </w:r>
      <w:r w:rsidR="006826FD" w:rsidRPr="00BA5A45">
        <w:rPr>
          <w:rFonts w:ascii="Times New Roman" w:hAnsi="Times New Roman"/>
          <w:sz w:val="24"/>
          <w:lang w:val="en-GB"/>
        </w:rPr>
        <w:t>ttorney on 6 November 2012</w:t>
      </w:r>
      <w:r w:rsidRPr="00BA5A45">
        <w:rPr>
          <w:rFonts w:ascii="Times New Roman" w:hAnsi="Times New Roman"/>
          <w:sz w:val="24"/>
          <w:lang w:val="en-GB"/>
        </w:rPr>
        <w:t xml:space="preserve"> a</w:t>
      </w:r>
      <w:r w:rsidR="00513216" w:rsidRPr="00BA5A45">
        <w:rPr>
          <w:rFonts w:ascii="Times New Roman" w:hAnsi="Times New Roman"/>
          <w:sz w:val="24"/>
          <w:lang w:val="en-GB"/>
        </w:rPr>
        <w:t>ppointing Manokore and Partners</w:t>
      </w:r>
      <w:r w:rsidRPr="00BA5A45">
        <w:rPr>
          <w:rFonts w:ascii="Times New Roman" w:hAnsi="Times New Roman"/>
          <w:sz w:val="24"/>
          <w:lang w:val="en-GB"/>
        </w:rPr>
        <w:t xml:space="preserve"> to act as their </w:t>
      </w:r>
      <w:r w:rsidRPr="00BA5A45">
        <w:rPr>
          <w:rFonts w:ascii="Times New Roman" w:hAnsi="Times New Roman"/>
          <w:b/>
          <w:sz w:val="24"/>
          <w:lang w:val="en-GB"/>
        </w:rPr>
        <w:t>att</w:t>
      </w:r>
      <w:r w:rsidR="00CF0F4D" w:rsidRPr="00BA5A45">
        <w:rPr>
          <w:rFonts w:ascii="Times New Roman" w:hAnsi="Times New Roman"/>
          <w:b/>
          <w:sz w:val="24"/>
          <w:lang w:val="en-GB"/>
        </w:rPr>
        <w:t>orney and agent</w:t>
      </w:r>
      <w:r w:rsidR="00CF0F4D" w:rsidRPr="00BA5A45">
        <w:rPr>
          <w:rFonts w:ascii="Times New Roman" w:hAnsi="Times New Roman"/>
          <w:sz w:val="24"/>
          <w:lang w:val="en-GB"/>
        </w:rPr>
        <w:t xml:space="preserve"> whenever any</w:t>
      </w:r>
      <w:r w:rsidRPr="00BA5A45">
        <w:rPr>
          <w:rFonts w:ascii="Times New Roman" w:hAnsi="Times New Roman"/>
          <w:sz w:val="24"/>
          <w:lang w:val="en-GB"/>
        </w:rPr>
        <w:t xml:space="preserve"> debt </w:t>
      </w:r>
      <w:r w:rsidR="00CF0F4D" w:rsidRPr="00BA5A45">
        <w:rPr>
          <w:rFonts w:ascii="Times New Roman" w:hAnsi="Times New Roman"/>
          <w:sz w:val="24"/>
          <w:lang w:val="en-GB"/>
        </w:rPr>
        <w:t>owed</w:t>
      </w:r>
      <w:r w:rsidR="00B57768" w:rsidRPr="00BA5A45">
        <w:rPr>
          <w:rFonts w:ascii="Times New Roman" w:hAnsi="Times New Roman"/>
          <w:sz w:val="24"/>
          <w:lang w:val="en-GB"/>
        </w:rPr>
        <w:t xml:space="preserve"> to NFOL</w:t>
      </w:r>
      <w:r w:rsidR="00CF0F4D" w:rsidRPr="00BA5A45">
        <w:rPr>
          <w:rFonts w:ascii="Times New Roman" w:hAnsi="Times New Roman"/>
          <w:sz w:val="24"/>
          <w:lang w:val="en-GB"/>
        </w:rPr>
        <w:t xml:space="preserve"> by </w:t>
      </w:r>
      <w:r w:rsidR="00B57768" w:rsidRPr="00BA5A45">
        <w:rPr>
          <w:rFonts w:ascii="Times New Roman" w:hAnsi="Times New Roman"/>
          <w:sz w:val="24"/>
          <w:lang w:val="en-GB"/>
        </w:rPr>
        <w:t xml:space="preserve">the </w:t>
      </w:r>
      <w:r w:rsidR="00E52214" w:rsidRPr="00BA5A45">
        <w:rPr>
          <w:rFonts w:ascii="Times New Roman" w:hAnsi="Times New Roman"/>
          <w:sz w:val="24"/>
          <w:lang w:val="en-GB"/>
        </w:rPr>
        <w:t>complainant</w:t>
      </w:r>
      <w:r w:rsidR="00002455" w:rsidRPr="00BA5A45">
        <w:rPr>
          <w:rFonts w:ascii="Times New Roman" w:hAnsi="Times New Roman"/>
          <w:sz w:val="24"/>
          <w:lang w:val="en-GB"/>
        </w:rPr>
        <w:t>(</w:t>
      </w:r>
      <w:r w:rsidR="00E52214" w:rsidRPr="00BA5A45">
        <w:rPr>
          <w:rFonts w:ascii="Times New Roman" w:hAnsi="Times New Roman"/>
          <w:sz w:val="24"/>
          <w:lang w:val="en-GB"/>
        </w:rPr>
        <w:t>s</w:t>
      </w:r>
      <w:r w:rsidR="00002455" w:rsidRPr="00BA5A45">
        <w:rPr>
          <w:rFonts w:ascii="Times New Roman" w:hAnsi="Times New Roman"/>
          <w:sz w:val="24"/>
          <w:lang w:val="en-GB"/>
        </w:rPr>
        <w:t>)</w:t>
      </w:r>
      <w:r w:rsidR="00E52214" w:rsidRPr="00BA5A45">
        <w:rPr>
          <w:rFonts w:ascii="Times New Roman" w:hAnsi="Times New Roman"/>
          <w:sz w:val="24"/>
          <w:lang w:val="en-GB"/>
        </w:rPr>
        <w:t xml:space="preserve"> became</w:t>
      </w:r>
      <w:r w:rsidR="00066515" w:rsidRPr="00BA5A45">
        <w:rPr>
          <w:rFonts w:ascii="Times New Roman" w:hAnsi="Times New Roman"/>
          <w:sz w:val="24"/>
          <w:lang w:val="en-GB"/>
        </w:rPr>
        <w:t xml:space="preserve"> due</w:t>
      </w:r>
      <w:r w:rsidR="00A3069F" w:rsidRPr="00BA5A45">
        <w:rPr>
          <w:rFonts w:ascii="Times New Roman" w:hAnsi="Times New Roman"/>
          <w:sz w:val="24"/>
          <w:lang w:val="en-GB"/>
        </w:rPr>
        <w:t xml:space="preserve"> and remained unpaid. The said power of a</w:t>
      </w:r>
      <w:r w:rsidR="00066515" w:rsidRPr="00BA5A45">
        <w:rPr>
          <w:rFonts w:ascii="Times New Roman" w:hAnsi="Times New Roman"/>
          <w:sz w:val="24"/>
          <w:lang w:val="en-GB"/>
        </w:rPr>
        <w:t>ttorney reads as follows:</w:t>
      </w:r>
    </w:p>
    <w:p w14:paraId="38503CAC" w14:textId="6A1E9ECD" w:rsidR="00066515" w:rsidRPr="00BA5A45" w:rsidRDefault="00066515" w:rsidP="00F42946">
      <w:pPr>
        <w:spacing w:after="0" w:line="240" w:lineRule="auto"/>
        <w:jc w:val="both"/>
        <w:rPr>
          <w:rFonts w:ascii="Times New Roman" w:hAnsi="Times New Roman"/>
          <w:sz w:val="24"/>
          <w:lang w:val="en-GB"/>
        </w:rPr>
      </w:pPr>
      <w:r w:rsidRPr="00BA5A45">
        <w:rPr>
          <w:rFonts w:ascii="Times New Roman" w:hAnsi="Times New Roman"/>
          <w:sz w:val="24"/>
          <w:lang w:val="en-GB"/>
        </w:rPr>
        <w:tab/>
        <w:t>“We Perkins Zhawari and Lilian Zhawari</w:t>
      </w:r>
      <w:r w:rsidR="00A312D7" w:rsidRPr="00BA5A45">
        <w:rPr>
          <w:rFonts w:ascii="Times New Roman" w:hAnsi="Times New Roman"/>
          <w:sz w:val="24"/>
          <w:lang w:val="en-GB"/>
        </w:rPr>
        <w:t xml:space="preserve"> </w:t>
      </w:r>
      <w:r w:rsidRPr="00BA5A45">
        <w:rPr>
          <w:rFonts w:ascii="Times New Roman" w:hAnsi="Times New Roman"/>
          <w:sz w:val="24"/>
          <w:lang w:val="en-GB"/>
        </w:rPr>
        <w:t>…</w:t>
      </w:r>
    </w:p>
    <w:p w14:paraId="7934516C" w14:textId="46D6B8B8" w:rsidR="0051252E" w:rsidRPr="00BA5A45" w:rsidRDefault="00066515" w:rsidP="00F42946">
      <w:pPr>
        <w:spacing w:after="0" w:line="240" w:lineRule="auto"/>
        <w:ind w:left="720"/>
        <w:jc w:val="both"/>
        <w:rPr>
          <w:rFonts w:ascii="Times New Roman" w:hAnsi="Times New Roman"/>
          <w:sz w:val="24"/>
          <w:lang w:val="en-GB"/>
        </w:rPr>
      </w:pPr>
      <w:r w:rsidRPr="00BA5A45">
        <w:rPr>
          <w:rFonts w:ascii="Times New Roman" w:hAnsi="Times New Roman"/>
          <w:sz w:val="24"/>
          <w:lang w:val="en-GB"/>
        </w:rPr>
        <w:t xml:space="preserve">Do hereby appoint </w:t>
      </w:r>
      <w:r w:rsidRPr="00BA5A45">
        <w:rPr>
          <w:rFonts w:ascii="Times New Roman" w:hAnsi="Times New Roman"/>
          <w:b/>
          <w:bCs/>
          <w:sz w:val="24"/>
          <w:lang w:val="en-GB"/>
        </w:rPr>
        <w:t>Manokore &amp; Partners</w:t>
      </w:r>
      <w:r w:rsidRPr="00BA5A45">
        <w:rPr>
          <w:rFonts w:ascii="Times New Roman" w:hAnsi="Times New Roman"/>
          <w:sz w:val="24"/>
          <w:lang w:val="en-GB"/>
        </w:rPr>
        <w:t xml:space="preserve"> </w:t>
      </w:r>
      <w:r w:rsidR="0051252E" w:rsidRPr="00BA5A45">
        <w:rPr>
          <w:rFonts w:ascii="Times New Roman" w:hAnsi="Times New Roman"/>
          <w:sz w:val="24"/>
          <w:lang w:val="en-GB"/>
        </w:rPr>
        <w:t xml:space="preserve">the Attorneys of National Foods Operations Limited (hereinafter referred to as “NFOL”) or his nominee duly approved by NFOL, </w:t>
      </w:r>
      <w:r w:rsidR="0051252E" w:rsidRPr="00BA5A45">
        <w:rPr>
          <w:rFonts w:ascii="Times New Roman" w:hAnsi="Times New Roman"/>
          <w:b/>
          <w:sz w:val="24"/>
          <w:lang w:val="en-GB"/>
        </w:rPr>
        <w:t xml:space="preserve">to be my attorney and </w:t>
      </w:r>
      <w:r w:rsidR="005E0B06" w:rsidRPr="00BA5A45">
        <w:rPr>
          <w:rFonts w:ascii="Times New Roman" w:hAnsi="Times New Roman"/>
          <w:b/>
          <w:sz w:val="24"/>
          <w:lang w:val="en-GB"/>
        </w:rPr>
        <w:t>agent</w:t>
      </w:r>
      <w:r w:rsidR="005E0B06" w:rsidRPr="00BA5A45">
        <w:rPr>
          <w:rFonts w:ascii="Times New Roman" w:hAnsi="Times New Roman"/>
          <w:sz w:val="24"/>
          <w:lang w:val="en-GB"/>
        </w:rPr>
        <w:t>, whenever</w:t>
      </w:r>
      <w:r w:rsidR="0051252E" w:rsidRPr="00BA5A45">
        <w:rPr>
          <w:rFonts w:ascii="Times New Roman" w:hAnsi="Times New Roman"/>
          <w:sz w:val="24"/>
          <w:lang w:val="en-GB"/>
        </w:rPr>
        <w:t xml:space="preserve"> </w:t>
      </w:r>
      <w:r w:rsidR="0051252E" w:rsidRPr="00BA5A45">
        <w:rPr>
          <w:rFonts w:ascii="Times New Roman" w:hAnsi="Times New Roman"/>
          <w:b/>
          <w:sz w:val="24"/>
          <w:lang w:val="en-GB"/>
        </w:rPr>
        <w:t>any debt owed to</w:t>
      </w:r>
      <w:r w:rsidR="0051252E" w:rsidRPr="00BA5A45">
        <w:rPr>
          <w:rFonts w:ascii="Times New Roman" w:hAnsi="Times New Roman"/>
          <w:sz w:val="24"/>
          <w:lang w:val="en-GB"/>
        </w:rPr>
        <w:t xml:space="preserve"> </w:t>
      </w:r>
      <w:r w:rsidR="0051252E" w:rsidRPr="00BA5A45">
        <w:rPr>
          <w:rFonts w:ascii="Times New Roman" w:hAnsi="Times New Roman"/>
          <w:b/>
          <w:sz w:val="24"/>
          <w:lang w:val="en-GB"/>
        </w:rPr>
        <w:t>NFOL by me</w:t>
      </w:r>
      <w:r w:rsidR="0051252E" w:rsidRPr="00BA5A45">
        <w:rPr>
          <w:rFonts w:ascii="Times New Roman" w:hAnsi="Times New Roman"/>
          <w:sz w:val="24"/>
          <w:lang w:val="en-GB"/>
        </w:rPr>
        <w:t xml:space="preserve"> falls due and remains unpaid for 7 </w:t>
      </w:r>
      <w:r w:rsidR="005E0B06" w:rsidRPr="00BA5A45">
        <w:rPr>
          <w:rFonts w:ascii="Times New Roman" w:hAnsi="Times New Roman"/>
          <w:sz w:val="24"/>
          <w:lang w:val="en-GB"/>
        </w:rPr>
        <w:t>days, to</w:t>
      </w:r>
      <w:r w:rsidR="0051252E" w:rsidRPr="00BA5A45">
        <w:rPr>
          <w:rFonts w:ascii="Times New Roman" w:hAnsi="Times New Roman"/>
          <w:sz w:val="24"/>
          <w:lang w:val="en-GB"/>
        </w:rPr>
        <w:t xml:space="preserve"> sell or otherwise dispose of, on my </w:t>
      </w:r>
      <w:r w:rsidR="005E0B06" w:rsidRPr="00BA5A45">
        <w:rPr>
          <w:rFonts w:ascii="Times New Roman" w:hAnsi="Times New Roman"/>
          <w:sz w:val="24"/>
          <w:lang w:val="en-GB"/>
        </w:rPr>
        <w:t>behalf, the</w:t>
      </w:r>
      <w:r w:rsidR="0051252E" w:rsidRPr="00BA5A45">
        <w:rPr>
          <w:rFonts w:ascii="Times New Roman" w:hAnsi="Times New Roman"/>
          <w:sz w:val="24"/>
          <w:lang w:val="en-GB"/>
        </w:rPr>
        <w:t xml:space="preserve"> properties specified in the Schedule to this Power of Attorney, the Title Deeds to which I have voluntarily surrendered to NFOL, and to use my proceeds for the sale or disposal to settle </w:t>
      </w:r>
      <w:r w:rsidR="0051252E" w:rsidRPr="00BA5A45">
        <w:rPr>
          <w:rFonts w:ascii="Times New Roman" w:hAnsi="Times New Roman"/>
          <w:b/>
          <w:sz w:val="24"/>
          <w:lang w:val="en-GB"/>
        </w:rPr>
        <w:t>the debt owing and due by</w:t>
      </w:r>
      <w:r w:rsidR="0051252E" w:rsidRPr="00BA5A45">
        <w:rPr>
          <w:rFonts w:ascii="Times New Roman" w:hAnsi="Times New Roman"/>
          <w:sz w:val="24"/>
          <w:lang w:val="en-GB"/>
        </w:rPr>
        <w:t xml:space="preserve"> </w:t>
      </w:r>
      <w:r w:rsidR="0051252E" w:rsidRPr="00BA5A45">
        <w:rPr>
          <w:rFonts w:ascii="Times New Roman" w:hAnsi="Times New Roman"/>
          <w:b/>
          <w:sz w:val="24"/>
          <w:lang w:val="en-GB"/>
        </w:rPr>
        <w:t>me to NFOL</w:t>
      </w:r>
      <w:r w:rsidR="0051252E" w:rsidRPr="00BA5A45">
        <w:rPr>
          <w:rFonts w:ascii="Times New Roman" w:hAnsi="Times New Roman"/>
          <w:sz w:val="24"/>
          <w:lang w:val="en-GB"/>
        </w:rPr>
        <w:t xml:space="preserve"> and, if there is any balance remaining, to return the balance to me forthwith.”</w:t>
      </w:r>
      <w:r w:rsidR="0051252E" w:rsidRPr="00BA5A45">
        <w:rPr>
          <w:rFonts w:ascii="Times New Roman" w:hAnsi="Times New Roman"/>
          <w:i/>
          <w:sz w:val="24"/>
          <w:lang w:val="en-GB"/>
        </w:rPr>
        <w:t xml:space="preserve"> </w:t>
      </w:r>
      <w:r w:rsidR="0051252E" w:rsidRPr="00BA5A45">
        <w:rPr>
          <w:rFonts w:ascii="Times New Roman" w:hAnsi="Times New Roman"/>
          <w:sz w:val="24"/>
          <w:lang w:val="en-GB"/>
        </w:rPr>
        <w:t xml:space="preserve">(my </w:t>
      </w:r>
      <w:r w:rsidR="00EE6FCF" w:rsidRPr="00BA5A45">
        <w:rPr>
          <w:rFonts w:ascii="Times New Roman" w:hAnsi="Times New Roman"/>
          <w:sz w:val="24"/>
          <w:lang w:val="en-GB"/>
        </w:rPr>
        <w:t>emphasis</w:t>
      </w:r>
      <w:r w:rsidR="0051252E" w:rsidRPr="00BA5A45">
        <w:rPr>
          <w:rFonts w:ascii="Times New Roman" w:hAnsi="Times New Roman"/>
          <w:sz w:val="24"/>
          <w:lang w:val="en-GB"/>
        </w:rPr>
        <w:t>)</w:t>
      </w:r>
    </w:p>
    <w:p w14:paraId="4DDFC9EC" w14:textId="77777777" w:rsidR="007B57EE" w:rsidRPr="00BA5A45" w:rsidRDefault="007B57EE" w:rsidP="00F42946">
      <w:pPr>
        <w:spacing w:after="0" w:line="240" w:lineRule="auto"/>
        <w:ind w:left="720"/>
        <w:jc w:val="both"/>
        <w:rPr>
          <w:rFonts w:ascii="Times New Roman" w:hAnsi="Times New Roman"/>
          <w:sz w:val="24"/>
          <w:lang w:val="en-GB"/>
        </w:rPr>
      </w:pPr>
    </w:p>
    <w:p w14:paraId="1D524677" w14:textId="77777777" w:rsidR="007B57EE" w:rsidRPr="00BA5A45" w:rsidRDefault="007B57EE" w:rsidP="00F42946">
      <w:pPr>
        <w:spacing w:after="0" w:line="240" w:lineRule="auto"/>
        <w:ind w:left="720"/>
        <w:jc w:val="both"/>
        <w:rPr>
          <w:rFonts w:ascii="Times New Roman" w:hAnsi="Times New Roman"/>
          <w:sz w:val="24"/>
          <w:lang w:val="en-GB"/>
        </w:rPr>
      </w:pPr>
    </w:p>
    <w:p w14:paraId="78661400" w14:textId="77777777" w:rsidR="007B57EE" w:rsidRPr="00BA5A45" w:rsidRDefault="007B57EE" w:rsidP="00F42946">
      <w:pPr>
        <w:spacing w:after="0" w:line="240" w:lineRule="auto"/>
        <w:ind w:left="720"/>
        <w:jc w:val="both"/>
        <w:rPr>
          <w:rFonts w:ascii="Times New Roman" w:hAnsi="Times New Roman"/>
          <w:sz w:val="24"/>
          <w:lang w:val="en-GB"/>
        </w:rPr>
      </w:pPr>
    </w:p>
    <w:p w14:paraId="67248C40" w14:textId="4752AC9E" w:rsidR="0051252E" w:rsidRPr="00BA5A45" w:rsidRDefault="0051252E" w:rsidP="00F42946">
      <w:pPr>
        <w:spacing w:after="0" w:line="480" w:lineRule="auto"/>
        <w:jc w:val="both"/>
        <w:rPr>
          <w:rFonts w:ascii="Times New Roman" w:hAnsi="Times New Roman"/>
          <w:sz w:val="24"/>
          <w:lang w:val="en-GB"/>
        </w:rPr>
      </w:pPr>
      <w:r w:rsidRPr="00BA5A45">
        <w:rPr>
          <w:rFonts w:ascii="Times New Roman" w:hAnsi="Times New Roman"/>
          <w:sz w:val="24"/>
          <w:lang w:val="en-GB"/>
        </w:rPr>
        <w:tab/>
      </w:r>
      <w:r w:rsidR="00816A5B" w:rsidRPr="00BA5A45">
        <w:rPr>
          <w:rFonts w:ascii="Times New Roman" w:hAnsi="Times New Roman"/>
          <w:sz w:val="24"/>
          <w:lang w:val="en-GB"/>
        </w:rPr>
        <w:tab/>
      </w:r>
      <w:r w:rsidRPr="00BA5A45">
        <w:rPr>
          <w:rFonts w:ascii="Times New Roman" w:hAnsi="Times New Roman"/>
          <w:sz w:val="24"/>
          <w:lang w:val="en-GB"/>
        </w:rPr>
        <w:t>From the above, it is quite clear th</w:t>
      </w:r>
      <w:r w:rsidR="00A3069F" w:rsidRPr="00BA5A45">
        <w:rPr>
          <w:rFonts w:ascii="Times New Roman" w:hAnsi="Times New Roman"/>
          <w:sz w:val="24"/>
          <w:lang w:val="en-GB"/>
        </w:rPr>
        <w:t>at the complainants signed the power of a</w:t>
      </w:r>
      <w:r w:rsidRPr="00BA5A45">
        <w:rPr>
          <w:rFonts w:ascii="Times New Roman" w:hAnsi="Times New Roman"/>
          <w:sz w:val="24"/>
          <w:lang w:val="en-GB"/>
        </w:rPr>
        <w:t xml:space="preserve">ttorney with the intention to appoint </w:t>
      </w:r>
      <w:r w:rsidR="00816A5B" w:rsidRPr="00BA5A45">
        <w:rPr>
          <w:rFonts w:ascii="Times New Roman" w:hAnsi="Times New Roman"/>
          <w:sz w:val="24"/>
          <w:lang w:val="en-GB"/>
        </w:rPr>
        <w:t>a law firm</w:t>
      </w:r>
      <w:r w:rsidR="000A4209" w:rsidRPr="00BA5A45">
        <w:rPr>
          <w:rFonts w:ascii="Times New Roman" w:hAnsi="Times New Roman"/>
          <w:sz w:val="24"/>
          <w:lang w:val="en-GB"/>
        </w:rPr>
        <w:t>,</w:t>
      </w:r>
      <w:r w:rsidR="00816A5B" w:rsidRPr="00BA5A45">
        <w:rPr>
          <w:rFonts w:ascii="Times New Roman" w:hAnsi="Times New Roman"/>
          <w:sz w:val="24"/>
          <w:lang w:val="en-GB"/>
        </w:rPr>
        <w:t xml:space="preserve"> </w:t>
      </w:r>
      <w:r w:rsidR="0045314E" w:rsidRPr="00BA5A45">
        <w:rPr>
          <w:rFonts w:ascii="Times New Roman" w:hAnsi="Times New Roman"/>
          <w:sz w:val="24"/>
          <w:lang w:val="en-GB"/>
        </w:rPr>
        <w:t xml:space="preserve">Manokore and </w:t>
      </w:r>
      <w:r w:rsidR="00EE6FCF" w:rsidRPr="00BA5A45">
        <w:rPr>
          <w:rFonts w:ascii="Times New Roman" w:hAnsi="Times New Roman"/>
          <w:sz w:val="24"/>
          <w:lang w:val="en-GB"/>
        </w:rPr>
        <w:t>P</w:t>
      </w:r>
      <w:r w:rsidR="0045314E" w:rsidRPr="00BA5A45">
        <w:rPr>
          <w:rFonts w:ascii="Times New Roman" w:hAnsi="Times New Roman"/>
          <w:sz w:val="24"/>
          <w:lang w:val="en-GB"/>
        </w:rPr>
        <w:t>artners</w:t>
      </w:r>
      <w:r w:rsidR="000A4209" w:rsidRPr="00BA5A45">
        <w:rPr>
          <w:rFonts w:ascii="Times New Roman" w:hAnsi="Times New Roman"/>
          <w:sz w:val="24"/>
          <w:lang w:val="en-GB"/>
        </w:rPr>
        <w:t>,</w:t>
      </w:r>
      <w:r w:rsidRPr="00BA5A45">
        <w:rPr>
          <w:rFonts w:ascii="Times New Roman" w:hAnsi="Times New Roman"/>
          <w:sz w:val="24"/>
          <w:lang w:val="en-GB"/>
        </w:rPr>
        <w:t xml:space="preserve"> as their </w:t>
      </w:r>
      <w:r w:rsidR="00BC31C6" w:rsidRPr="00BA5A45">
        <w:rPr>
          <w:rFonts w:ascii="Times New Roman" w:hAnsi="Times New Roman"/>
          <w:sz w:val="24"/>
          <w:lang w:val="en-GB"/>
        </w:rPr>
        <w:t>Attorney and agent</w:t>
      </w:r>
      <w:r w:rsidRPr="00BA5A45">
        <w:rPr>
          <w:rFonts w:ascii="Times New Roman" w:hAnsi="Times New Roman"/>
          <w:sz w:val="24"/>
          <w:lang w:val="en-GB"/>
        </w:rPr>
        <w:t>. The co</w:t>
      </w:r>
      <w:r w:rsidR="00BC31C6" w:rsidRPr="00BA5A45">
        <w:rPr>
          <w:rFonts w:ascii="Times New Roman" w:hAnsi="Times New Roman"/>
          <w:sz w:val="24"/>
          <w:lang w:val="en-GB"/>
        </w:rPr>
        <w:t>mplainants also gave the law firm</w:t>
      </w:r>
      <w:r w:rsidRPr="00BA5A45">
        <w:rPr>
          <w:rFonts w:ascii="Times New Roman" w:hAnsi="Times New Roman"/>
          <w:sz w:val="24"/>
          <w:lang w:val="en-GB"/>
        </w:rPr>
        <w:t xml:space="preserve"> the mandate to act on their behalf in the event that </w:t>
      </w:r>
      <w:r w:rsidR="00EE6FCF" w:rsidRPr="00BA5A45">
        <w:rPr>
          <w:rFonts w:ascii="Times New Roman" w:hAnsi="Times New Roman"/>
          <w:sz w:val="24"/>
          <w:lang w:val="en-GB"/>
        </w:rPr>
        <w:t>‘any</w:t>
      </w:r>
      <w:r w:rsidRPr="00BA5A45">
        <w:rPr>
          <w:rFonts w:ascii="Times New Roman" w:hAnsi="Times New Roman"/>
          <w:sz w:val="24"/>
          <w:lang w:val="en-GB"/>
        </w:rPr>
        <w:t xml:space="preserve"> debt </w:t>
      </w:r>
      <w:r w:rsidR="00EE6FCF" w:rsidRPr="00BA5A45">
        <w:rPr>
          <w:rFonts w:ascii="Times New Roman" w:hAnsi="Times New Roman"/>
          <w:sz w:val="24"/>
          <w:lang w:val="en-GB"/>
        </w:rPr>
        <w:t>owed to</w:t>
      </w:r>
      <w:r w:rsidR="00AC42BD" w:rsidRPr="00BA5A45">
        <w:rPr>
          <w:rFonts w:ascii="Times New Roman" w:hAnsi="Times New Roman"/>
          <w:sz w:val="24"/>
          <w:lang w:val="en-GB"/>
        </w:rPr>
        <w:t>’</w:t>
      </w:r>
      <w:r w:rsidR="00EE6FCF" w:rsidRPr="00BA5A45">
        <w:rPr>
          <w:rFonts w:ascii="Times New Roman" w:hAnsi="Times New Roman"/>
          <w:sz w:val="24"/>
          <w:lang w:val="en-GB"/>
        </w:rPr>
        <w:t xml:space="preserve"> </w:t>
      </w:r>
      <w:r w:rsidR="00B57768" w:rsidRPr="00BA5A45">
        <w:rPr>
          <w:rFonts w:ascii="Times New Roman" w:hAnsi="Times New Roman"/>
          <w:sz w:val="24"/>
          <w:lang w:val="en-GB"/>
        </w:rPr>
        <w:t>NFOL</w:t>
      </w:r>
      <w:r w:rsidR="00FA5F2E" w:rsidRPr="00BA5A45">
        <w:rPr>
          <w:rFonts w:ascii="Times New Roman" w:hAnsi="Times New Roman"/>
          <w:sz w:val="24"/>
          <w:lang w:val="en-GB"/>
        </w:rPr>
        <w:t xml:space="preserve"> </w:t>
      </w:r>
      <w:r w:rsidR="005E40B5" w:rsidRPr="00BA5A45">
        <w:rPr>
          <w:rFonts w:ascii="Times New Roman" w:hAnsi="Times New Roman"/>
          <w:sz w:val="24"/>
          <w:lang w:val="en-GB"/>
        </w:rPr>
        <w:t xml:space="preserve">by </w:t>
      </w:r>
      <w:r w:rsidR="00AC42BD" w:rsidRPr="00BA5A45">
        <w:rPr>
          <w:rFonts w:ascii="Times New Roman" w:hAnsi="Times New Roman"/>
          <w:sz w:val="24"/>
          <w:lang w:val="en-GB"/>
        </w:rPr>
        <w:t>‘</w:t>
      </w:r>
      <w:r w:rsidR="00EE6FCF" w:rsidRPr="00BA5A45">
        <w:rPr>
          <w:rFonts w:ascii="Times New Roman" w:hAnsi="Times New Roman"/>
          <w:sz w:val="24"/>
          <w:lang w:val="en-GB"/>
        </w:rPr>
        <w:t>me’</w:t>
      </w:r>
      <w:r w:rsidR="005E40B5" w:rsidRPr="00BA5A45">
        <w:rPr>
          <w:rFonts w:ascii="Times New Roman" w:hAnsi="Times New Roman"/>
          <w:sz w:val="24"/>
          <w:lang w:val="en-GB"/>
        </w:rPr>
        <w:t xml:space="preserve"> </w:t>
      </w:r>
      <w:r w:rsidR="00FA5F2E" w:rsidRPr="00BA5A45">
        <w:rPr>
          <w:rFonts w:ascii="Times New Roman" w:hAnsi="Times New Roman"/>
          <w:sz w:val="24"/>
          <w:lang w:val="en-GB"/>
        </w:rPr>
        <w:t xml:space="preserve">was </w:t>
      </w:r>
      <w:r w:rsidR="005E40B5" w:rsidRPr="00BA5A45">
        <w:rPr>
          <w:rFonts w:ascii="Times New Roman" w:hAnsi="Times New Roman"/>
          <w:sz w:val="24"/>
          <w:lang w:val="en-GB"/>
        </w:rPr>
        <w:t>not paid off</w:t>
      </w:r>
      <w:r w:rsidR="00EE6FCF" w:rsidRPr="00BA5A45">
        <w:rPr>
          <w:rFonts w:ascii="Times New Roman" w:hAnsi="Times New Roman"/>
          <w:sz w:val="24"/>
          <w:lang w:val="en-GB"/>
        </w:rPr>
        <w:t xml:space="preserve"> within 7 days of becoming due</w:t>
      </w:r>
      <w:r w:rsidR="00FA5F2E" w:rsidRPr="00BA5A45">
        <w:rPr>
          <w:rFonts w:ascii="Times New Roman" w:hAnsi="Times New Roman"/>
          <w:sz w:val="24"/>
          <w:lang w:val="en-GB"/>
        </w:rPr>
        <w:t>.</w:t>
      </w:r>
      <w:r w:rsidR="005E40B5" w:rsidRPr="00BA5A45">
        <w:rPr>
          <w:rFonts w:ascii="Times New Roman" w:hAnsi="Times New Roman"/>
          <w:sz w:val="24"/>
          <w:lang w:val="en-GB"/>
        </w:rPr>
        <w:t xml:space="preserve"> </w:t>
      </w:r>
      <w:r w:rsidR="00AC42BD" w:rsidRPr="00BA5A45">
        <w:rPr>
          <w:rFonts w:ascii="Times New Roman" w:hAnsi="Times New Roman"/>
          <w:sz w:val="24"/>
          <w:lang w:val="en-GB"/>
        </w:rPr>
        <w:t xml:space="preserve">The part of the debt </w:t>
      </w:r>
      <w:r w:rsidR="00AC42BD" w:rsidRPr="00BA5A45">
        <w:rPr>
          <w:rFonts w:ascii="Times New Roman" w:hAnsi="Times New Roman"/>
          <w:sz w:val="24"/>
          <w:lang w:val="en-GB"/>
        </w:rPr>
        <w:lastRenderedPageBreak/>
        <w:t>owing a</w:t>
      </w:r>
      <w:r w:rsidR="00B57768" w:rsidRPr="00BA5A45">
        <w:rPr>
          <w:rFonts w:ascii="Times New Roman" w:hAnsi="Times New Roman"/>
          <w:sz w:val="24"/>
          <w:lang w:val="en-GB"/>
        </w:rPr>
        <w:t>nd due by ‘me’ to NFOL</w:t>
      </w:r>
      <w:r w:rsidR="00AC42BD" w:rsidRPr="00BA5A45">
        <w:rPr>
          <w:rFonts w:ascii="Times New Roman" w:hAnsi="Times New Roman"/>
          <w:sz w:val="24"/>
          <w:lang w:val="en-GB"/>
        </w:rPr>
        <w:t xml:space="preserve"> is repeated in the latter part of the power of attorney showing clearly it had to be a debt owed by the complainants. </w:t>
      </w:r>
      <w:r w:rsidR="00BC31C6" w:rsidRPr="00BA5A45">
        <w:rPr>
          <w:rFonts w:ascii="Times New Roman" w:hAnsi="Times New Roman"/>
          <w:sz w:val="24"/>
          <w:lang w:val="en-GB"/>
        </w:rPr>
        <w:t xml:space="preserve">By virtue of such </w:t>
      </w:r>
      <w:r w:rsidR="00105000" w:rsidRPr="00BA5A45">
        <w:rPr>
          <w:rFonts w:ascii="Times New Roman" w:hAnsi="Times New Roman"/>
          <w:sz w:val="24"/>
          <w:lang w:val="en-GB"/>
        </w:rPr>
        <w:t>appointment</w:t>
      </w:r>
      <w:r w:rsidR="00BC31C6" w:rsidRPr="00BA5A45">
        <w:rPr>
          <w:rFonts w:ascii="Times New Roman" w:hAnsi="Times New Roman"/>
          <w:sz w:val="24"/>
          <w:lang w:val="en-GB"/>
        </w:rPr>
        <w:t xml:space="preserve"> Manokore &amp; Partners were now agents with the complai</w:t>
      </w:r>
      <w:r w:rsidR="00D108A7" w:rsidRPr="00BA5A45">
        <w:rPr>
          <w:rFonts w:ascii="Times New Roman" w:hAnsi="Times New Roman"/>
          <w:sz w:val="24"/>
          <w:lang w:val="en-GB"/>
        </w:rPr>
        <w:t>nants as</w:t>
      </w:r>
      <w:r w:rsidR="00AF53FF" w:rsidRPr="00BA5A45">
        <w:rPr>
          <w:rFonts w:ascii="Times New Roman" w:hAnsi="Times New Roman"/>
          <w:sz w:val="24"/>
          <w:lang w:val="en-GB"/>
        </w:rPr>
        <w:t xml:space="preserve"> the principals. </w:t>
      </w:r>
      <w:r w:rsidR="00BC31C6" w:rsidRPr="00BA5A45">
        <w:rPr>
          <w:rFonts w:ascii="Times New Roman" w:hAnsi="Times New Roman"/>
          <w:sz w:val="24"/>
          <w:lang w:val="en-GB"/>
        </w:rPr>
        <w:t xml:space="preserve"> </w:t>
      </w:r>
      <w:r w:rsidR="00AF53FF" w:rsidRPr="00BA5A45">
        <w:rPr>
          <w:rFonts w:ascii="Times New Roman" w:hAnsi="Times New Roman"/>
          <w:sz w:val="24"/>
          <w:lang w:val="en-GB"/>
        </w:rPr>
        <w:t>Their</w:t>
      </w:r>
      <w:r w:rsidR="00BC31C6" w:rsidRPr="00BA5A45">
        <w:rPr>
          <w:rFonts w:ascii="Times New Roman" w:hAnsi="Times New Roman"/>
          <w:sz w:val="24"/>
          <w:lang w:val="en-GB"/>
        </w:rPr>
        <w:t xml:space="preserve"> mandate </w:t>
      </w:r>
      <w:r w:rsidR="00AC42BD" w:rsidRPr="00BA5A45">
        <w:rPr>
          <w:rFonts w:ascii="Times New Roman" w:hAnsi="Times New Roman"/>
          <w:sz w:val="24"/>
          <w:lang w:val="en-GB"/>
        </w:rPr>
        <w:t xml:space="preserve">was to carry out certain tasks </w:t>
      </w:r>
      <w:r w:rsidR="00BC31C6" w:rsidRPr="00BA5A45">
        <w:rPr>
          <w:rFonts w:ascii="Times New Roman" w:hAnsi="Times New Roman"/>
          <w:sz w:val="24"/>
          <w:lang w:val="en-GB"/>
        </w:rPr>
        <w:t xml:space="preserve">in the interests of the </w:t>
      </w:r>
      <w:r w:rsidR="00AF53FF" w:rsidRPr="00BA5A45">
        <w:rPr>
          <w:rFonts w:ascii="Times New Roman" w:hAnsi="Times New Roman"/>
          <w:sz w:val="24"/>
          <w:lang w:val="en-GB"/>
        </w:rPr>
        <w:t>principals. They</w:t>
      </w:r>
      <w:r w:rsidR="000A093F" w:rsidRPr="00BA5A45">
        <w:rPr>
          <w:rFonts w:ascii="Times New Roman" w:hAnsi="Times New Roman"/>
          <w:sz w:val="24"/>
          <w:lang w:val="en-GB"/>
        </w:rPr>
        <w:t xml:space="preserve"> were thus expected to act with due care in the fulfilment of that </w:t>
      </w:r>
      <w:r w:rsidR="001F402E" w:rsidRPr="00BA5A45">
        <w:rPr>
          <w:rFonts w:ascii="Times New Roman" w:hAnsi="Times New Roman"/>
          <w:sz w:val="24"/>
          <w:lang w:val="en-GB"/>
        </w:rPr>
        <w:t xml:space="preserve">mandate. </w:t>
      </w:r>
    </w:p>
    <w:p w14:paraId="57C335D9" w14:textId="77777777" w:rsidR="00D81197" w:rsidRPr="00BA5A45" w:rsidRDefault="00D81197" w:rsidP="00F42946">
      <w:pPr>
        <w:spacing w:after="0" w:line="480" w:lineRule="auto"/>
        <w:jc w:val="both"/>
        <w:rPr>
          <w:rFonts w:ascii="Times New Roman" w:hAnsi="Times New Roman"/>
          <w:sz w:val="24"/>
          <w:lang w:val="en-GB"/>
        </w:rPr>
      </w:pPr>
    </w:p>
    <w:p w14:paraId="0025625F" w14:textId="11134C78" w:rsidR="00E97E9E" w:rsidRPr="00BA5A45" w:rsidRDefault="00E97E9E" w:rsidP="00F42946">
      <w:pPr>
        <w:spacing w:after="0" w:line="480" w:lineRule="auto"/>
        <w:jc w:val="both"/>
        <w:rPr>
          <w:rFonts w:ascii="Times New Roman" w:hAnsi="Times New Roman"/>
          <w:sz w:val="24"/>
          <w:lang w:val="en-GB"/>
        </w:rPr>
      </w:pPr>
      <w:r w:rsidRPr="00BA5A45">
        <w:rPr>
          <w:rFonts w:ascii="Times New Roman" w:hAnsi="Times New Roman"/>
          <w:sz w:val="24"/>
          <w:lang w:val="en-GB"/>
        </w:rPr>
        <w:tab/>
      </w:r>
      <w:r w:rsidR="00816A5B" w:rsidRPr="00BA5A45">
        <w:rPr>
          <w:rFonts w:ascii="Times New Roman" w:hAnsi="Times New Roman"/>
          <w:sz w:val="24"/>
          <w:lang w:val="en-GB"/>
        </w:rPr>
        <w:tab/>
      </w:r>
      <w:r w:rsidRPr="00BA5A45">
        <w:rPr>
          <w:rFonts w:ascii="Times New Roman" w:hAnsi="Times New Roman"/>
          <w:sz w:val="24"/>
          <w:lang w:val="en-GB"/>
        </w:rPr>
        <w:t xml:space="preserve">In </w:t>
      </w:r>
      <w:r w:rsidRPr="00BA5A45">
        <w:rPr>
          <w:rFonts w:ascii="Times New Roman" w:hAnsi="Times New Roman"/>
          <w:i/>
          <w:sz w:val="24"/>
          <w:lang w:val="en-GB"/>
        </w:rPr>
        <w:t xml:space="preserve">Ritenote Printers (Pvt) Ltd &amp; Anor v Adam &amp; Company </w:t>
      </w:r>
      <w:r w:rsidRPr="00BA5A45">
        <w:rPr>
          <w:rFonts w:ascii="Times New Roman" w:hAnsi="Times New Roman"/>
          <w:sz w:val="24"/>
          <w:lang w:val="en-GB"/>
        </w:rPr>
        <w:t>SC</w:t>
      </w:r>
      <w:r w:rsidR="0024140D" w:rsidRPr="00BA5A45">
        <w:rPr>
          <w:rFonts w:ascii="Times New Roman" w:hAnsi="Times New Roman"/>
          <w:sz w:val="24"/>
          <w:lang w:val="en-GB"/>
        </w:rPr>
        <w:t xml:space="preserve"> 26/16</w:t>
      </w:r>
      <w:r w:rsidRPr="00BA5A45">
        <w:rPr>
          <w:rFonts w:ascii="Times New Roman" w:hAnsi="Times New Roman"/>
          <w:sz w:val="24"/>
          <w:lang w:val="en-GB"/>
        </w:rPr>
        <w:t>,</w:t>
      </w:r>
      <w:r w:rsidR="00A862E0" w:rsidRPr="00BA5A45">
        <w:rPr>
          <w:rFonts w:ascii="Times New Roman" w:hAnsi="Times New Roman"/>
          <w:sz w:val="24"/>
          <w:lang w:val="en-GB"/>
        </w:rPr>
        <w:t xml:space="preserve"> this</w:t>
      </w:r>
      <w:r w:rsidRPr="00BA5A45">
        <w:rPr>
          <w:rFonts w:ascii="Times New Roman" w:hAnsi="Times New Roman"/>
          <w:sz w:val="24"/>
          <w:lang w:val="en-GB"/>
        </w:rPr>
        <w:t xml:space="preserve"> Court stated the following regarding the attorney-client relationship:</w:t>
      </w:r>
    </w:p>
    <w:p w14:paraId="353B984D" w14:textId="1DC2B5A7" w:rsidR="00F71A18" w:rsidRPr="00BA5A45" w:rsidRDefault="00E97E9E" w:rsidP="00F42946">
      <w:pPr>
        <w:spacing w:after="0" w:line="240" w:lineRule="auto"/>
        <w:ind w:left="567"/>
        <w:jc w:val="both"/>
        <w:rPr>
          <w:rFonts w:ascii="Times New Roman" w:hAnsi="Times New Roman"/>
          <w:sz w:val="24"/>
        </w:rPr>
      </w:pPr>
      <w:r w:rsidRPr="00BA5A45">
        <w:rPr>
          <w:rFonts w:ascii="Times New Roman" w:hAnsi="Times New Roman"/>
          <w:sz w:val="24"/>
          <w:lang w:val="en-GB"/>
        </w:rPr>
        <w:t>“</w:t>
      </w:r>
      <w:r w:rsidR="00360CC9" w:rsidRPr="00BA5A45">
        <w:rPr>
          <w:rFonts w:ascii="Times New Roman" w:hAnsi="Times New Roman"/>
          <w:sz w:val="24"/>
        </w:rPr>
        <w:t>The position in English law is clear.  A legal pract</w:t>
      </w:r>
      <w:r w:rsidRPr="00BA5A45">
        <w:rPr>
          <w:rFonts w:ascii="Times New Roman" w:hAnsi="Times New Roman"/>
          <w:sz w:val="24"/>
        </w:rPr>
        <w:t>itioner is his client’s agent. …</w:t>
      </w:r>
      <w:r w:rsidR="00360CC9" w:rsidRPr="00BA5A45">
        <w:rPr>
          <w:rFonts w:ascii="Times New Roman" w:hAnsi="Times New Roman"/>
          <w:sz w:val="24"/>
        </w:rPr>
        <w:t>This is the pos</w:t>
      </w:r>
      <w:r w:rsidR="00C07557">
        <w:rPr>
          <w:rFonts w:ascii="Times New Roman" w:hAnsi="Times New Roman"/>
          <w:sz w:val="24"/>
        </w:rPr>
        <w:t>ition both in contract or delict.”</w:t>
      </w:r>
    </w:p>
    <w:p w14:paraId="76F59999" w14:textId="77777777" w:rsidR="00D81197" w:rsidRPr="00BA5A45" w:rsidRDefault="00D81197" w:rsidP="00F42946">
      <w:pPr>
        <w:spacing w:after="0" w:line="480" w:lineRule="auto"/>
        <w:ind w:left="720"/>
        <w:jc w:val="both"/>
        <w:rPr>
          <w:rFonts w:ascii="Times New Roman" w:hAnsi="Times New Roman"/>
          <w:sz w:val="24"/>
        </w:rPr>
      </w:pPr>
    </w:p>
    <w:p w14:paraId="2AFF64A9" w14:textId="77777777" w:rsidR="00816A5B" w:rsidRPr="00BA5A45" w:rsidRDefault="00816A5B" w:rsidP="00F42946">
      <w:pPr>
        <w:spacing w:after="0" w:line="240" w:lineRule="auto"/>
        <w:ind w:left="720"/>
        <w:jc w:val="both"/>
        <w:rPr>
          <w:rFonts w:ascii="Times New Roman" w:hAnsi="Times New Roman"/>
          <w:sz w:val="24"/>
        </w:rPr>
      </w:pPr>
    </w:p>
    <w:p w14:paraId="41BFBD05" w14:textId="303BE184" w:rsidR="00174E58" w:rsidRPr="00BA5A45" w:rsidRDefault="00E97E9E" w:rsidP="00F42946">
      <w:pPr>
        <w:spacing w:after="0" w:line="480" w:lineRule="auto"/>
        <w:ind w:firstLine="1134"/>
        <w:jc w:val="both"/>
        <w:rPr>
          <w:rFonts w:ascii="Times New Roman" w:hAnsi="Times New Roman"/>
          <w:sz w:val="24"/>
        </w:rPr>
      </w:pPr>
      <w:r w:rsidRPr="00BA5A45">
        <w:rPr>
          <w:rFonts w:ascii="Times New Roman" w:hAnsi="Times New Roman"/>
          <w:sz w:val="24"/>
        </w:rPr>
        <w:t xml:space="preserve">The Court further cited the South African case of </w:t>
      </w:r>
      <w:r w:rsidR="00360CC9" w:rsidRPr="00BA5A45">
        <w:rPr>
          <w:rFonts w:ascii="Times New Roman" w:hAnsi="Times New Roman"/>
          <w:i/>
          <w:sz w:val="24"/>
        </w:rPr>
        <w:t xml:space="preserve">Eksteen v Van Schalkwyk en’n Ander </w:t>
      </w:r>
      <w:r w:rsidR="00360CC9" w:rsidRPr="00BA5A45">
        <w:rPr>
          <w:rFonts w:ascii="Times New Roman" w:hAnsi="Times New Roman"/>
          <w:sz w:val="24"/>
        </w:rPr>
        <w:t xml:space="preserve">1991 (2) S.A 39 (T), </w:t>
      </w:r>
      <w:r w:rsidR="0024140D" w:rsidRPr="00BA5A45">
        <w:rPr>
          <w:rFonts w:ascii="Times New Roman" w:hAnsi="Times New Roman"/>
          <w:sz w:val="24"/>
        </w:rPr>
        <w:t xml:space="preserve">wherein </w:t>
      </w:r>
      <w:r w:rsidR="00F71A18" w:rsidRPr="00BA5A45">
        <w:rPr>
          <w:rFonts w:ascii="Times New Roman" w:hAnsi="Times New Roman"/>
          <w:sz w:val="24"/>
        </w:rPr>
        <w:t>it was</w:t>
      </w:r>
      <w:r w:rsidR="00A3069F" w:rsidRPr="00BA5A45">
        <w:rPr>
          <w:rFonts w:ascii="Times New Roman" w:hAnsi="Times New Roman"/>
          <w:sz w:val="24"/>
        </w:rPr>
        <w:t xml:space="preserve"> confirmed that an attorney–</w:t>
      </w:r>
      <w:r w:rsidR="00360CC9" w:rsidRPr="00BA5A45">
        <w:rPr>
          <w:rFonts w:ascii="Times New Roman" w:hAnsi="Times New Roman"/>
          <w:sz w:val="24"/>
        </w:rPr>
        <w:t>client relationship is based on</w:t>
      </w:r>
      <w:r w:rsidR="00851DA3">
        <w:rPr>
          <w:rFonts w:ascii="Times New Roman" w:hAnsi="Times New Roman"/>
          <w:sz w:val="24"/>
        </w:rPr>
        <w:t xml:space="preserve"> a</w:t>
      </w:r>
      <w:r w:rsidR="00360CC9" w:rsidRPr="00BA5A45">
        <w:rPr>
          <w:rFonts w:ascii="Times New Roman" w:hAnsi="Times New Roman"/>
          <w:sz w:val="24"/>
        </w:rPr>
        <w:t xml:space="preserve"> mandate.</w:t>
      </w:r>
      <w:r w:rsidR="0081105D" w:rsidRPr="00BA5A45">
        <w:rPr>
          <w:rFonts w:ascii="Times New Roman" w:hAnsi="Times New Roman"/>
          <w:sz w:val="24"/>
        </w:rPr>
        <w:t xml:space="preserve"> </w:t>
      </w:r>
      <w:r w:rsidR="0024140D" w:rsidRPr="00BA5A45">
        <w:rPr>
          <w:rFonts w:ascii="Times New Roman" w:hAnsi="Times New Roman"/>
          <w:sz w:val="24"/>
          <w:lang w:val="en-GB"/>
        </w:rPr>
        <w:t xml:space="preserve">The </w:t>
      </w:r>
      <w:r w:rsidR="0024140D" w:rsidRPr="00BA5A45">
        <w:rPr>
          <w:rFonts w:ascii="Times New Roman" w:hAnsi="Times New Roman"/>
          <w:i/>
          <w:sz w:val="24"/>
          <w:lang w:val="en-GB"/>
        </w:rPr>
        <w:t>Ritenote</w:t>
      </w:r>
      <w:r w:rsidR="0024140D" w:rsidRPr="00BA5A45">
        <w:rPr>
          <w:rFonts w:ascii="Times New Roman" w:hAnsi="Times New Roman"/>
          <w:sz w:val="24"/>
          <w:lang w:val="en-GB"/>
        </w:rPr>
        <w:t xml:space="preserve"> case </w:t>
      </w:r>
      <w:r w:rsidR="0024140D" w:rsidRPr="00BA5A45">
        <w:rPr>
          <w:rFonts w:ascii="Times New Roman" w:hAnsi="Times New Roman"/>
          <w:i/>
          <w:sz w:val="24"/>
          <w:lang w:val="en-GB"/>
        </w:rPr>
        <w:t>supra</w:t>
      </w:r>
      <w:r w:rsidR="0024140D" w:rsidRPr="00BA5A45">
        <w:rPr>
          <w:rFonts w:ascii="Times New Roman" w:hAnsi="Times New Roman"/>
          <w:sz w:val="24"/>
          <w:lang w:val="en-GB"/>
        </w:rPr>
        <w:t xml:space="preserve"> establishes that an attorney-client relationship is formed on the basis of a mandate and that the attorney is the client’s agent whilst the client is the attorney’s principal. </w:t>
      </w:r>
      <w:r w:rsidR="00174E58" w:rsidRPr="00BA5A45">
        <w:rPr>
          <w:rFonts w:ascii="Times New Roman" w:hAnsi="Times New Roman"/>
          <w:sz w:val="24"/>
          <w:lang w:val="en-GB"/>
        </w:rPr>
        <w:t xml:space="preserve">A mandate has been defined as </w:t>
      </w:r>
      <w:r w:rsidR="00174E58" w:rsidRPr="00BA5A45">
        <w:rPr>
          <w:rFonts w:ascii="Times New Roman" w:hAnsi="Times New Roman"/>
          <w:sz w:val="24"/>
        </w:rPr>
        <w:t>an act by which one person gives power to another to transact for him and in his name one or several affairs.</w:t>
      </w:r>
      <w:r w:rsidR="00EB0CF4" w:rsidRPr="00BA5A45">
        <w:rPr>
          <w:rFonts w:ascii="Times New Roman" w:hAnsi="Times New Roman"/>
          <w:sz w:val="24"/>
        </w:rPr>
        <w:t xml:space="preserve"> </w:t>
      </w:r>
      <w:r w:rsidR="00FF5D5C" w:rsidRPr="00BA5A45">
        <w:rPr>
          <w:rFonts w:ascii="Times New Roman" w:hAnsi="Times New Roman"/>
          <w:sz w:val="24"/>
        </w:rPr>
        <w:t>(</w:t>
      </w:r>
      <w:r w:rsidR="00EB0CF4" w:rsidRPr="00BA5A45">
        <w:rPr>
          <w:rFonts w:ascii="Times New Roman" w:hAnsi="Times New Roman"/>
          <w:sz w:val="24"/>
        </w:rPr>
        <w:t>Black’s</w:t>
      </w:r>
      <w:r w:rsidR="00FF5D5C" w:rsidRPr="00BA5A45">
        <w:rPr>
          <w:rFonts w:ascii="Times New Roman" w:hAnsi="Times New Roman"/>
          <w:sz w:val="24"/>
        </w:rPr>
        <w:t xml:space="preserve"> Law Dictionary)</w:t>
      </w:r>
    </w:p>
    <w:p w14:paraId="471285A2" w14:textId="77777777" w:rsidR="00D81197" w:rsidRPr="00BA5A45" w:rsidRDefault="00D81197" w:rsidP="00F42946">
      <w:pPr>
        <w:spacing w:after="0" w:line="480" w:lineRule="auto"/>
        <w:ind w:firstLine="720"/>
        <w:jc w:val="both"/>
        <w:rPr>
          <w:rFonts w:ascii="Times New Roman" w:hAnsi="Times New Roman"/>
          <w:sz w:val="24"/>
        </w:rPr>
      </w:pPr>
    </w:p>
    <w:p w14:paraId="7F1A3CDB" w14:textId="50B1189F" w:rsidR="007B57EE" w:rsidRDefault="00174E58"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 xml:space="preserve">The appellant </w:t>
      </w:r>
      <w:r w:rsidR="00227D19" w:rsidRPr="00BA5A45">
        <w:rPr>
          <w:rFonts w:ascii="Times New Roman" w:hAnsi="Times New Roman"/>
          <w:sz w:val="24"/>
          <w:lang w:val="en-GB"/>
        </w:rPr>
        <w:t>averred</w:t>
      </w:r>
      <w:r w:rsidRPr="00BA5A45">
        <w:rPr>
          <w:rFonts w:ascii="Times New Roman" w:hAnsi="Times New Roman"/>
          <w:sz w:val="24"/>
          <w:lang w:val="en-GB"/>
        </w:rPr>
        <w:t xml:space="preserve"> that at no point was he appointed by nor did he act for the complainants. However,</w:t>
      </w:r>
      <w:r w:rsidR="0024140D" w:rsidRPr="00BA5A45">
        <w:rPr>
          <w:rFonts w:ascii="Times New Roman" w:hAnsi="Times New Roman"/>
          <w:i/>
          <w:sz w:val="24"/>
          <w:lang w:val="en-GB"/>
        </w:rPr>
        <w:t xml:space="preserve"> </w:t>
      </w:r>
      <w:r w:rsidRPr="00BA5A45">
        <w:rPr>
          <w:rFonts w:ascii="Times New Roman" w:hAnsi="Times New Roman"/>
          <w:sz w:val="24"/>
          <w:lang w:val="en-GB"/>
        </w:rPr>
        <w:t xml:space="preserve">that </w:t>
      </w:r>
      <w:r w:rsidR="0024140D" w:rsidRPr="00BA5A45">
        <w:rPr>
          <w:rFonts w:ascii="Times New Roman" w:hAnsi="Times New Roman"/>
          <w:sz w:val="24"/>
          <w:lang w:val="en-GB"/>
        </w:rPr>
        <w:t>the appellant</w:t>
      </w:r>
      <w:r w:rsidR="005E40B5" w:rsidRPr="00BA5A45">
        <w:rPr>
          <w:rFonts w:ascii="Times New Roman" w:hAnsi="Times New Roman"/>
          <w:sz w:val="24"/>
          <w:lang w:val="en-GB"/>
        </w:rPr>
        <w:t>’s law firm</w:t>
      </w:r>
      <w:r w:rsidR="0024140D" w:rsidRPr="00BA5A45">
        <w:rPr>
          <w:rFonts w:ascii="Times New Roman" w:hAnsi="Times New Roman"/>
          <w:sz w:val="24"/>
          <w:lang w:val="en-GB"/>
        </w:rPr>
        <w:t xml:space="preserve"> was given a mandate by the complainants </w:t>
      </w:r>
      <w:r w:rsidRPr="00BA5A45">
        <w:rPr>
          <w:rFonts w:ascii="Times New Roman" w:hAnsi="Times New Roman"/>
          <w:sz w:val="24"/>
          <w:lang w:val="en-GB"/>
        </w:rPr>
        <w:t>to act as their agent is undeniabl</w:t>
      </w:r>
      <w:r w:rsidR="00A3069F" w:rsidRPr="00BA5A45">
        <w:rPr>
          <w:rFonts w:ascii="Times New Roman" w:hAnsi="Times New Roman"/>
          <w:sz w:val="24"/>
          <w:lang w:val="en-GB"/>
        </w:rPr>
        <w:t xml:space="preserve">e based on the contents of the power of </w:t>
      </w:r>
      <w:r w:rsidR="00EB0CF4" w:rsidRPr="00BA5A45">
        <w:rPr>
          <w:rFonts w:ascii="Times New Roman" w:hAnsi="Times New Roman"/>
          <w:sz w:val="24"/>
          <w:lang w:val="en-GB"/>
        </w:rPr>
        <w:t>attorney (POA)</w:t>
      </w:r>
      <w:r w:rsidRPr="00BA5A45">
        <w:rPr>
          <w:rFonts w:ascii="Times New Roman" w:hAnsi="Times New Roman"/>
          <w:sz w:val="24"/>
          <w:lang w:val="en-GB"/>
        </w:rPr>
        <w:t>. Not only was the appellant</w:t>
      </w:r>
      <w:r w:rsidR="005E40B5" w:rsidRPr="00BA5A45">
        <w:rPr>
          <w:rFonts w:ascii="Times New Roman" w:hAnsi="Times New Roman"/>
          <w:sz w:val="24"/>
          <w:lang w:val="en-GB"/>
        </w:rPr>
        <w:t>’s law firm</w:t>
      </w:r>
      <w:r w:rsidRPr="00BA5A45">
        <w:rPr>
          <w:rFonts w:ascii="Times New Roman" w:hAnsi="Times New Roman"/>
          <w:sz w:val="24"/>
          <w:lang w:val="en-GB"/>
        </w:rPr>
        <w:t xml:space="preserve"> appointed as an agent by the complainants, </w:t>
      </w:r>
      <w:r w:rsidR="005E40B5" w:rsidRPr="00BA5A45">
        <w:rPr>
          <w:rFonts w:ascii="Times New Roman" w:hAnsi="Times New Roman"/>
          <w:sz w:val="24"/>
          <w:lang w:val="en-GB"/>
        </w:rPr>
        <w:t>t</w:t>
      </w:r>
      <w:r w:rsidRPr="00BA5A45">
        <w:rPr>
          <w:rFonts w:ascii="Times New Roman" w:hAnsi="Times New Roman"/>
          <w:sz w:val="24"/>
          <w:lang w:val="en-GB"/>
        </w:rPr>
        <w:t xml:space="preserve">he </w:t>
      </w:r>
      <w:r w:rsidR="005E40B5" w:rsidRPr="00BA5A45">
        <w:rPr>
          <w:rFonts w:ascii="Times New Roman" w:hAnsi="Times New Roman"/>
          <w:sz w:val="24"/>
          <w:lang w:val="en-GB"/>
        </w:rPr>
        <w:t xml:space="preserve">appellant </w:t>
      </w:r>
      <w:r w:rsidR="00FF5D5C" w:rsidRPr="00BA5A45">
        <w:rPr>
          <w:rFonts w:ascii="Times New Roman" w:hAnsi="Times New Roman"/>
          <w:sz w:val="24"/>
          <w:lang w:val="en-GB"/>
        </w:rPr>
        <w:t xml:space="preserve">purported to be acting in terms of </w:t>
      </w:r>
      <w:r w:rsidR="00175D59" w:rsidRPr="00BA5A45">
        <w:rPr>
          <w:rFonts w:ascii="Times New Roman" w:hAnsi="Times New Roman"/>
          <w:sz w:val="24"/>
          <w:lang w:val="en-GB"/>
        </w:rPr>
        <w:t>that POA</w:t>
      </w:r>
      <w:r w:rsidR="00FF5D5C" w:rsidRPr="00BA5A45">
        <w:rPr>
          <w:rFonts w:ascii="Times New Roman" w:hAnsi="Times New Roman"/>
          <w:sz w:val="24"/>
          <w:lang w:val="en-GB"/>
        </w:rPr>
        <w:t xml:space="preserve"> when he </w:t>
      </w:r>
      <w:r w:rsidR="00175D59" w:rsidRPr="00BA5A45">
        <w:rPr>
          <w:rFonts w:ascii="Times New Roman" w:hAnsi="Times New Roman"/>
          <w:sz w:val="24"/>
          <w:lang w:val="en-GB"/>
        </w:rPr>
        <w:t>sold the</w:t>
      </w:r>
      <w:r w:rsidRPr="00BA5A45">
        <w:rPr>
          <w:rFonts w:ascii="Times New Roman" w:hAnsi="Times New Roman"/>
          <w:sz w:val="24"/>
          <w:lang w:val="en-GB"/>
        </w:rPr>
        <w:t xml:space="preserve"> property after the debt due to NF</w:t>
      </w:r>
      <w:r w:rsidR="00FF5D5C" w:rsidRPr="00BA5A45">
        <w:rPr>
          <w:rFonts w:ascii="Times New Roman" w:hAnsi="Times New Roman"/>
          <w:sz w:val="24"/>
          <w:lang w:val="en-GB"/>
        </w:rPr>
        <w:t>O</w:t>
      </w:r>
      <w:r w:rsidRPr="00BA5A45">
        <w:rPr>
          <w:rFonts w:ascii="Times New Roman" w:hAnsi="Times New Roman"/>
          <w:sz w:val="24"/>
          <w:lang w:val="en-GB"/>
        </w:rPr>
        <w:t>L</w:t>
      </w:r>
      <w:r w:rsidR="000A093F" w:rsidRPr="00BA5A45">
        <w:rPr>
          <w:rFonts w:ascii="Times New Roman" w:hAnsi="Times New Roman"/>
          <w:sz w:val="24"/>
          <w:lang w:val="en-GB"/>
        </w:rPr>
        <w:t xml:space="preserve"> by Celgrim Bakeries</w:t>
      </w:r>
      <w:r w:rsidRPr="00BA5A45">
        <w:rPr>
          <w:rFonts w:ascii="Times New Roman" w:hAnsi="Times New Roman"/>
          <w:sz w:val="24"/>
          <w:lang w:val="en-GB"/>
        </w:rPr>
        <w:t xml:space="preserve"> remained owing and unpaid. This clearly shows that an attorney-client relationship had </w:t>
      </w:r>
      <w:r w:rsidRPr="00BA5A45">
        <w:rPr>
          <w:rFonts w:ascii="Times New Roman" w:hAnsi="Times New Roman"/>
          <w:sz w:val="24"/>
          <w:lang w:val="en-GB"/>
        </w:rPr>
        <w:lastRenderedPageBreak/>
        <w:t xml:space="preserve">been established between the </w:t>
      </w:r>
      <w:r w:rsidR="000A093F" w:rsidRPr="00BA5A45">
        <w:rPr>
          <w:rFonts w:ascii="Times New Roman" w:hAnsi="Times New Roman"/>
          <w:sz w:val="24"/>
          <w:lang w:val="en-GB"/>
        </w:rPr>
        <w:t>appellant’s law firm</w:t>
      </w:r>
      <w:r w:rsidRPr="00BA5A45">
        <w:rPr>
          <w:rFonts w:ascii="Times New Roman" w:hAnsi="Times New Roman"/>
          <w:sz w:val="24"/>
          <w:lang w:val="en-GB"/>
        </w:rPr>
        <w:t xml:space="preserve"> and the complainants.</w:t>
      </w:r>
      <w:r w:rsidR="00851DA3" w:rsidRPr="00851DA3">
        <w:rPr>
          <w:rFonts w:ascii="Times New Roman" w:hAnsi="Times New Roman"/>
          <w:sz w:val="24"/>
          <w:lang w:val="en-GB"/>
        </w:rPr>
        <w:t xml:space="preserve"> </w:t>
      </w:r>
      <w:r w:rsidR="00851DA3" w:rsidRPr="00BA5A45">
        <w:rPr>
          <w:rFonts w:ascii="Times New Roman" w:hAnsi="Times New Roman"/>
          <w:sz w:val="24"/>
          <w:lang w:val="en-GB"/>
        </w:rPr>
        <w:t xml:space="preserve">It is that relationship that he perceived to have given him </w:t>
      </w:r>
      <w:r w:rsidR="00851DA3">
        <w:rPr>
          <w:rFonts w:ascii="Times New Roman" w:hAnsi="Times New Roman"/>
          <w:sz w:val="24"/>
          <w:lang w:val="en-GB"/>
        </w:rPr>
        <w:t xml:space="preserve">the </w:t>
      </w:r>
      <w:r w:rsidR="00851DA3" w:rsidRPr="00BA5A45">
        <w:rPr>
          <w:rFonts w:ascii="Times New Roman" w:hAnsi="Times New Roman"/>
          <w:sz w:val="24"/>
          <w:lang w:val="en-GB"/>
        </w:rPr>
        <w:t>authority to act as he did</w:t>
      </w:r>
      <w:r w:rsidR="00851DA3">
        <w:rPr>
          <w:rFonts w:ascii="Times New Roman" w:hAnsi="Times New Roman"/>
          <w:sz w:val="24"/>
          <w:lang w:val="en-GB"/>
        </w:rPr>
        <w:t>.</w:t>
      </w:r>
      <w:r w:rsidR="00966AD8" w:rsidRPr="00BA5A45">
        <w:rPr>
          <w:rFonts w:ascii="Times New Roman" w:hAnsi="Times New Roman"/>
          <w:sz w:val="24"/>
          <w:lang w:val="en-GB"/>
        </w:rPr>
        <w:t xml:space="preserve"> I am therefore of the view that the appellant’s ground of appea</w:t>
      </w:r>
      <w:r w:rsidR="00AF53FF" w:rsidRPr="00BA5A45">
        <w:rPr>
          <w:rFonts w:ascii="Times New Roman" w:hAnsi="Times New Roman"/>
          <w:sz w:val="24"/>
          <w:lang w:val="en-GB"/>
        </w:rPr>
        <w:t>l that there was no agent-principal</w:t>
      </w:r>
      <w:r w:rsidR="002550EC" w:rsidRPr="00BA5A45">
        <w:rPr>
          <w:rFonts w:ascii="Times New Roman" w:hAnsi="Times New Roman"/>
          <w:sz w:val="24"/>
          <w:lang w:val="en-GB"/>
        </w:rPr>
        <w:t xml:space="preserve"> relationship between Manokore &amp; Partners</w:t>
      </w:r>
      <w:r w:rsidR="00966AD8" w:rsidRPr="00BA5A45">
        <w:rPr>
          <w:rFonts w:ascii="Times New Roman" w:hAnsi="Times New Roman"/>
          <w:sz w:val="24"/>
          <w:lang w:val="en-GB"/>
        </w:rPr>
        <w:t xml:space="preserve"> and the complainants has no merit.</w:t>
      </w:r>
      <w:r w:rsidR="002550EC" w:rsidRPr="00BA5A45">
        <w:rPr>
          <w:rFonts w:ascii="Times New Roman" w:hAnsi="Times New Roman"/>
          <w:sz w:val="24"/>
          <w:lang w:val="en-GB"/>
        </w:rPr>
        <w:t>.</w:t>
      </w:r>
    </w:p>
    <w:p w14:paraId="3A994027" w14:textId="77777777" w:rsidR="00BA5A45" w:rsidRPr="00BA5A45" w:rsidRDefault="00BA5A45" w:rsidP="00F42946">
      <w:pPr>
        <w:spacing w:after="0" w:line="480" w:lineRule="auto"/>
        <w:ind w:firstLine="1134"/>
        <w:jc w:val="both"/>
        <w:rPr>
          <w:rFonts w:ascii="Times New Roman" w:hAnsi="Times New Roman"/>
          <w:sz w:val="24"/>
          <w:lang w:val="en-GB"/>
        </w:rPr>
      </w:pPr>
    </w:p>
    <w:p w14:paraId="73C35370" w14:textId="42D8CFBA" w:rsidR="0024140D" w:rsidRPr="00BA5A45" w:rsidRDefault="001F402E"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 xml:space="preserve"> </w:t>
      </w:r>
      <w:r w:rsidR="00A862E0" w:rsidRPr="00BA5A45">
        <w:rPr>
          <w:rFonts w:ascii="Times New Roman" w:hAnsi="Times New Roman"/>
          <w:sz w:val="24"/>
          <w:lang w:val="en-GB"/>
        </w:rPr>
        <w:t>I</w:t>
      </w:r>
      <w:r w:rsidR="00355C52" w:rsidRPr="00BA5A45">
        <w:rPr>
          <w:rFonts w:ascii="Times New Roman" w:hAnsi="Times New Roman"/>
          <w:sz w:val="24"/>
          <w:lang w:val="en-GB"/>
        </w:rPr>
        <w:t xml:space="preserve">n Herbstein and Van Winsen, </w:t>
      </w:r>
      <w:r w:rsidR="00355C52" w:rsidRPr="00BA5A45">
        <w:rPr>
          <w:rFonts w:ascii="Times New Roman" w:hAnsi="Times New Roman"/>
          <w:i/>
          <w:iCs/>
          <w:sz w:val="24"/>
          <w:lang w:val="en-GB"/>
        </w:rPr>
        <w:t>The Civil Practice of the High Courts and the</w:t>
      </w:r>
      <w:r w:rsidR="00355C52" w:rsidRPr="00BA5A45">
        <w:rPr>
          <w:rFonts w:ascii="Times New Roman" w:hAnsi="Times New Roman"/>
          <w:sz w:val="24"/>
          <w:lang w:val="en-GB"/>
        </w:rPr>
        <w:t xml:space="preserve"> </w:t>
      </w:r>
      <w:r w:rsidR="00355C52" w:rsidRPr="00BA5A45">
        <w:rPr>
          <w:rFonts w:ascii="Times New Roman" w:hAnsi="Times New Roman"/>
          <w:i/>
          <w:iCs/>
          <w:sz w:val="24"/>
          <w:lang w:val="en-GB"/>
        </w:rPr>
        <w:t>Supreme Court of Appeal of South Africa</w:t>
      </w:r>
      <w:r w:rsidR="00355C52" w:rsidRPr="00BA5A45">
        <w:rPr>
          <w:rFonts w:ascii="Times New Roman" w:hAnsi="Times New Roman"/>
          <w:sz w:val="24"/>
          <w:lang w:val="en-GB"/>
        </w:rPr>
        <w:t>, 5</w:t>
      </w:r>
      <w:r w:rsidR="00355C52" w:rsidRPr="00BA5A45">
        <w:rPr>
          <w:rFonts w:ascii="Times New Roman" w:hAnsi="Times New Roman"/>
          <w:sz w:val="24"/>
          <w:vertAlign w:val="superscript"/>
          <w:lang w:val="en-GB"/>
        </w:rPr>
        <w:t>th</w:t>
      </w:r>
      <w:r w:rsidRPr="00BA5A45">
        <w:rPr>
          <w:rFonts w:ascii="Times New Roman" w:hAnsi="Times New Roman"/>
          <w:sz w:val="24"/>
          <w:lang w:val="en-GB"/>
        </w:rPr>
        <w:t xml:space="preserve"> ed., Juta &amp; Co. Ltd a</w:t>
      </w:r>
      <w:r w:rsidR="00355C52" w:rsidRPr="00BA5A45">
        <w:rPr>
          <w:rFonts w:ascii="Times New Roman" w:hAnsi="Times New Roman"/>
          <w:sz w:val="24"/>
          <w:lang w:val="en-GB"/>
        </w:rPr>
        <w:t>t</w:t>
      </w:r>
      <w:r w:rsidRPr="00BA5A45">
        <w:rPr>
          <w:rFonts w:ascii="Times New Roman" w:hAnsi="Times New Roman"/>
          <w:sz w:val="24"/>
          <w:lang w:val="en-GB"/>
        </w:rPr>
        <w:t xml:space="preserve"> </w:t>
      </w:r>
      <w:r w:rsidR="00355C52" w:rsidRPr="00BA5A45">
        <w:rPr>
          <w:rFonts w:ascii="Times New Roman" w:hAnsi="Times New Roman"/>
          <w:sz w:val="24"/>
          <w:lang w:val="en-GB"/>
        </w:rPr>
        <w:t xml:space="preserve">pages 274-275 the authors </w:t>
      </w:r>
      <w:r w:rsidRPr="00BA5A45">
        <w:rPr>
          <w:rFonts w:ascii="Times New Roman" w:hAnsi="Times New Roman"/>
          <w:sz w:val="24"/>
          <w:lang w:val="en-GB"/>
        </w:rPr>
        <w:t>in commenting on</w:t>
      </w:r>
      <w:r w:rsidR="00646F82" w:rsidRPr="00BA5A45">
        <w:rPr>
          <w:rFonts w:ascii="Times New Roman" w:hAnsi="Times New Roman"/>
          <w:sz w:val="24"/>
          <w:lang w:val="en-GB"/>
        </w:rPr>
        <w:t xml:space="preserve"> form and content of a power of </w:t>
      </w:r>
      <w:r w:rsidRPr="00BA5A45">
        <w:rPr>
          <w:rFonts w:ascii="Times New Roman" w:hAnsi="Times New Roman"/>
          <w:sz w:val="24"/>
          <w:lang w:val="en-GB"/>
        </w:rPr>
        <w:t>attorney</w:t>
      </w:r>
      <w:r w:rsidR="00646F82" w:rsidRPr="00BA5A45">
        <w:rPr>
          <w:rFonts w:ascii="Times New Roman" w:hAnsi="Times New Roman"/>
          <w:sz w:val="24"/>
          <w:lang w:val="en-GB"/>
        </w:rPr>
        <w:t xml:space="preserve"> sta</w:t>
      </w:r>
      <w:r w:rsidRPr="00BA5A45">
        <w:rPr>
          <w:rFonts w:ascii="Times New Roman" w:hAnsi="Times New Roman"/>
          <w:sz w:val="24"/>
          <w:lang w:val="en-GB"/>
        </w:rPr>
        <w:t>t</w:t>
      </w:r>
      <w:r w:rsidR="00646F82" w:rsidRPr="00BA5A45">
        <w:rPr>
          <w:rFonts w:ascii="Times New Roman" w:hAnsi="Times New Roman"/>
          <w:sz w:val="24"/>
          <w:lang w:val="en-GB"/>
        </w:rPr>
        <w:t>ed</w:t>
      </w:r>
      <w:r w:rsidRPr="00BA5A45">
        <w:rPr>
          <w:rFonts w:ascii="Times New Roman" w:hAnsi="Times New Roman"/>
          <w:sz w:val="24"/>
          <w:lang w:val="en-GB"/>
        </w:rPr>
        <w:t>,</w:t>
      </w:r>
      <w:r w:rsidR="00646F82" w:rsidRPr="00BA5A45">
        <w:rPr>
          <w:rFonts w:ascii="Times New Roman" w:hAnsi="Times New Roman"/>
          <w:sz w:val="24"/>
          <w:lang w:val="en-GB"/>
        </w:rPr>
        <w:t xml:space="preserve"> </w:t>
      </w:r>
      <w:r w:rsidR="00646F82" w:rsidRPr="00BA5A45">
        <w:rPr>
          <w:rFonts w:ascii="Times New Roman" w:hAnsi="Times New Roman"/>
          <w:i/>
          <w:sz w:val="24"/>
          <w:lang w:val="en-GB"/>
        </w:rPr>
        <w:t>inter alia</w:t>
      </w:r>
      <w:r w:rsidRPr="00BA5A45">
        <w:rPr>
          <w:rFonts w:ascii="Times New Roman" w:hAnsi="Times New Roman"/>
          <w:i/>
          <w:sz w:val="24"/>
          <w:lang w:val="en-GB"/>
        </w:rPr>
        <w:t>,</w:t>
      </w:r>
      <w:r w:rsidR="00646F82" w:rsidRPr="00BA5A45">
        <w:rPr>
          <w:rFonts w:ascii="Times New Roman" w:hAnsi="Times New Roman"/>
          <w:sz w:val="24"/>
          <w:lang w:val="en-GB"/>
        </w:rPr>
        <w:t xml:space="preserve"> that:</w:t>
      </w:r>
    </w:p>
    <w:p w14:paraId="2455528C" w14:textId="7E0BA86E" w:rsidR="00646F82" w:rsidRPr="00BA5A45" w:rsidRDefault="001F402E" w:rsidP="00F42946">
      <w:pPr>
        <w:spacing w:after="0" w:line="240" w:lineRule="auto"/>
        <w:ind w:left="567"/>
        <w:jc w:val="both"/>
        <w:rPr>
          <w:rFonts w:ascii="Times New Roman" w:hAnsi="Times New Roman"/>
          <w:sz w:val="24"/>
          <w:lang w:val="en-GB"/>
        </w:rPr>
      </w:pPr>
      <w:r w:rsidRPr="00BA5A45">
        <w:rPr>
          <w:rFonts w:ascii="Times New Roman" w:hAnsi="Times New Roman"/>
          <w:sz w:val="24"/>
          <w:lang w:val="en-GB"/>
        </w:rPr>
        <w:t>“</w:t>
      </w:r>
      <w:r w:rsidR="00646F82" w:rsidRPr="00BA5A45">
        <w:rPr>
          <w:rFonts w:ascii="Times New Roman" w:hAnsi="Times New Roman"/>
          <w:sz w:val="24"/>
          <w:lang w:val="en-GB"/>
        </w:rPr>
        <w:t xml:space="preserve">A power of attorney is a document which is strictly </w:t>
      </w:r>
      <w:r w:rsidR="003A3B65" w:rsidRPr="00BA5A45">
        <w:rPr>
          <w:rFonts w:ascii="Times New Roman" w:hAnsi="Times New Roman"/>
          <w:sz w:val="24"/>
          <w:lang w:val="en-GB"/>
        </w:rPr>
        <w:t>construed</w:t>
      </w:r>
      <w:r w:rsidR="00646F82" w:rsidRPr="00BA5A45">
        <w:rPr>
          <w:rFonts w:ascii="Times New Roman" w:hAnsi="Times New Roman"/>
          <w:sz w:val="24"/>
          <w:lang w:val="en-GB"/>
        </w:rPr>
        <w:t xml:space="preserve"> and must</w:t>
      </w:r>
      <w:r w:rsidR="00320502" w:rsidRPr="00BA5A45">
        <w:rPr>
          <w:rFonts w:ascii="Times New Roman" w:hAnsi="Times New Roman"/>
          <w:sz w:val="24"/>
          <w:lang w:val="en-GB"/>
        </w:rPr>
        <w:t xml:space="preserve"> therefore be carefully drawn. If it is vague and lacks the necessary details an objection that there is no authority will be upheld</w:t>
      </w:r>
      <w:r w:rsidR="00EB0CF4" w:rsidRPr="00BA5A45">
        <w:rPr>
          <w:rFonts w:ascii="Times New Roman" w:hAnsi="Times New Roman"/>
          <w:sz w:val="24"/>
          <w:lang w:val="en-GB"/>
        </w:rPr>
        <w:t>….</w:t>
      </w:r>
      <w:r w:rsidR="00320502" w:rsidRPr="00BA5A45">
        <w:rPr>
          <w:rFonts w:ascii="Times New Roman" w:hAnsi="Times New Roman"/>
          <w:sz w:val="24"/>
          <w:lang w:val="en-GB"/>
        </w:rPr>
        <w:t xml:space="preserve"> </w:t>
      </w:r>
    </w:p>
    <w:p w14:paraId="7AA90471" w14:textId="77777777" w:rsidR="00816A5B" w:rsidRPr="00BA5A45" w:rsidRDefault="00816A5B" w:rsidP="00F42946">
      <w:pPr>
        <w:spacing w:after="0" w:line="240" w:lineRule="auto"/>
        <w:ind w:left="720" w:firstLine="720"/>
        <w:jc w:val="both"/>
        <w:rPr>
          <w:rFonts w:ascii="Times New Roman" w:hAnsi="Times New Roman"/>
          <w:sz w:val="24"/>
          <w:lang w:val="en-GB"/>
        </w:rPr>
      </w:pPr>
    </w:p>
    <w:p w14:paraId="23AFD92B" w14:textId="77777777" w:rsidR="00C30A7D" w:rsidRPr="00BA5A45" w:rsidRDefault="00646F82" w:rsidP="00F42946">
      <w:pPr>
        <w:spacing w:after="0" w:line="240" w:lineRule="auto"/>
        <w:ind w:left="567"/>
        <w:jc w:val="both"/>
        <w:rPr>
          <w:rFonts w:ascii="Times New Roman" w:hAnsi="Times New Roman"/>
          <w:sz w:val="24"/>
          <w:lang w:val="en-GB"/>
        </w:rPr>
      </w:pPr>
      <w:r w:rsidRPr="00BA5A45">
        <w:rPr>
          <w:rFonts w:ascii="Times New Roman" w:hAnsi="Times New Roman"/>
          <w:sz w:val="24"/>
          <w:lang w:val="en-GB"/>
        </w:rPr>
        <w:t xml:space="preserve">The power of </w:t>
      </w:r>
      <w:r w:rsidR="003A3B65" w:rsidRPr="00BA5A45">
        <w:rPr>
          <w:rFonts w:ascii="Times New Roman" w:hAnsi="Times New Roman"/>
          <w:sz w:val="24"/>
          <w:lang w:val="en-GB"/>
        </w:rPr>
        <w:t>attorney should</w:t>
      </w:r>
      <w:r w:rsidRPr="00BA5A45">
        <w:rPr>
          <w:rFonts w:ascii="Times New Roman" w:hAnsi="Times New Roman"/>
          <w:sz w:val="24"/>
          <w:lang w:val="en-GB"/>
        </w:rPr>
        <w:t xml:space="preserve"> give the full name of the attorney and, if practising as a f</w:t>
      </w:r>
      <w:r w:rsidR="001F402E" w:rsidRPr="00BA5A45">
        <w:rPr>
          <w:rFonts w:ascii="Times New Roman" w:hAnsi="Times New Roman"/>
          <w:sz w:val="24"/>
          <w:lang w:val="en-GB"/>
        </w:rPr>
        <w:t>ir</w:t>
      </w:r>
      <w:r w:rsidRPr="00BA5A45">
        <w:rPr>
          <w:rFonts w:ascii="Times New Roman" w:hAnsi="Times New Roman"/>
          <w:sz w:val="24"/>
          <w:lang w:val="en-GB"/>
        </w:rPr>
        <w:t xml:space="preserve">m, the firm’s </w:t>
      </w:r>
      <w:r w:rsidR="003A3B65" w:rsidRPr="00BA5A45">
        <w:rPr>
          <w:rFonts w:ascii="Times New Roman" w:hAnsi="Times New Roman"/>
          <w:sz w:val="24"/>
          <w:lang w:val="en-GB"/>
        </w:rPr>
        <w:t>name also</w:t>
      </w:r>
      <w:r w:rsidRPr="00BA5A45">
        <w:rPr>
          <w:rFonts w:ascii="Times New Roman" w:hAnsi="Times New Roman"/>
          <w:sz w:val="24"/>
          <w:lang w:val="en-GB"/>
        </w:rPr>
        <w:t>. If there is more than one partner in the firm who will be dealing with the matter, the names of</w:t>
      </w:r>
      <w:r w:rsidR="003A3B65" w:rsidRPr="00BA5A45">
        <w:rPr>
          <w:rFonts w:ascii="Times New Roman" w:hAnsi="Times New Roman"/>
          <w:sz w:val="24"/>
          <w:lang w:val="en-GB"/>
        </w:rPr>
        <w:t xml:space="preserve"> all of them should be set out</w:t>
      </w:r>
      <w:r w:rsidRPr="00BA5A45">
        <w:rPr>
          <w:rFonts w:ascii="Times New Roman" w:hAnsi="Times New Roman"/>
          <w:sz w:val="24"/>
          <w:lang w:val="en-GB"/>
        </w:rPr>
        <w:t xml:space="preserve"> </w:t>
      </w:r>
      <w:r w:rsidR="00C30A7D" w:rsidRPr="00BA5A45">
        <w:rPr>
          <w:rFonts w:ascii="Times New Roman" w:hAnsi="Times New Roman"/>
          <w:sz w:val="24"/>
          <w:lang w:val="en-GB"/>
        </w:rPr>
        <w:t xml:space="preserve">and </w:t>
      </w:r>
      <w:r w:rsidRPr="00BA5A45">
        <w:rPr>
          <w:rFonts w:ascii="Times New Roman" w:hAnsi="Times New Roman"/>
          <w:sz w:val="24"/>
          <w:lang w:val="en-GB"/>
        </w:rPr>
        <w:t xml:space="preserve">the name of the firm as well. </w:t>
      </w:r>
      <w:r w:rsidR="003A3B65" w:rsidRPr="00BA5A45">
        <w:rPr>
          <w:rFonts w:ascii="Times New Roman" w:hAnsi="Times New Roman"/>
          <w:sz w:val="24"/>
          <w:lang w:val="en-GB"/>
        </w:rPr>
        <w:t>Nevertheless, although</w:t>
      </w:r>
      <w:r w:rsidRPr="00BA5A45">
        <w:rPr>
          <w:rFonts w:ascii="Times New Roman" w:hAnsi="Times New Roman"/>
          <w:sz w:val="24"/>
          <w:lang w:val="en-GB"/>
        </w:rPr>
        <w:t xml:space="preserve"> it is desirable to set out the full names of the partners as well as the name of the </w:t>
      </w:r>
      <w:r w:rsidR="003A3B65" w:rsidRPr="00BA5A45">
        <w:rPr>
          <w:rFonts w:ascii="Times New Roman" w:hAnsi="Times New Roman"/>
          <w:sz w:val="24"/>
          <w:lang w:val="en-GB"/>
        </w:rPr>
        <w:t>firm (</w:t>
      </w:r>
      <w:r w:rsidRPr="00BA5A45">
        <w:rPr>
          <w:rFonts w:ascii="Times New Roman" w:hAnsi="Times New Roman"/>
          <w:sz w:val="24"/>
          <w:lang w:val="en-GB"/>
        </w:rPr>
        <w:t xml:space="preserve">to remove any uncertainty as to whether the person who signs for the firm and issues summons on </w:t>
      </w:r>
      <w:r w:rsidR="003A3B65" w:rsidRPr="00BA5A45">
        <w:rPr>
          <w:rFonts w:ascii="Times New Roman" w:hAnsi="Times New Roman"/>
          <w:sz w:val="24"/>
          <w:lang w:val="en-GB"/>
        </w:rPr>
        <w:t>behalf</w:t>
      </w:r>
      <w:r w:rsidRPr="00BA5A45">
        <w:rPr>
          <w:rFonts w:ascii="Times New Roman" w:hAnsi="Times New Roman"/>
          <w:sz w:val="24"/>
          <w:lang w:val="en-GB"/>
        </w:rPr>
        <w:t xml:space="preserve"> of the client is a partner), the omission to do so does not invalidate the power, and may be condoned by the court in the absence of</w:t>
      </w:r>
      <w:r w:rsidR="003A3B65" w:rsidRPr="00BA5A45">
        <w:rPr>
          <w:rFonts w:ascii="Times New Roman" w:hAnsi="Times New Roman"/>
          <w:sz w:val="24"/>
          <w:lang w:val="en-GB"/>
        </w:rPr>
        <w:t xml:space="preserve"> any prejudice to the other party. </w:t>
      </w:r>
    </w:p>
    <w:p w14:paraId="0E2D3760" w14:textId="77777777" w:rsidR="00D81197" w:rsidRPr="00BA5A45" w:rsidRDefault="00D81197" w:rsidP="00F42946">
      <w:pPr>
        <w:spacing w:after="0" w:line="240" w:lineRule="auto"/>
        <w:ind w:left="720" w:firstLine="720"/>
        <w:jc w:val="both"/>
        <w:rPr>
          <w:rFonts w:ascii="Times New Roman" w:hAnsi="Times New Roman"/>
          <w:sz w:val="24"/>
          <w:lang w:val="en-GB"/>
        </w:rPr>
      </w:pPr>
    </w:p>
    <w:p w14:paraId="6EA45E1C" w14:textId="7F079C2F" w:rsidR="00646F82" w:rsidRPr="00BA5A45" w:rsidRDefault="003A3B65" w:rsidP="00F42946">
      <w:pPr>
        <w:spacing w:after="0" w:line="240" w:lineRule="auto"/>
        <w:ind w:left="567"/>
        <w:jc w:val="both"/>
        <w:rPr>
          <w:rFonts w:ascii="Times New Roman" w:hAnsi="Times New Roman"/>
          <w:sz w:val="24"/>
          <w:lang w:val="en-GB"/>
        </w:rPr>
      </w:pPr>
      <w:r w:rsidRPr="00BA5A45">
        <w:rPr>
          <w:rFonts w:ascii="Times New Roman" w:hAnsi="Times New Roman"/>
          <w:sz w:val="24"/>
          <w:lang w:val="en-GB"/>
        </w:rPr>
        <w:t>The mere omission of the attorney’s name will not invalidate the power and the attorney can insert his name personally.”</w:t>
      </w:r>
    </w:p>
    <w:p w14:paraId="77B2188A" w14:textId="77777777" w:rsidR="00D81197" w:rsidRPr="00BA5A45" w:rsidRDefault="00D81197" w:rsidP="00F42946">
      <w:pPr>
        <w:spacing w:after="0" w:line="480" w:lineRule="auto"/>
        <w:ind w:left="720" w:firstLine="720"/>
        <w:jc w:val="both"/>
        <w:rPr>
          <w:rFonts w:ascii="Times New Roman" w:hAnsi="Times New Roman"/>
          <w:sz w:val="24"/>
          <w:lang w:val="en-GB"/>
        </w:rPr>
      </w:pPr>
    </w:p>
    <w:p w14:paraId="61FFA91D" w14:textId="559B38E6" w:rsidR="00FB2C6A" w:rsidRPr="00BA5A45" w:rsidRDefault="00FB2C6A"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 xml:space="preserve">In </w:t>
      </w:r>
      <w:r w:rsidRPr="00BA5A45">
        <w:rPr>
          <w:rFonts w:ascii="Times New Roman" w:hAnsi="Times New Roman"/>
          <w:i/>
          <w:sz w:val="24"/>
          <w:lang w:val="en-GB"/>
        </w:rPr>
        <w:t>casu</w:t>
      </w:r>
      <w:r w:rsidRPr="00BA5A45">
        <w:rPr>
          <w:rFonts w:ascii="Times New Roman" w:hAnsi="Times New Roman"/>
          <w:sz w:val="24"/>
          <w:lang w:val="en-GB"/>
        </w:rPr>
        <w:t xml:space="preserve">, the POA did not just </w:t>
      </w:r>
      <w:r w:rsidR="00651012" w:rsidRPr="00BA5A45">
        <w:rPr>
          <w:rFonts w:ascii="Times New Roman" w:hAnsi="Times New Roman"/>
          <w:sz w:val="24"/>
          <w:lang w:val="en-GB"/>
        </w:rPr>
        <w:t>fail to</w:t>
      </w:r>
      <w:r w:rsidRPr="00BA5A45">
        <w:rPr>
          <w:rFonts w:ascii="Times New Roman" w:hAnsi="Times New Roman"/>
          <w:sz w:val="24"/>
          <w:lang w:val="en-GB"/>
        </w:rPr>
        <w:t xml:space="preserve"> mention the name of the attorney but it also wrongly described the complainants as debtors of NFOL which they were not. The POA does not mention the actual debtors</w:t>
      </w:r>
      <w:r w:rsidR="000A4209" w:rsidRPr="00BA5A45">
        <w:rPr>
          <w:rFonts w:ascii="Times New Roman" w:hAnsi="Times New Roman"/>
          <w:sz w:val="24"/>
          <w:lang w:val="en-GB"/>
        </w:rPr>
        <w:t>,</w:t>
      </w:r>
      <w:r w:rsidRPr="00BA5A45">
        <w:rPr>
          <w:rFonts w:ascii="Times New Roman" w:hAnsi="Times New Roman"/>
          <w:sz w:val="24"/>
          <w:lang w:val="en-GB"/>
        </w:rPr>
        <w:t xml:space="preserve"> Celgrim Bakeries. It instead makes it clear that the debt for which the property may be </w:t>
      </w:r>
      <w:r w:rsidR="00651012" w:rsidRPr="00BA5A45">
        <w:rPr>
          <w:rFonts w:ascii="Times New Roman" w:hAnsi="Times New Roman"/>
          <w:sz w:val="24"/>
          <w:lang w:val="en-GB"/>
        </w:rPr>
        <w:t>sold is</w:t>
      </w:r>
      <w:r w:rsidRPr="00BA5A45">
        <w:rPr>
          <w:rFonts w:ascii="Times New Roman" w:hAnsi="Times New Roman"/>
          <w:sz w:val="24"/>
          <w:lang w:val="en-GB"/>
        </w:rPr>
        <w:t xml:space="preserve"> the debt owed by complainants</w:t>
      </w:r>
      <w:r w:rsidR="000C237D" w:rsidRPr="00BA5A45">
        <w:rPr>
          <w:rFonts w:ascii="Times New Roman" w:hAnsi="Times New Roman"/>
          <w:sz w:val="24"/>
          <w:lang w:val="en-GB"/>
        </w:rPr>
        <w:t xml:space="preserve"> to NFOL</w:t>
      </w:r>
      <w:r w:rsidR="00A862E0" w:rsidRPr="00BA5A45">
        <w:rPr>
          <w:rFonts w:ascii="Times New Roman" w:hAnsi="Times New Roman"/>
          <w:sz w:val="24"/>
          <w:lang w:val="en-GB"/>
        </w:rPr>
        <w:t xml:space="preserve">. </w:t>
      </w:r>
      <w:r w:rsidR="007248E7" w:rsidRPr="00BA5A45">
        <w:rPr>
          <w:rFonts w:ascii="Times New Roman" w:hAnsi="Times New Roman"/>
          <w:sz w:val="24"/>
          <w:lang w:val="en-GB"/>
        </w:rPr>
        <w:t xml:space="preserve">This was a condition precedent to the sale of the property. </w:t>
      </w:r>
      <w:r w:rsidR="00A862E0" w:rsidRPr="00BA5A45">
        <w:rPr>
          <w:rFonts w:ascii="Times New Roman" w:hAnsi="Times New Roman"/>
          <w:sz w:val="24"/>
          <w:lang w:val="en-GB"/>
        </w:rPr>
        <w:t>The relationship o</w:t>
      </w:r>
      <w:r w:rsidR="000C237D" w:rsidRPr="00BA5A45">
        <w:rPr>
          <w:rFonts w:ascii="Times New Roman" w:hAnsi="Times New Roman"/>
          <w:sz w:val="24"/>
          <w:lang w:val="en-GB"/>
        </w:rPr>
        <w:t>f credit</w:t>
      </w:r>
      <w:r w:rsidR="00A862E0" w:rsidRPr="00BA5A45">
        <w:rPr>
          <w:rFonts w:ascii="Times New Roman" w:hAnsi="Times New Roman"/>
          <w:sz w:val="24"/>
          <w:lang w:val="en-GB"/>
        </w:rPr>
        <w:t xml:space="preserve">or/debtor must first be established </w:t>
      </w:r>
      <w:r w:rsidR="000C237D" w:rsidRPr="00BA5A45">
        <w:rPr>
          <w:rFonts w:ascii="Times New Roman" w:hAnsi="Times New Roman"/>
          <w:sz w:val="24"/>
          <w:lang w:val="en-GB"/>
        </w:rPr>
        <w:t xml:space="preserve">between NFOL and the Complainants before their property could be sold. It was incumbent upon the appellant or his law firm to protect the </w:t>
      </w:r>
      <w:r w:rsidR="00340CD2" w:rsidRPr="00BA5A45">
        <w:rPr>
          <w:rFonts w:ascii="Times New Roman" w:hAnsi="Times New Roman"/>
          <w:sz w:val="24"/>
          <w:lang w:val="en-GB"/>
        </w:rPr>
        <w:t>complainants’</w:t>
      </w:r>
      <w:r w:rsidR="000C237D" w:rsidRPr="00BA5A45">
        <w:rPr>
          <w:rFonts w:ascii="Times New Roman" w:hAnsi="Times New Roman"/>
          <w:sz w:val="24"/>
          <w:lang w:val="en-GB"/>
        </w:rPr>
        <w:t xml:space="preserve"> interest in this regard</w:t>
      </w:r>
      <w:r w:rsidR="000A4209" w:rsidRPr="00BA5A45">
        <w:rPr>
          <w:rFonts w:ascii="Times New Roman" w:hAnsi="Times New Roman"/>
          <w:sz w:val="24"/>
          <w:lang w:val="en-GB"/>
        </w:rPr>
        <w:t xml:space="preserve"> and only proceed to </w:t>
      </w:r>
      <w:r w:rsidR="000A4209" w:rsidRPr="00BA5A45">
        <w:rPr>
          <w:rFonts w:ascii="Times New Roman" w:hAnsi="Times New Roman"/>
          <w:sz w:val="24"/>
          <w:lang w:val="en-GB"/>
        </w:rPr>
        <w:lastRenderedPageBreak/>
        <w:t>sell where</w:t>
      </w:r>
      <w:r w:rsidR="007248E7" w:rsidRPr="00BA5A45">
        <w:rPr>
          <w:rFonts w:ascii="Times New Roman" w:hAnsi="Times New Roman"/>
          <w:sz w:val="24"/>
          <w:lang w:val="en-GB"/>
        </w:rPr>
        <w:t xml:space="preserve"> the condition precedent had been met.</w:t>
      </w:r>
      <w:r w:rsidR="000C237D" w:rsidRPr="00BA5A45">
        <w:rPr>
          <w:rFonts w:ascii="Times New Roman" w:hAnsi="Times New Roman"/>
          <w:sz w:val="24"/>
          <w:lang w:val="en-GB"/>
        </w:rPr>
        <w:t xml:space="preserve"> Considering that a POA ought to be strictly </w:t>
      </w:r>
      <w:r w:rsidR="00340CD2" w:rsidRPr="00BA5A45">
        <w:rPr>
          <w:rFonts w:ascii="Times New Roman" w:hAnsi="Times New Roman"/>
          <w:sz w:val="24"/>
          <w:lang w:val="en-GB"/>
        </w:rPr>
        <w:t>construed,</w:t>
      </w:r>
      <w:r w:rsidR="000C237D" w:rsidRPr="00BA5A45">
        <w:rPr>
          <w:rFonts w:ascii="Times New Roman" w:hAnsi="Times New Roman"/>
          <w:sz w:val="24"/>
          <w:lang w:val="en-GB"/>
        </w:rPr>
        <w:t xml:space="preserve"> i</w:t>
      </w:r>
      <w:r w:rsidR="00186F60" w:rsidRPr="00BA5A45">
        <w:rPr>
          <w:rFonts w:ascii="Times New Roman" w:hAnsi="Times New Roman"/>
          <w:sz w:val="24"/>
          <w:lang w:val="en-GB"/>
        </w:rPr>
        <w:t>t</w:t>
      </w:r>
      <w:r w:rsidR="000C237D" w:rsidRPr="00BA5A45">
        <w:rPr>
          <w:rFonts w:ascii="Times New Roman" w:hAnsi="Times New Roman"/>
          <w:sz w:val="24"/>
          <w:lang w:val="en-GB"/>
        </w:rPr>
        <w:t xml:space="preserve"> follows that the POA was fatally defective as authority to </w:t>
      </w:r>
      <w:r w:rsidR="00175D59" w:rsidRPr="00BA5A45">
        <w:rPr>
          <w:rFonts w:ascii="Times New Roman" w:hAnsi="Times New Roman"/>
          <w:sz w:val="24"/>
          <w:lang w:val="en-GB"/>
        </w:rPr>
        <w:t xml:space="preserve">the </w:t>
      </w:r>
      <w:r w:rsidR="000C237D" w:rsidRPr="00BA5A45">
        <w:rPr>
          <w:rFonts w:ascii="Times New Roman" w:hAnsi="Times New Roman"/>
          <w:sz w:val="24"/>
          <w:lang w:val="en-GB"/>
        </w:rPr>
        <w:t xml:space="preserve">appellant to sell the </w:t>
      </w:r>
      <w:r w:rsidR="00A862E0" w:rsidRPr="00BA5A45">
        <w:rPr>
          <w:rFonts w:ascii="Times New Roman" w:hAnsi="Times New Roman"/>
          <w:sz w:val="24"/>
          <w:lang w:val="en-GB"/>
        </w:rPr>
        <w:t>complainants</w:t>
      </w:r>
      <w:r w:rsidR="00175D59" w:rsidRPr="00BA5A45">
        <w:rPr>
          <w:rFonts w:ascii="Times New Roman" w:hAnsi="Times New Roman"/>
          <w:sz w:val="24"/>
          <w:lang w:val="en-GB"/>
        </w:rPr>
        <w:t>’</w:t>
      </w:r>
      <w:r w:rsidR="00A862E0" w:rsidRPr="00BA5A45">
        <w:rPr>
          <w:rFonts w:ascii="Times New Roman" w:hAnsi="Times New Roman"/>
          <w:sz w:val="24"/>
          <w:lang w:val="en-GB"/>
        </w:rPr>
        <w:t xml:space="preserve"> </w:t>
      </w:r>
      <w:r w:rsidR="00186F60" w:rsidRPr="00BA5A45">
        <w:rPr>
          <w:rFonts w:ascii="Times New Roman" w:hAnsi="Times New Roman"/>
          <w:sz w:val="24"/>
          <w:lang w:val="en-GB"/>
        </w:rPr>
        <w:t>property when</w:t>
      </w:r>
      <w:r w:rsidR="00340CD2" w:rsidRPr="00BA5A45">
        <w:rPr>
          <w:rFonts w:ascii="Times New Roman" w:hAnsi="Times New Roman"/>
          <w:sz w:val="24"/>
          <w:lang w:val="en-GB"/>
        </w:rPr>
        <w:t xml:space="preserve"> they were not </w:t>
      </w:r>
      <w:r w:rsidR="007248E7" w:rsidRPr="00BA5A45">
        <w:rPr>
          <w:rFonts w:ascii="Times New Roman" w:hAnsi="Times New Roman"/>
          <w:sz w:val="24"/>
          <w:lang w:val="en-GB"/>
        </w:rPr>
        <w:t xml:space="preserve">yet </w:t>
      </w:r>
      <w:r w:rsidR="00340CD2" w:rsidRPr="00BA5A45">
        <w:rPr>
          <w:rFonts w:ascii="Times New Roman" w:hAnsi="Times New Roman"/>
          <w:sz w:val="24"/>
          <w:lang w:val="en-GB"/>
        </w:rPr>
        <w:t>debtors of NFOL</w:t>
      </w:r>
      <w:r w:rsidR="00A862E0" w:rsidRPr="00BA5A45">
        <w:rPr>
          <w:rFonts w:ascii="Times New Roman" w:hAnsi="Times New Roman"/>
          <w:sz w:val="24"/>
          <w:lang w:val="en-GB"/>
        </w:rPr>
        <w:t xml:space="preserve"> and</w:t>
      </w:r>
      <w:r w:rsidR="00340CD2" w:rsidRPr="00BA5A45">
        <w:rPr>
          <w:rFonts w:ascii="Times New Roman" w:hAnsi="Times New Roman"/>
          <w:sz w:val="24"/>
          <w:lang w:val="en-GB"/>
        </w:rPr>
        <w:t xml:space="preserve"> without following due process.</w:t>
      </w:r>
    </w:p>
    <w:p w14:paraId="06646EF5" w14:textId="77777777" w:rsidR="00D81197" w:rsidRPr="00BA5A45" w:rsidRDefault="00D81197" w:rsidP="00F42946">
      <w:pPr>
        <w:spacing w:after="0" w:line="480" w:lineRule="auto"/>
        <w:ind w:firstLine="720"/>
        <w:jc w:val="both"/>
        <w:rPr>
          <w:rFonts w:ascii="Times New Roman" w:hAnsi="Times New Roman"/>
          <w:sz w:val="24"/>
          <w:lang w:val="en-GB"/>
        </w:rPr>
      </w:pPr>
    </w:p>
    <w:p w14:paraId="7E6CFD24" w14:textId="7533FE58" w:rsidR="00175D59" w:rsidRPr="00BA5A45" w:rsidRDefault="00EB0CF4"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It is this POA</w:t>
      </w:r>
      <w:r w:rsidR="00340CD2" w:rsidRPr="00BA5A45">
        <w:rPr>
          <w:rFonts w:ascii="Times New Roman" w:hAnsi="Times New Roman"/>
          <w:sz w:val="24"/>
          <w:lang w:val="en-GB"/>
        </w:rPr>
        <w:t xml:space="preserve"> that appellant </w:t>
      </w:r>
      <w:r w:rsidR="003A0744" w:rsidRPr="00BA5A45">
        <w:rPr>
          <w:rFonts w:ascii="Times New Roman" w:hAnsi="Times New Roman"/>
          <w:sz w:val="24"/>
          <w:lang w:val="en-GB"/>
        </w:rPr>
        <w:t>used to</w:t>
      </w:r>
      <w:r w:rsidR="00D97D3D" w:rsidRPr="00BA5A45">
        <w:rPr>
          <w:rFonts w:ascii="Times New Roman" w:hAnsi="Times New Roman"/>
          <w:sz w:val="24"/>
          <w:lang w:val="en-GB"/>
        </w:rPr>
        <w:t xml:space="preserve"> </w:t>
      </w:r>
      <w:r w:rsidRPr="00BA5A45">
        <w:rPr>
          <w:rFonts w:ascii="Times New Roman" w:hAnsi="Times New Roman"/>
          <w:sz w:val="24"/>
          <w:lang w:val="en-GB"/>
        </w:rPr>
        <w:t>step in as the appointed</w:t>
      </w:r>
      <w:r w:rsidR="00340CD2" w:rsidRPr="00BA5A45">
        <w:rPr>
          <w:rFonts w:ascii="Times New Roman" w:hAnsi="Times New Roman"/>
          <w:sz w:val="24"/>
          <w:lang w:val="en-GB"/>
        </w:rPr>
        <w:t xml:space="preserve"> attorney and used as consent to sell property placed as security for an application for a credit facility by Celgrim</w:t>
      </w:r>
      <w:r w:rsidR="00A862E0" w:rsidRPr="00BA5A45">
        <w:rPr>
          <w:rFonts w:ascii="Times New Roman" w:hAnsi="Times New Roman"/>
          <w:sz w:val="24"/>
          <w:lang w:val="en-GB"/>
        </w:rPr>
        <w:t xml:space="preserve"> Bakeries without their</w:t>
      </w:r>
      <w:r w:rsidR="00340CD2" w:rsidRPr="00BA5A45">
        <w:rPr>
          <w:rFonts w:ascii="Times New Roman" w:hAnsi="Times New Roman"/>
          <w:sz w:val="24"/>
          <w:lang w:val="en-GB"/>
        </w:rPr>
        <w:t xml:space="preserve"> authority or court order</w:t>
      </w:r>
      <w:r w:rsidR="003A0744" w:rsidRPr="00BA5A45">
        <w:rPr>
          <w:rFonts w:ascii="Times New Roman" w:hAnsi="Times New Roman"/>
          <w:sz w:val="24"/>
          <w:lang w:val="en-GB"/>
        </w:rPr>
        <w:t>.</w:t>
      </w:r>
      <w:r w:rsidR="00175D59" w:rsidRPr="00BA5A45">
        <w:rPr>
          <w:rFonts w:ascii="Times New Roman" w:hAnsi="Times New Roman"/>
          <w:sz w:val="24"/>
          <w:lang w:val="en-GB"/>
        </w:rPr>
        <w:t xml:space="preserve"> The document thus contained a falsity</w:t>
      </w:r>
      <w:r w:rsidR="00C43E98" w:rsidRPr="00BA5A45">
        <w:rPr>
          <w:rFonts w:ascii="Times New Roman" w:hAnsi="Times New Roman"/>
          <w:sz w:val="24"/>
          <w:lang w:val="en-GB"/>
        </w:rPr>
        <w:t xml:space="preserve"> or </w:t>
      </w:r>
      <w:r w:rsidR="00175D59" w:rsidRPr="00BA5A45">
        <w:rPr>
          <w:rFonts w:ascii="Times New Roman" w:hAnsi="Times New Roman"/>
          <w:sz w:val="24"/>
          <w:lang w:val="en-GB"/>
        </w:rPr>
        <w:t>misrepresentation affecting its validity as authority to sell the complainants</w:t>
      </w:r>
      <w:r w:rsidR="00C07557">
        <w:rPr>
          <w:rFonts w:ascii="Times New Roman" w:hAnsi="Times New Roman"/>
          <w:sz w:val="24"/>
          <w:lang w:val="en-GB"/>
        </w:rPr>
        <w:t>’</w:t>
      </w:r>
      <w:r w:rsidR="00175D59" w:rsidRPr="00BA5A45">
        <w:rPr>
          <w:rFonts w:ascii="Times New Roman" w:hAnsi="Times New Roman"/>
          <w:sz w:val="24"/>
          <w:lang w:val="en-GB"/>
        </w:rPr>
        <w:t xml:space="preserve"> property without their consent or court order. </w:t>
      </w:r>
      <w:r w:rsidR="003A0744" w:rsidRPr="00BA5A45">
        <w:rPr>
          <w:rFonts w:ascii="Times New Roman" w:hAnsi="Times New Roman"/>
          <w:sz w:val="24"/>
          <w:lang w:val="en-GB"/>
        </w:rPr>
        <w:t xml:space="preserve"> The debtor was Celgrim Bakeries and not the complainants.</w:t>
      </w:r>
      <w:r w:rsidR="00175D59" w:rsidRPr="00BA5A45">
        <w:rPr>
          <w:rFonts w:ascii="Times New Roman" w:hAnsi="Times New Roman"/>
          <w:sz w:val="24"/>
          <w:lang w:val="en-GB"/>
        </w:rPr>
        <w:t xml:space="preserve"> </w:t>
      </w:r>
      <w:r w:rsidR="00216F21" w:rsidRPr="00BA5A45">
        <w:rPr>
          <w:rFonts w:ascii="Times New Roman" w:hAnsi="Times New Roman"/>
          <w:sz w:val="24"/>
          <w:lang w:val="en-GB"/>
        </w:rPr>
        <w:t>I</w:t>
      </w:r>
      <w:r w:rsidR="00175D59" w:rsidRPr="00BA5A45">
        <w:rPr>
          <w:rFonts w:ascii="Times New Roman" w:hAnsi="Times New Roman"/>
          <w:sz w:val="24"/>
          <w:lang w:val="en-GB"/>
        </w:rPr>
        <w:t>t is common cause that the complainants had not stepped into the shoes of Celgrim Bakeries, they remained sureties.</w:t>
      </w:r>
    </w:p>
    <w:p w14:paraId="56015431" w14:textId="77777777" w:rsidR="00D81197" w:rsidRPr="00BA5A45" w:rsidRDefault="00D81197" w:rsidP="00F42946">
      <w:pPr>
        <w:spacing w:after="0" w:line="480" w:lineRule="auto"/>
        <w:ind w:firstLine="720"/>
        <w:jc w:val="both"/>
        <w:rPr>
          <w:rFonts w:ascii="Times New Roman" w:hAnsi="Times New Roman"/>
          <w:sz w:val="24"/>
          <w:lang w:val="en-GB"/>
        </w:rPr>
      </w:pPr>
    </w:p>
    <w:p w14:paraId="34C98034" w14:textId="1E9456A4" w:rsidR="003A3B65" w:rsidRPr="00BA5A45" w:rsidRDefault="003A0744"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 xml:space="preserve"> </w:t>
      </w:r>
      <w:r w:rsidR="003A3B65" w:rsidRPr="00BA5A45">
        <w:rPr>
          <w:rFonts w:ascii="Times New Roman" w:hAnsi="Times New Roman"/>
          <w:sz w:val="24"/>
          <w:lang w:val="en-GB"/>
        </w:rPr>
        <w:t xml:space="preserve">The </w:t>
      </w:r>
      <w:r w:rsidR="00175D59" w:rsidRPr="00BA5A45">
        <w:rPr>
          <w:rFonts w:ascii="Times New Roman" w:hAnsi="Times New Roman"/>
          <w:sz w:val="24"/>
          <w:lang w:val="en-GB"/>
        </w:rPr>
        <w:t xml:space="preserve">appellant </w:t>
      </w:r>
      <w:r w:rsidR="0027495D" w:rsidRPr="00BA5A45">
        <w:rPr>
          <w:rFonts w:ascii="Times New Roman" w:hAnsi="Times New Roman"/>
          <w:sz w:val="24"/>
          <w:lang w:val="en-GB"/>
        </w:rPr>
        <w:t>purported</w:t>
      </w:r>
      <w:r w:rsidR="00175D59" w:rsidRPr="00BA5A45">
        <w:rPr>
          <w:rFonts w:ascii="Times New Roman" w:hAnsi="Times New Roman"/>
          <w:sz w:val="24"/>
          <w:lang w:val="en-GB"/>
        </w:rPr>
        <w:t xml:space="preserve"> to act</w:t>
      </w:r>
      <w:r w:rsidR="0027495D" w:rsidRPr="00BA5A45">
        <w:rPr>
          <w:rFonts w:ascii="Times New Roman" w:hAnsi="Times New Roman"/>
          <w:sz w:val="24"/>
          <w:lang w:val="en-GB"/>
        </w:rPr>
        <w:t xml:space="preserve"> under the POA. In that regard he accepted the relationship of attorney-client created by that POA. </w:t>
      </w:r>
      <w:r w:rsidR="003A3B65" w:rsidRPr="00BA5A45">
        <w:rPr>
          <w:rFonts w:ascii="Times New Roman" w:hAnsi="Times New Roman"/>
          <w:sz w:val="24"/>
          <w:lang w:val="en-GB"/>
        </w:rPr>
        <w:t xml:space="preserve"> </w:t>
      </w:r>
      <w:r w:rsidR="0027495D" w:rsidRPr="00BA5A45">
        <w:rPr>
          <w:rFonts w:ascii="Times New Roman" w:hAnsi="Times New Roman"/>
          <w:sz w:val="24"/>
          <w:lang w:val="en-GB"/>
        </w:rPr>
        <w:t xml:space="preserve">The </w:t>
      </w:r>
      <w:r w:rsidR="00216F21" w:rsidRPr="00BA5A45">
        <w:rPr>
          <w:rFonts w:ascii="Times New Roman" w:hAnsi="Times New Roman"/>
          <w:sz w:val="24"/>
          <w:lang w:val="en-GB"/>
        </w:rPr>
        <w:t>POA</w:t>
      </w:r>
      <w:r w:rsidR="0027495D" w:rsidRPr="00BA5A45">
        <w:rPr>
          <w:rFonts w:ascii="Times New Roman" w:hAnsi="Times New Roman"/>
          <w:sz w:val="24"/>
          <w:lang w:val="en-GB"/>
        </w:rPr>
        <w:t xml:space="preserve"> the</w:t>
      </w:r>
      <w:r w:rsidR="006C429E" w:rsidRPr="00BA5A45">
        <w:rPr>
          <w:rFonts w:ascii="Times New Roman" w:hAnsi="Times New Roman"/>
          <w:sz w:val="24"/>
          <w:lang w:val="en-GB"/>
        </w:rPr>
        <w:t xml:space="preserve"> appellant</w:t>
      </w:r>
      <w:r w:rsidR="00D97D3D" w:rsidRPr="00BA5A45">
        <w:rPr>
          <w:rFonts w:ascii="Times New Roman" w:hAnsi="Times New Roman"/>
          <w:sz w:val="24"/>
          <w:lang w:val="en-GB"/>
        </w:rPr>
        <w:t xml:space="preserve"> </w:t>
      </w:r>
      <w:r w:rsidR="00186F60" w:rsidRPr="00BA5A45">
        <w:rPr>
          <w:rFonts w:ascii="Times New Roman" w:hAnsi="Times New Roman"/>
          <w:sz w:val="24"/>
          <w:lang w:val="en-GB"/>
        </w:rPr>
        <w:t>purported to act</w:t>
      </w:r>
      <w:r w:rsidR="00D97D3D" w:rsidRPr="00BA5A45">
        <w:rPr>
          <w:rFonts w:ascii="Times New Roman" w:hAnsi="Times New Roman"/>
          <w:sz w:val="24"/>
          <w:lang w:val="en-GB"/>
        </w:rPr>
        <w:t xml:space="preserve"> upon </w:t>
      </w:r>
      <w:r w:rsidR="006C429E" w:rsidRPr="00BA5A45">
        <w:rPr>
          <w:rFonts w:ascii="Times New Roman" w:hAnsi="Times New Roman"/>
          <w:sz w:val="24"/>
          <w:lang w:val="en-GB"/>
        </w:rPr>
        <w:t>can thus not be ignored for the purpose of establishing whether even as per his version there was conflict of interest.</w:t>
      </w:r>
      <w:r w:rsidR="005C49FC" w:rsidRPr="00BA5A45">
        <w:rPr>
          <w:rFonts w:ascii="Times New Roman" w:hAnsi="Times New Roman"/>
          <w:sz w:val="24"/>
          <w:lang w:val="en-GB"/>
        </w:rPr>
        <w:t xml:space="preserve"> </w:t>
      </w:r>
    </w:p>
    <w:p w14:paraId="0C07B592" w14:textId="77777777" w:rsidR="00D81197" w:rsidRPr="00BA5A45" w:rsidRDefault="00D81197" w:rsidP="00F42946">
      <w:pPr>
        <w:spacing w:after="0" w:line="480" w:lineRule="auto"/>
        <w:ind w:firstLine="720"/>
        <w:jc w:val="both"/>
        <w:rPr>
          <w:rFonts w:ascii="Times New Roman" w:hAnsi="Times New Roman"/>
          <w:sz w:val="24"/>
          <w:lang w:val="en-GB"/>
        </w:rPr>
      </w:pPr>
    </w:p>
    <w:p w14:paraId="12A5FD6C" w14:textId="77777777" w:rsidR="00C83003" w:rsidRDefault="00C30A7D"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 xml:space="preserve"> </w:t>
      </w:r>
      <w:r w:rsidR="006C429E" w:rsidRPr="00BA5A45">
        <w:rPr>
          <w:rFonts w:ascii="Times New Roman" w:hAnsi="Times New Roman"/>
          <w:sz w:val="24"/>
          <w:lang w:val="en-GB"/>
        </w:rPr>
        <w:t>The</w:t>
      </w:r>
      <w:r w:rsidRPr="00BA5A45">
        <w:rPr>
          <w:rFonts w:ascii="Times New Roman" w:hAnsi="Times New Roman"/>
          <w:sz w:val="24"/>
          <w:lang w:val="en-GB"/>
        </w:rPr>
        <w:t xml:space="preserve"> next point </w:t>
      </w:r>
      <w:r w:rsidR="00FB2C6A" w:rsidRPr="00BA5A45">
        <w:rPr>
          <w:rFonts w:ascii="Times New Roman" w:hAnsi="Times New Roman"/>
          <w:sz w:val="24"/>
          <w:lang w:val="en-GB"/>
        </w:rPr>
        <w:t xml:space="preserve">is </w:t>
      </w:r>
      <w:r w:rsidR="0027495D" w:rsidRPr="00BA5A45">
        <w:rPr>
          <w:rFonts w:ascii="Times New Roman" w:hAnsi="Times New Roman"/>
          <w:sz w:val="24"/>
          <w:lang w:val="en-GB"/>
        </w:rPr>
        <w:t xml:space="preserve">therefore </w:t>
      </w:r>
      <w:r w:rsidR="00FB2C6A" w:rsidRPr="00BA5A45">
        <w:rPr>
          <w:rFonts w:ascii="Times New Roman" w:hAnsi="Times New Roman"/>
          <w:sz w:val="24"/>
          <w:lang w:val="en-GB"/>
        </w:rPr>
        <w:t>whether</w:t>
      </w:r>
      <w:r w:rsidR="00490075" w:rsidRPr="00BA5A45">
        <w:rPr>
          <w:rFonts w:ascii="Times New Roman" w:hAnsi="Times New Roman"/>
          <w:sz w:val="24"/>
          <w:lang w:val="en-GB"/>
        </w:rPr>
        <w:t xml:space="preserve"> the appellant acted in circum</w:t>
      </w:r>
      <w:r w:rsidR="0081105D" w:rsidRPr="00BA5A45">
        <w:rPr>
          <w:rFonts w:ascii="Times New Roman" w:hAnsi="Times New Roman"/>
          <w:sz w:val="24"/>
          <w:lang w:val="en-GB"/>
        </w:rPr>
        <w:t>stances where there were conflicting interests.</w:t>
      </w:r>
      <w:r w:rsidR="00490075" w:rsidRPr="00BA5A45">
        <w:rPr>
          <w:rFonts w:ascii="Times New Roman" w:hAnsi="Times New Roman"/>
          <w:sz w:val="24"/>
          <w:lang w:val="en-GB"/>
        </w:rPr>
        <w:t xml:space="preserve"> </w:t>
      </w:r>
      <w:r w:rsidR="00F71A18" w:rsidRPr="00BA5A45">
        <w:rPr>
          <w:rFonts w:ascii="Times New Roman" w:hAnsi="Times New Roman"/>
          <w:sz w:val="24"/>
          <w:lang w:val="en-GB"/>
        </w:rPr>
        <w:t>Mr</w:t>
      </w:r>
      <w:r w:rsidR="007B57EE" w:rsidRPr="00BA5A45">
        <w:rPr>
          <w:rFonts w:ascii="Times New Roman" w:hAnsi="Times New Roman"/>
          <w:i/>
          <w:sz w:val="24"/>
          <w:lang w:val="en-GB"/>
        </w:rPr>
        <w:t> </w:t>
      </w:r>
      <w:r w:rsidR="00490075" w:rsidRPr="00BA5A45">
        <w:rPr>
          <w:rFonts w:ascii="Times New Roman" w:hAnsi="Times New Roman"/>
          <w:i/>
          <w:sz w:val="24"/>
          <w:lang w:val="en-GB"/>
        </w:rPr>
        <w:t>Girach</w:t>
      </w:r>
      <w:r w:rsidR="002550EC" w:rsidRPr="00BA5A45">
        <w:rPr>
          <w:rFonts w:ascii="Times New Roman" w:hAnsi="Times New Roman"/>
          <w:sz w:val="24"/>
          <w:lang w:val="en-GB"/>
        </w:rPr>
        <w:t xml:space="preserve"> submitted</w:t>
      </w:r>
      <w:r w:rsidR="00E97E9E" w:rsidRPr="00BA5A45">
        <w:rPr>
          <w:rFonts w:ascii="Times New Roman" w:hAnsi="Times New Roman"/>
          <w:sz w:val="24"/>
          <w:lang w:val="en-GB"/>
        </w:rPr>
        <w:t xml:space="preserve"> that </w:t>
      </w:r>
      <w:r w:rsidR="0027495D" w:rsidRPr="00BA5A45">
        <w:rPr>
          <w:rFonts w:ascii="Times New Roman" w:hAnsi="Times New Roman"/>
          <w:sz w:val="24"/>
          <w:lang w:val="en-GB"/>
        </w:rPr>
        <w:t xml:space="preserve">there was no conflict of interest as </w:t>
      </w:r>
      <w:r w:rsidR="00E97E9E" w:rsidRPr="00BA5A45">
        <w:rPr>
          <w:rFonts w:ascii="Times New Roman" w:hAnsi="Times New Roman"/>
          <w:sz w:val="24"/>
          <w:lang w:val="en-GB"/>
        </w:rPr>
        <w:t xml:space="preserve">the complainants knew at all times that </w:t>
      </w:r>
      <w:r w:rsidR="00490075" w:rsidRPr="00BA5A45">
        <w:rPr>
          <w:rFonts w:ascii="Times New Roman" w:hAnsi="Times New Roman"/>
          <w:sz w:val="24"/>
          <w:lang w:val="en-GB"/>
        </w:rPr>
        <w:t>t</w:t>
      </w:r>
      <w:r w:rsidR="00E97E9E" w:rsidRPr="00BA5A45">
        <w:rPr>
          <w:rFonts w:ascii="Times New Roman" w:hAnsi="Times New Roman"/>
          <w:sz w:val="24"/>
          <w:lang w:val="en-GB"/>
        </w:rPr>
        <w:t xml:space="preserve">he </w:t>
      </w:r>
      <w:r w:rsidR="00490075" w:rsidRPr="00BA5A45">
        <w:rPr>
          <w:rFonts w:ascii="Times New Roman" w:hAnsi="Times New Roman"/>
          <w:sz w:val="24"/>
          <w:lang w:val="en-GB"/>
        </w:rPr>
        <w:t xml:space="preserve">appellant </w:t>
      </w:r>
      <w:r w:rsidR="00E97E9E" w:rsidRPr="00BA5A45">
        <w:rPr>
          <w:rFonts w:ascii="Times New Roman" w:hAnsi="Times New Roman"/>
          <w:sz w:val="24"/>
          <w:lang w:val="en-GB"/>
        </w:rPr>
        <w:t>was acting a</w:t>
      </w:r>
      <w:r w:rsidR="00EB0CF4" w:rsidRPr="00BA5A45">
        <w:rPr>
          <w:rFonts w:ascii="Times New Roman" w:hAnsi="Times New Roman"/>
          <w:sz w:val="24"/>
          <w:lang w:val="en-GB"/>
        </w:rPr>
        <w:t>s the attorney for NFOL, as evinced from the POA</w:t>
      </w:r>
      <w:r w:rsidR="00E97E9E" w:rsidRPr="00BA5A45">
        <w:rPr>
          <w:rFonts w:ascii="Times New Roman" w:hAnsi="Times New Roman"/>
          <w:sz w:val="24"/>
          <w:lang w:val="en-GB"/>
        </w:rPr>
        <w:t xml:space="preserve"> in question in which the </w:t>
      </w:r>
      <w:r w:rsidR="0027495D" w:rsidRPr="00BA5A45">
        <w:rPr>
          <w:rFonts w:ascii="Times New Roman" w:hAnsi="Times New Roman"/>
          <w:sz w:val="24"/>
          <w:lang w:val="en-GB"/>
        </w:rPr>
        <w:t>they</w:t>
      </w:r>
      <w:r w:rsidR="00E97E9E" w:rsidRPr="00BA5A45">
        <w:rPr>
          <w:rFonts w:ascii="Times New Roman" w:hAnsi="Times New Roman"/>
          <w:sz w:val="24"/>
          <w:lang w:val="en-GB"/>
        </w:rPr>
        <w:t xml:space="preserve"> acknowledged that the appellant was the att</w:t>
      </w:r>
      <w:r w:rsidR="00EB0CF4" w:rsidRPr="00BA5A45">
        <w:rPr>
          <w:rFonts w:ascii="Times New Roman" w:hAnsi="Times New Roman"/>
          <w:sz w:val="24"/>
          <w:lang w:val="en-GB"/>
        </w:rPr>
        <w:t>orney for NFOL</w:t>
      </w:r>
      <w:r w:rsidR="00E97E9E" w:rsidRPr="00BA5A45">
        <w:rPr>
          <w:rFonts w:ascii="Times New Roman" w:hAnsi="Times New Roman"/>
          <w:sz w:val="24"/>
          <w:lang w:val="en-GB"/>
        </w:rPr>
        <w:t>.</w:t>
      </w:r>
    </w:p>
    <w:p w14:paraId="634E9270" w14:textId="17B6B4B7" w:rsidR="00490075" w:rsidRPr="00BA5A45" w:rsidRDefault="00490075"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lastRenderedPageBreak/>
        <w:t xml:space="preserve"> In my view, the fact t</w:t>
      </w:r>
      <w:r w:rsidR="00A3069F" w:rsidRPr="00BA5A45">
        <w:rPr>
          <w:rFonts w:ascii="Times New Roman" w:hAnsi="Times New Roman"/>
          <w:sz w:val="24"/>
          <w:lang w:val="en-GB"/>
        </w:rPr>
        <w:t xml:space="preserve">hat the appellant accepted the </w:t>
      </w:r>
      <w:r w:rsidR="00216F21" w:rsidRPr="00BA5A45">
        <w:rPr>
          <w:rFonts w:ascii="Times New Roman" w:hAnsi="Times New Roman"/>
          <w:sz w:val="24"/>
          <w:lang w:val="en-GB"/>
        </w:rPr>
        <w:t>POA</w:t>
      </w:r>
      <w:r w:rsidR="00651012" w:rsidRPr="00BA5A45">
        <w:rPr>
          <w:rFonts w:ascii="Times New Roman" w:hAnsi="Times New Roman"/>
          <w:sz w:val="24"/>
          <w:lang w:val="en-GB"/>
        </w:rPr>
        <w:t>, defective</w:t>
      </w:r>
      <w:r w:rsidR="00D97D3D" w:rsidRPr="00BA5A45">
        <w:rPr>
          <w:rFonts w:ascii="Times New Roman" w:hAnsi="Times New Roman"/>
          <w:sz w:val="24"/>
          <w:lang w:val="en-GB"/>
        </w:rPr>
        <w:t xml:space="preserve"> as it is,</w:t>
      </w:r>
      <w:r w:rsidRPr="00BA5A45">
        <w:rPr>
          <w:rFonts w:ascii="Times New Roman" w:hAnsi="Times New Roman"/>
          <w:sz w:val="24"/>
          <w:lang w:val="en-GB"/>
        </w:rPr>
        <w:t xml:space="preserve"> which made it clear that he was acting as an </w:t>
      </w:r>
      <w:r w:rsidR="00A21FEA" w:rsidRPr="00BA5A45">
        <w:rPr>
          <w:rFonts w:ascii="Times New Roman" w:hAnsi="Times New Roman"/>
          <w:sz w:val="24"/>
          <w:lang w:val="en-GB"/>
        </w:rPr>
        <w:t>attorney on</w:t>
      </w:r>
      <w:r w:rsidRPr="00BA5A45">
        <w:rPr>
          <w:rFonts w:ascii="Times New Roman" w:hAnsi="Times New Roman"/>
          <w:sz w:val="24"/>
          <w:lang w:val="en-GB"/>
        </w:rPr>
        <w:t xml:space="preserve"> </w:t>
      </w:r>
      <w:r w:rsidR="00EB0CF4" w:rsidRPr="00BA5A45">
        <w:rPr>
          <w:rFonts w:ascii="Times New Roman" w:hAnsi="Times New Roman"/>
          <w:sz w:val="24"/>
          <w:lang w:val="en-GB"/>
        </w:rPr>
        <w:t>behalf of NFOL</w:t>
      </w:r>
      <w:r w:rsidRPr="00BA5A45">
        <w:rPr>
          <w:rFonts w:ascii="Times New Roman" w:hAnsi="Times New Roman"/>
          <w:sz w:val="24"/>
          <w:lang w:val="en-GB"/>
        </w:rPr>
        <w:t xml:space="preserve"> and also as an agent for the complainants shows a lack of diligence on his part. It is trite that a legal practitioner must not act for the other party if there is a conflict or potential conflict between himself and the other party.</w:t>
      </w:r>
      <w:r w:rsidR="00A21FEA" w:rsidRPr="00BA5A45">
        <w:rPr>
          <w:rFonts w:ascii="Times New Roman" w:hAnsi="Times New Roman"/>
          <w:sz w:val="24"/>
          <w:lang w:val="en-GB"/>
        </w:rPr>
        <w:t xml:space="preserve"> </w:t>
      </w:r>
      <w:r w:rsidR="00A21FEA" w:rsidRPr="00BA5A45">
        <w:rPr>
          <w:rFonts w:ascii="Times New Roman" w:hAnsi="Times New Roman"/>
        </w:rPr>
        <w:t xml:space="preserve"> </w:t>
      </w:r>
      <w:r w:rsidR="00A21FEA" w:rsidRPr="00BA5A45">
        <w:rPr>
          <w:rFonts w:ascii="Times New Roman" w:hAnsi="Times New Roman"/>
          <w:sz w:val="24"/>
          <w:szCs w:val="24"/>
        </w:rPr>
        <w:t xml:space="preserve">See DB Crozier, </w:t>
      </w:r>
      <w:r w:rsidR="00A21FEA" w:rsidRPr="00BA5A45">
        <w:rPr>
          <w:rFonts w:ascii="Times New Roman" w:hAnsi="Times New Roman"/>
          <w:i/>
          <w:sz w:val="24"/>
          <w:szCs w:val="24"/>
        </w:rPr>
        <w:t>Legal Ethics: A handbook for Zimbabwean Lawyers</w:t>
      </w:r>
      <w:r w:rsidR="00A21FEA" w:rsidRPr="00BA5A45">
        <w:rPr>
          <w:rFonts w:ascii="Times New Roman" w:hAnsi="Times New Roman"/>
          <w:sz w:val="24"/>
          <w:szCs w:val="24"/>
        </w:rPr>
        <w:t xml:space="preserve"> at pg. </w:t>
      </w:r>
      <w:r w:rsidR="00A21FEA" w:rsidRPr="00BA5A45">
        <w:rPr>
          <w:rFonts w:ascii="Times New Roman" w:hAnsi="Times New Roman"/>
        </w:rPr>
        <w:t>28</w:t>
      </w:r>
      <w:r w:rsidR="00A21FEA" w:rsidRPr="00BA5A45">
        <w:rPr>
          <w:rFonts w:ascii="Times New Roman" w:hAnsi="Times New Roman"/>
          <w:sz w:val="24"/>
          <w:lang w:val="en-GB"/>
        </w:rPr>
        <w:t>.</w:t>
      </w:r>
      <w:r w:rsidRPr="00BA5A45">
        <w:rPr>
          <w:rFonts w:ascii="Times New Roman" w:hAnsi="Times New Roman"/>
          <w:sz w:val="24"/>
          <w:lang w:val="en-GB"/>
        </w:rPr>
        <w:t xml:space="preserve"> </w:t>
      </w:r>
      <w:r w:rsidR="00FB4E94" w:rsidRPr="00BA5A45">
        <w:rPr>
          <w:rFonts w:ascii="Times New Roman" w:hAnsi="Times New Roman"/>
          <w:sz w:val="24"/>
          <w:lang w:val="en-GB"/>
        </w:rPr>
        <w:t>I</w:t>
      </w:r>
      <w:r w:rsidR="00EB0CF4" w:rsidRPr="00BA5A45">
        <w:rPr>
          <w:rFonts w:ascii="Times New Roman" w:hAnsi="Times New Roman"/>
          <w:sz w:val="24"/>
          <w:lang w:val="en-GB"/>
        </w:rPr>
        <w:t>n</w:t>
      </w:r>
      <w:r w:rsidR="004204FB" w:rsidRPr="00BA5A45">
        <w:rPr>
          <w:rFonts w:ascii="Times New Roman" w:hAnsi="Times New Roman"/>
          <w:sz w:val="24"/>
          <w:lang w:val="en-GB"/>
        </w:rPr>
        <w:t xml:space="preserve"> </w:t>
      </w:r>
      <w:r w:rsidR="004204FB" w:rsidRPr="00BA5A45">
        <w:rPr>
          <w:rFonts w:ascii="Times New Roman" w:hAnsi="Times New Roman"/>
          <w:i/>
          <w:sz w:val="24"/>
          <w:lang w:val="en-GB"/>
        </w:rPr>
        <w:t xml:space="preserve">Pertsilis v Calcateria &amp; Anor </w:t>
      </w:r>
      <w:r w:rsidR="004204FB" w:rsidRPr="00BA5A45">
        <w:rPr>
          <w:rFonts w:ascii="Times New Roman" w:hAnsi="Times New Roman"/>
          <w:sz w:val="24"/>
          <w:lang w:val="en-GB"/>
        </w:rPr>
        <w:t>1999 (1) ZLR 70</w:t>
      </w:r>
      <w:r w:rsidR="00EB0CF4" w:rsidRPr="00BA5A45">
        <w:rPr>
          <w:rFonts w:ascii="Times New Roman" w:hAnsi="Times New Roman"/>
          <w:sz w:val="24"/>
          <w:lang w:val="en-GB"/>
        </w:rPr>
        <w:t xml:space="preserve"> (H)</w:t>
      </w:r>
      <w:r w:rsidR="004204FB" w:rsidRPr="00BA5A45">
        <w:rPr>
          <w:rFonts w:ascii="Times New Roman" w:hAnsi="Times New Roman"/>
          <w:sz w:val="24"/>
          <w:lang w:val="en-GB"/>
        </w:rPr>
        <w:t xml:space="preserve"> the court </w:t>
      </w:r>
      <w:r w:rsidR="00EB0CF4" w:rsidRPr="00BA5A45">
        <w:rPr>
          <w:rFonts w:ascii="Times New Roman" w:hAnsi="Times New Roman"/>
          <w:sz w:val="24"/>
          <w:lang w:val="en-GB"/>
        </w:rPr>
        <w:t xml:space="preserve">aptly </w:t>
      </w:r>
      <w:r w:rsidR="004204FB" w:rsidRPr="00BA5A45">
        <w:rPr>
          <w:rFonts w:ascii="Times New Roman" w:hAnsi="Times New Roman"/>
          <w:sz w:val="24"/>
          <w:lang w:val="en-GB"/>
        </w:rPr>
        <w:t xml:space="preserve">held that a legal practitioner must decline or cease to act, not only where the interests of a client are prejudiced if the legal practitioner continues to act for the other client, but also where the client‘s interests might appear to be prejudiced. </w:t>
      </w:r>
      <w:r w:rsidR="00D97D3D" w:rsidRPr="00BA5A45">
        <w:rPr>
          <w:rFonts w:ascii="Times New Roman" w:hAnsi="Times New Roman"/>
          <w:sz w:val="24"/>
          <w:lang w:val="en-GB"/>
        </w:rPr>
        <w:t xml:space="preserve">In </w:t>
      </w:r>
      <w:r w:rsidR="00D97D3D" w:rsidRPr="00BA5A45">
        <w:rPr>
          <w:rFonts w:ascii="Times New Roman" w:hAnsi="Times New Roman"/>
          <w:i/>
          <w:iCs/>
          <w:sz w:val="24"/>
          <w:lang w:val="en-GB"/>
        </w:rPr>
        <w:t>casu,</w:t>
      </w:r>
      <w:r w:rsidR="00D97D3D" w:rsidRPr="00BA5A45">
        <w:rPr>
          <w:rFonts w:ascii="Times New Roman" w:hAnsi="Times New Roman"/>
          <w:sz w:val="24"/>
          <w:lang w:val="en-GB"/>
        </w:rPr>
        <w:t xml:space="preserve"> in terms of the documents </w:t>
      </w:r>
      <w:r w:rsidR="0098230F" w:rsidRPr="00BA5A45">
        <w:rPr>
          <w:rFonts w:ascii="Times New Roman" w:hAnsi="Times New Roman"/>
          <w:sz w:val="24"/>
          <w:lang w:val="en-GB"/>
        </w:rPr>
        <w:t xml:space="preserve">the </w:t>
      </w:r>
      <w:r w:rsidR="00D97D3D" w:rsidRPr="00BA5A45">
        <w:rPr>
          <w:rFonts w:ascii="Times New Roman" w:hAnsi="Times New Roman"/>
          <w:sz w:val="24"/>
          <w:lang w:val="en-GB"/>
        </w:rPr>
        <w:t xml:space="preserve">appellant said he relied on as consent to sell without </w:t>
      </w:r>
      <w:r w:rsidR="0098230F" w:rsidRPr="00BA5A45">
        <w:rPr>
          <w:rFonts w:ascii="Times New Roman" w:hAnsi="Times New Roman"/>
          <w:sz w:val="24"/>
          <w:lang w:val="en-GB"/>
        </w:rPr>
        <w:t xml:space="preserve">a </w:t>
      </w:r>
      <w:r w:rsidR="00D97D3D" w:rsidRPr="00BA5A45">
        <w:rPr>
          <w:rFonts w:ascii="Times New Roman" w:hAnsi="Times New Roman"/>
          <w:sz w:val="24"/>
          <w:lang w:val="en-GB"/>
        </w:rPr>
        <w:t xml:space="preserve">court </w:t>
      </w:r>
      <w:r w:rsidR="0098230F" w:rsidRPr="00BA5A45">
        <w:rPr>
          <w:rFonts w:ascii="Times New Roman" w:hAnsi="Times New Roman"/>
          <w:sz w:val="24"/>
          <w:lang w:val="en-GB"/>
        </w:rPr>
        <w:t>order, the</w:t>
      </w:r>
      <w:r w:rsidR="00D97D3D" w:rsidRPr="00BA5A45">
        <w:rPr>
          <w:rFonts w:ascii="Times New Roman" w:hAnsi="Times New Roman"/>
          <w:sz w:val="24"/>
          <w:lang w:val="en-GB"/>
        </w:rPr>
        <w:t xml:space="preserve"> </w:t>
      </w:r>
      <w:r w:rsidR="0098230F" w:rsidRPr="00BA5A45">
        <w:rPr>
          <w:rFonts w:ascii="Times New Roman" w:hAnsi="Times New Roman"/>
          <w:sz w:val="24"/>
          <w:lang w:val="en-GB"/>
        </w:rPr>
        <w:t>complainants</w:t>
      </w:r>
      <w:r w:rsidR="00D97D3D" w:rsidRPr="00BA5A45">
        <w:rPr>
          <w:rFonts w:ascii="Times New Roman" w:hAnsi="Times New Roman"/>
          <w:sz w:val="24"/>
          <w:lang w:val="en-GB"/>
        </w:rPr>
        <w:t xml:space="preserve"> had to be debtors of NFOL before their prope</w:t>
      </w:r>
      <w:r w:rsidR="00A21FEA" w:rsidRPr="00BA5A45">
        <w:rPr>
          <w:rFonts w:ascii="Times New Roman" w:hAnsi="Times New Roman"/>
          <w:sz w:val="24"/>
          <w:lang w:val="en-GB"/>
        </w:rPr>
        <w:t>rty could be sold to settle their</w:t>
      </w:r>
      <w:r w:rsidR="00D97D3D" w:rsidRPr="00BA5A45">
        <w:rPr>
          <w:rFonts w:ascii="Times New Roman" w:hAnsi="Times New Roman"/>
          <w:sz w:val="24"/>
          <w:lang w:val="en-GB"/>
        </w:rPr>
        <w:t xml:space="preserve"> indebtness</w:t>
      </w:r>
      <w:r w:rsidR="00A21FEA" w:rsidRPr="00BA5A45">
        <w:rPr>
          <w:rFonts w:ascii="Times New Roman" w:hAnsi="Times New Roman"/>
          <w:sz w:val="24"/>
          <w:lang w:val="en-GB"/>
        </w:rPr>
        <w:t>.</w:t>
      </w:r>
      <w:r w:rsidR="00216F21" w:rsidRPr="00BA5A45">
        <w:rPr>
          <w:rFonts w:ascii="Times New Roman" w:hAnsi="Times New Roman"/>
          <w:sz w:val="24"/>
          <w:lang w:val="en-GB"/>
        </w:rPr>
        <w:t xml:space="preserve"> T</w:t>
      </w:r>
      <w:r w:rsidR="00F61500" w:rsidRPr="00BA5A45">
        <w:rPr>
          <w:rFonts w:ascii="Times New Roman" w:hAnsi="Times New Roman"/>
          <w:sz w:val="24"/>
          <w:lang w:val="en-GB"/>
        </w:rPr>
        <w:t>his was a condition precedent.</w:t>
      </w:r>
      <w:r w:rsidR="00A21FEA" w:rsidRPr="00BA5A45">
        <w:rPr>
          <w:rFonts w:ascii="Times New Roman" w:hAnsi="Times New Roman"/>
          <w:sz w:val="24"/>
          <w:lang w:val="en-GB"/>
        </w:rPr>
        <w:t xml:space="preserve"> T</w:t>
      </w:r>
      <w:r w:rsidR="0098230F" w:rsidRPr="00BA5A45">
        <w:rPr>
          <w:rFonts w:ascii="Times New Roman" w:hAnsi="Times New Roman"/>
          <w:sz w:val="24"/>
          <w:lang w:val="en-GB"/>
        </w:rPr>
        <w:t xml:space="preserve">heir position as sureties could only be turned to </w:t>
      </w:r>
      <w:r w:rsidR="000A4209" w:rsidRPr="00BA5A45">
        <w:rPr>
          <w:rFonts w:ascii="Times New Roman" w:hAnsi="Times New Roman"/>
          <w:sz w:val="24"/>
          <w:lang w:val="en-GB"/>
        </w:rPr>
        <w:t>debtor</w:t>
      </w:r>
      <w:r w:rsidR="00A312D7" w:rsidRPr="00BA5A45">
        <w:rPr>
          <w:rFonts w:ascii="Times New Roman" w:hAnsi="Times New Roman"/>
          <w:sz w:val="24"/>
          <w:lang w:val="en-GB"/>
        </w:rPr>
        <w:t>ship</w:t>
      </w:r>
      <w:r w:rsidR="0098230F" w:rsidRPr="00BA5A45">
        <w:rPr>
          <w:rFonts w:ascii="Times New Roman" w:hAnsi="Times New Roman"/>
          <w:sz w:val="24"/>
          <w:lang w:val="en-GB"/>
        </w:rPr>
        <w:t xml:space="preserve"> through a court process</w:t>
      </w:r>
      <w:r w:rsidR="000A4209" w:rsidRPr="00BA5A45">
        <w:rPr>
          <w:rFonts w:ascii="Times New Roman" w:hAnsi="Times New Roman"/>
          <w:sz w:val="24"/>
          <w:lang w:val="en-GB"/>
        </w:rPr>
        <w:t xml:space="preserve"> and not</w:t>
      </w:r>
      <w:r w:rsidR="00C07557">
        <w:rPr>
          <w:rFonts w:ascii="Times New Roman" w:hAnsi="Times New Roman"/>
          <w:sz w:val="24"/>
          <w:lang w:val="en-GB"/>
        </w:rPr>
        <w:t xml:space="preserve"> by dint of default by Cel</w:t>
      </w:r>
      <w:r w:rsidR="006826FD" w:rsidRPr="00BA5A45">
        <w:rPr>
          <w:rFonts w:ascii="Times New Roman" w:hAnsi="Times New Roman"/>
          <w:sz w:val="24"/>
          <w:lang w:val="en-GB"/>
        </w:rPr>
        <w:t>grim B</w:t>
      </w:r>
      <w:r w:rsidR="000A4209" w:rsidRPr="00BA5A45">
        <w:rPr>
          <w:rFonts w:ascii="Times New Roman" w:hAnsi="Times New Roman"/>
          <w:sz w:val="24"/>
          <w:lang w:val="en-GB"/>
        </w:rPr>
        <w:t>akeries</w:t>
      </w:r>
      <w:r w:rsidR="0098230F" w:rsidRPr="00BA5A45">
        <w:rPr>
          <w:rFonts w:ascii="Times New Roman" w:hAnsi="Times New Roman"/>
          <w:sz w:val="24"/>
          <w:lang w:val="en-GB"/>
        </w:rPr>
        <w:t>. The appell</w:t>
      </w:r>
      <w:r w:rsidR="00EB0CF4" w:rsidRPr="00BA5A45">
        <w:rPr>
          <w:rFonts w:ascii="Times New Roman" w:hAnsi="Times New Roman"/>
          <w:sz w:val="24"/>
          <w:lang w:val="en-GB"/>
        </w:rPr>
        <w:t>ant, conflicted as he was, did</w:t>
      </w:r>
      <w:r w:rsidR="0098230F" w:rsidRPr="00BA5A45">
        <w:rPr>
          <w:rFonts w:ascii="Times New Roman" w:hAnsi="Times New Roman"/>
          <w:sz w:val="24"/>
          <w:lang w:val="en-GB"/>
        </w:rPr>
        <w:t xml:space="preserve"> not embark on such</w:t>
      </w:r>
      <w:r w:rsidR="00AC54EA" w:rsidRPr="00BA5A45">
        <w:rPr>
          <w:rFonts w:ascii="Times New Roman" w:hAnsi="Times New Roman"/>
          <w:sz w:val="24"/>
          <w:lang w:val="en-GB"/>
        </w:rPr>
        <w:t xml:space="preserve"> due</w:t>
      </w:r>
      <w:r w:rsidR="0098230F" w:rsidRPr="00BA5A45">
        <w:rPr>
          <w:rFonts w:ascii="Times New Roman" w:hAnsi="Times New Roman"/>
          <w:sz w:val="24"/>
          <w:lang w:val="en-GB"/>
        </w:rPr>
        <w:t xml:space="preserve"> process.</w:t>
      </w:r>
    </w:p>
    <w:p w14:paraId="4411D4C0" w14:textId="77777777" w:rsidR="00D81197" w:rsidRPr="00BA5A45" w:rsidRDefault="00D81197" w:rsidP="00F42946">
      <w:pPr>
        <w:spacing w:after="0" w:line="480" w:lineRule="auto"/>
        <w:ind w:firstLine="720"/>
        <w:jc w:val="both"/>
        <w:rPr>
          <w:rFonts w:ascii="Times New Roman" w:hAnsi="Times New Roman"/>
          <w:sz w:val="24"/>
          <w:lang w:val="en-GB"/>
        </w:rPr>
      </w:pPr>
    </w:p>
    <w:p w14:paraId="00D59B54" w14:textId="26E2A680" w:rsidR="0098230F" w:rsidRPr="00BA5A45" w:rsidRDefault="004204FB" w:rsidP="00F42946">
      <w:pPr>
        <w:spacing w:after="0" w:line="480" w:lineRule="auto"/>
        <w:jc w:val="both"/>
        <w:rPr>
          <w:rFonts w:ascii="Times New Roman" w:hAnsi="Times New Roman"/>
          <w:sz w:val="24"/>
          <w:lang w:val="en-GB"/>
        </w:rPr>
      </w:pPr>
      <w:r w:rsidRPr="00BA5A45">
        <w:rPr>
          <w:rFonts w:ascii="Times New Roman" w:hAnsi="Times New Roman"/>
          <w:sz w:val="24"/>
          <w:lang w:val="en-GB"/>
        </w:rPr>
        <w:tab/>
      </w:r>
      <w:r w:rsidR="00816A5B" w:rsidRPr="00BA5A45">
        <w:rPr>
          <w:rFonts w:ascii="Times New Roman" w:hAnsi="Times New Roman"/>
          <w:sz w:val="24"/>
          <w:lang w:val="en-GB"/>
        </w:rPr>
        <w:tab/>
      </w:r>
      <w:r w:rsidRPr="00BA5A45">
        <w:rPr>
          <w:rFonts w:ascii="Times New Roman" w:hAnsi="Times New Roman"/>
          <w:sz w:val="24"/>
          <w:lang w:val="en-GB"/>
        </w:rPr>
        <w:t>Thus</w:t>
      </w:r>
      <w:r w:rsidR="00F71A18" w:rsidRPr="00BA5A45">
        <w:rPr>
          <w:rFonts w:ascii="Times New Roman" w:hAnsi="Times New Roman"/>
          <w:sz w:val="24"/>
          <w:lang w:val="en-GB"/>
        </w:rPr>
        <w:t>,</w:t>
      </w:r>
      <w:r w:rsidRPr="00BA5A45">
        <w:rPr>
          <w:rFonts w:ascii="Times New Roman" w:hAnsi="Times New Roman"/>
          <w:sz w:val="24"/>
          <w:lang w:val="en-GB"/>
        </w:rPr>
        <w:t xml:space="preserve"> because the appellant sold the complainants’ property to satisfy the debt due to National Foods Limited without suing Celgrim Bakeries first</w:t>
      </w:r>
      <w:r w:rsidR="00D37010" w:rsidRPr="00BA5A45">
        <w:rPr>
          <w:rFonts w:ascii="Times New Roman" w:hAnsi="Times New Roman"/>
          <w:sz w:val="24"/>
          <w:lang w:val="en-GB"/>
        </w:rPr>
        <w:t>, there was</w:t>
      </w:r>
      <w:r w:rsidRPr="00BA5A45">
        <w:rPr>
          <w:rFonts w:ascii="Times New Roman" w:hAnsi="Times New Roman"/>
          <w:sz w:val="24"/>
          <w:lang w:val="en-GB"/>
        </w:rPr>
        <w:t xml:space="preserve"> a conflict of interest as the appellant was determined to en</w:t>
      </w:r>
      <w:r w:rsidR="00EB0CF4" w:rsidRPr="00BA5A45">
        <w:rPr>
          <w:rFonts w:ascii="Times New Roman" w:hAnsi="Times New Roman"/>
          <w:sz w:val="24"/>
          <w:lang w:val="en-GB"/>
        </w:rPr>
        <w:t>sure that NFOL</w:t>
      </w:r>
      <w:r w:rsidRPr="00BA5A45">
        <w:rPr>
          <w:rFonts w:ascii="Times New Roman" w:hAnsi="Times New Roman"/>
          <w:sz w:val="24"/>
          <w:lang w:val="en-GB"/>
        </w:rPr>
        <w:t xml:space="preserve"> reco</w:t>
      </w:r>
      <w:r w:rsidR="00EB0CF4" w:rsidRPr="00BA5A45">
        <w:rPr>
          <w:rFonts w:ascii="Times New Roman" w:hAnsi="Times New Roman"/>
          <w:sz w:val="24"/>
          <w:lang w:val="en-GB"/>
        </w:rPr>
        <w:t>vered its</w:t>
      </w:r>
      <w:r w:rsidR="00A21FEA" w:rsidRPr="00BA5A45">
        <w:rPr>
          <w:rFonts w:ascii="Times New Roman" w:hAnsi="Times New Roman"/>
          <w:sz w:val="24"/>
          <w:lang w:val="en-GB"/>
        </w:rPr>
        <w:t xml:space="preserve"> money to the prejudice</w:t>
      </w:r>
      <w:r w:rsidRPr="00BA5A45">
        <w:rPr>
          <w:rFonts w:ascii="Times New Roman" w:hAnsi="Times New Roman"/>
          <w:sz w:val="24"/>
          <w:lang w:val="en-GB"/>
        </w:rPr>
        <w:t xml:space="preserve"> of the complainants</w:t>
      </w:r>
      <w:r w:rsidR="0027495D" w:rsidRPr="00BA5A45">
        <w:rPr>
          <w:rFonts w:ascii="Times New Roman" w:hAnsi="Times New Roman"/>
          <w:sz w:val="24"/>
          <w:lang w:val="en-GB"/>
        </w:rPr>
        <w:t xml:space="preserve"> who were not the debtors</w:t>
      </w:r>
      <w:r w:rsidRPr="00BA5A45">
        <w:rPr>
          <w:rFonts w:ascii="Times New Roman" w:hAnsi="Times New Roman"/>
          <w:sz w:val="24"/>
          <w:lang w:val="en-GB"/>
        </w:rPr>
        <w:t xml:space="preserve">. </w:t>
      </w:r>
      <w:r w:rsidR="00F61500" w:rsidRPr="00BA5A45">
        <w:rPr>
          <w:rFonts w:ascii="Times New Roman" w:hAnsi="Times New Roman"/>
          <w:sz w:val="24"/>
          <w:lang w:val="en-GB"/>
        </w:rPr>
        <w:t>The submission by appellant’s counsel that the complainants knew that Manokore &amp;Partners were attorneys for NFOL and that the appellant was</w:t>
      </w:r>
      <w:r w:rsidR="00851DA3">
        <w:rPr>
          <w:rFonts w:ascii="Times New Roman" w:hAnsi="Times New Roman"/>
          <w:sz w:val="24"/>
          <w:lang w:val="en-GB"/>
        </w:rPr>
        <w:t xml:space="preserve"> not the author of the POA and the a</w:t>
      </w:r>
      <w:r w:rsidR="00F61500" w:rsidRPr="00BA5A45">
        <w:rPr>
          <w:rFonts w:ascii="Times New Roman" w:hAnsi="Times New Roman"/>
          <w:sz w:val="24"/>
          <w:lang w:val="en-GB"/>
        </w:rPr>
        <w:t xml:space="preserve">ffidavit he relied on would not absolve him from the ethical requirement to decline to act in conflicted circumstances. </w:t>
      </w:r>
      <w:r w:rsidR="00216F21" w:rsidRPr="00BA5A45">
        <w:rPr>
          <w:rFonts w:ascii="Times New Roman" w:hAnsi="Times New Roman"/>
          <w:sz w:val="24"/>
          <w:lang w:val="en-GB"/>
        </w:rPr>
        <w:t>H</w:t>
      </w:r>
      <w:r w:rsidR="00F61500" w:rsidRPr="00BA5A45">
        <w:rPr>
          <w:rFonts w:ascii="Times New Roman" w:hAnsi="Times New Roman"/>
          <w:sz w:val="24"/>
          <w:lang w:val="en-GB"/>
        </w:rPr>
        <w:t>e could easily have declined the appointment as attorney and agent for the complainants.</w:t>
      </w:r>
    </w:p>
    <w:p w14:paraId="7B1B9799" w14:textId="77777777" w:rsidR="00D81197" w:rsidRPr="00BA5A45" w:rsidRDefault="00D81197" w:rsidP="00F42946">
      <w:pPr>
        <w:spacing w:after="0" w:line="480" w:lineRule="auto"/>
        <w:jc w:val="both"/>
        <w:rPr>
          <w:rFonts w:ascii="Times New Roman" w:hAnsi="Times New Roman"/>
          <w:sz w:val="24"/>
          <w:lang w:val="en-GB"/>
        </w:rPr>
      </w:pPr>
    </w:p>
    <w:p w14:paraId="5854B60B" w14:textId="3E92F330" w:rsidR="004204FB" w:rsidRPr="00BA5A45" w:rsidRDefault="004204FB"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lastRenderedPageBreak/>
        <w:t xml:space="preserve">The </w:t>
      </w:r>
      <w:r w:rsidR="00216F21" w:rsidRPr="00BA5A45">
        <w:rPr>
          <w:rFonts w:ascii="Times New Roman" w:hAnsi="Times New Roman"/>
          <w:sz w:val="24"/>
          <w:lang w:val="en-GB"/>
        </w:rPr>
        <w:t xml:space="preserve">conduct </w:t>
      </w:r>
      <w:r w:rsidRPr="00BA5A45">
        <w:rPr>
          <w:rFonts w:ascii="Times New Roman" w:hAnsi="Times New Roman"/>
          <w:sz w:val="24"/>
          <w:lang w:val="en-GB"/>
        </w:rPr>
        <w:t>of remitting the balance of the purchase price for the pr</w:t>
      </w:r>
      <w:r w:rsidR="001175D9" w:rsidRPr="00BA5A45">
        <w:rPr>
          <w:rFonts w:ascii="Times New Roman" w:hAnsi="Times New Roman"/>
          <w:sz w:val="24"/>
          <w:lang w:val="en-GB"/>
        </w:rPr>
        <w:t>operty to NFOL</w:t>
      </w:r>
      <w:r w:rsidRPr="00BA5A45">
        <w:rPr>
          <w:rFonts w:ascii="Times New Roman" w:hAnsi="Times New Roman"/>
          <w:sz w:val="24"/>
          <w:lang w:val="en-GB"/>
        </w:rPr>
        <w:t xml:space="preserve"> instead of </w:t>
      </w:r>
      <w:r w:rsidR="00F61500" w:rsidRPr="00BA5A45">
        <w:rPr>
          <w:rFonts w:ascii="Times New Roman" w:hAnsi="Times New Roman"/>
          <w:sz w:val="24"/>
          <w:lang w:val="en-GB"/>
        </w:rPr>
        <w:t>remitting to</w:t>
      </w:r>
      <w:r w:rsidRPr="00BA5A45">
        <w:rPr>
          <w:rFonts w:ascii="Times New Roman" w:hAnsi="Times New Roman"/>
          <w:sz w:val="24"/>
          <w:lang w:val="en-GB"/>
        </w:rPr>
        <w:t xml:space="preserve"> the </w:t>
      </w:r>
      <w:r w:rsidR="00C07557">
        <w:rPr>
          <w:rFonts w:ascii="Times New Roman" w:hAnsi="Times New Roman"/>
          <w:sz w:val="24"/>
          <w:lang w:val="en-GB"/>
        </w:rPr>
        <w:t>complainants</w:t>
      </w:r>
      <w:r w:rsidRPr="00BA5A45">
        <w:rPr>
          <w:rFonts w:ascii="Times New Roman" w:hAnsi="Times New Roman"/>
          <w:sz w:val="24"/>
          <w:lang w:val="en-GB"/>
        </w:rPr>
        <w:t xml:space="preserve"> further shows t</w:t>
      </w:r>
      <w:r w:rsidR="00684DAF" w:rsidRPr="00BA5A45">
        <w:rPr>
          <w:rFonts w:ascii="Times New Roman" w:hAnsi="Times New Roman"/>
          <w:sz w:val="24"/>
          <w:lang w:val="en-GB"/>
        </w:rPr>
        <w:t>he conflict</w:t>
      </w:r>
      <w:r w:rsidRPr="00BA5A45">
        <w:rPr>
          <w:rFonts w:ascii="Times New Roman" w:hAnsi="Times New Roman"/>
          <w:sz w:val="24"/>
          <w:lang w:val="en-GB"/>
        </w:rPr>
        <w:t xml:space="preserve"> of interest</w:t>
      </w:r>
      <w:r w:rsidR="00C15F1E" w:rsidRPr="00BA5A45">
        <w:rPr>
          <w:rFonts w:ascii="Times New Roman" w:hAnsi="Times New Roman"/>
          <w:sz w:val="24"/>
          <w:lang w:val="en-GB"/>
        </w:rPr>
        <w:t xml:space="preserve"> the appellant found himself</w:t>
      </w:r>
      <w:r w:rsidR="00AC54EA" w:rsidRPr="00BA5A45">
        <w:rPr>
          <w:rFonts w:ascii="Times New Roman" w:hAnsi="Times New Roman"/>
          <w:sz w:val="24"/>
          <w:lang w:val="en-GB"/>
        </w:rPr>
        <w:t xml:space="preserve"> in</w:t>
      </w:r>
      <w:r w:rsidR="00C15F1E" w:rsidRPr="00BA5A45">
        <w:rPr>
          <w:rFonts w:ascii="Times New Roman" w:hAnsi="Times New Roman"/>
          <w:sz w:val="24"/>
          <w:lang w:val="en-GB"/>
        </w:rPr>
        <w:t xml:space="preserve"> as he preferred the more affluent client to the vulnerable client</w:t>
      </w:r>
      <w:r w:rsidRPr="00BA5A45">
        <w:rPr>
          <w:rFonts w:ascii="Times New Roman" w:hAnsi="Times New Roman"/>
          <w:sz w:val="24"/>
          <w:lang w:val="en-GB"/>
        </w:rPr>
        <w:t xml:space="preserve">. </w:t>
      </w:r>
      <w:r w:rsidR="00966AD8" w:rsidRPr="00BA5A45">
        <w:rPr>
          <w:rFonts w:ascii="Times New Roman" w:hAnsi="Times New Roman"/>
          <w:sz w:val="24"/>
          <w:lang w:val="en-GB"/>
        </w:rPr>
        <w:t>In light of this, the appellant’s contention that there was no conflict of interest on his part has no merit.</w:t>
      </w:r>
    </w:p>
    <w:p w14:paraId="6C93BE38" w14:textId="77777777" w:rsidR="00D81197" w:rsidRPr="00BA5A45" w:rsidRDefault="00D81197" w:rsidP="00F42946">
      <w:pPr>
        <w:spacing w:after="0" w:line="480" w:lineRule="auto"/>
        <w:jc w:val="both"/>
        <w:rPr>
          <w:rFonts w:ascii="Times New Roman" w:hAnsi="Times New Roman"/>
          <w:sz w:val="24"/>
          <w:lang w:val="en-GB"/>
        </w:rPr>
      </w:pPr>
    </w:p>
    <w:p w14:paraId="44D8984A" w14:textId="53D80771" w:rsidR="00966AD8" w:rsidRPr="00BA5A45" w:rsidRDefault="00966AD8" w:rsidP="00F42946">
      <w:pPr>
        <w:spacing w:after="0" w:line="480" w:lineRule="auto"/>
        <w:jc w:val="both"/>
        <w:rPr>
          <w:rFonts w:ascii="Times New Roman" w:hAnsi="Times New Roman"/>
          <w:b/>
          <w:sz w:val="24"/>
          <w:lang w:val="en-GB"/>
        </w:rPr>
      </w:pPr>
      <w:r w:rsidRPr="00BA5A45">
        <w:rPr>
          <w:rFonts w:ascii="Times New Roman" w:hAnsi="Times New Roman"/>
          <w:b/>
          <w:sz w:val="24"/>
          <w:lang w:val="en-GB"/>
        </w:rPr>
        <w:t xml:space="preserve">Whether </w:t>
      </w:r>
      <w:r w:rsidR="00F71A18" w:rsidRPr="00BA5A45">
        <w:rPr>
          <w:rFonts w:ascii="Times New Roman" w:hAnsi="Times New Roman"/>
          <w:b/>
          <w:sz w:val="24"/>
          <w:lang w:val="en-GB"/>
        </w:rPr>
        <w:t xml:space="preserve">or not </w:t>
      </w:r>
      <w:r w:rsidRPr="00BA5A45">
        <w:rPr>
          <w:rFonts w:ascii="Times New Roman" w:hAnsi="Times New Roman"/>
          <w:b/>
          <w:sz w:val="24"/>
          <w:lang w:val="en-GB"/>
        </w:rPr>
        <w:t xml:space="preserve">it was proper for the appellant to </w:t>
      </w:r>
      <w:r w:rsidR="0098230F" w:rsidRPr="00BA5A45">
        <w:rPr>
          <w:rFonts w:ascii="Times New Roman" w:hAnsi="Times New Roman"/>
          <w:b/>
          <w:sz w:val="24"/>
          <w:lang w:val="en-GB"/>
        </w:rPr>
        <w:t>execute against</w:t>
      </w:r>
      <w:r w:rsidRPr="00BA5A45">
        <w:rPr>
          <w:rFonts w:ascii="Times New Roman" w:hAnsi="Times New Roman"/>
          <w:b/>
          <w:sz w:val="24"/>
          <w:lang w:val="en-GB"/>
        </w:rPr>
        <w:t xml:space="preserve"> the sureties before suing the principal debtor </w:t>
      </w:r>
      <w:r w:rsidR="003874B8" w:rsidRPr="00BA5A45">
        <w:rPr>
          <w:rFonts w:ascii="Times New Roman" w:hAnsi="Times New Roman"/>
          <w:b/>
          <w:sz w:val="24"/>
          <w:lang w:val="en-GB"/>
        </w:rPr>
        <w:t xml:space="preserve">first </w:t>
      </w:r>
      <w:r w:rsidRPr="00BA5A45">
        <w:rPr>
          <w:rFonts w:ascii="Times New Roman" w:hAnsi="Times New Roman"/>
          <w:b/>
          <w:sz w:val="24"/>
          <w:lang w:val="en-GB"/>
        </w:rPr>
        <w:t>in recovering the debt.</w:t>
      </w:r>
    </w:p>
    <w:p w14:paraId="445735FC" w14:textId="089955BF" w:rsidR="002550EC" w:rsidRPr="00BA5A45" w:rsidRDefault="003874B8" w:rsidP="00F42946">
      <w:pPr>
        <w:spacing w:after="0" w:line="480" w:lineRule="auto"/>
        <w:jc w:val="both"/>
        <w:rPr>
          <w:rFonts w:ascii="Times New Roman" w:hAnsi="Times New Roman"/>
          <w:sz w:val="24"/>
          <w:lang w:val="en-GB"/>
        </w:rPr>
      </w:pPr>
      <w:r w:rsidRPr="00BA5A45">
        <w:rPr>
          <w:rFonts w:ascii="Times New Roman" w:hAnsi="Times New Roman"/>
          <w:sz w:val="24"/>
          <w:lang w:val="en-GB"/>
        </w:rPr>
        <w:tab/>
      </w:r>
      <w:r w:rsidR="007F64B5" w:rsidRPr="00BA5A45">
        <w:rPr>
          <w:rFonts w:ascii="Times New Roman" w:hAnsi="Times New Roman"/>
          <w:sz w:val="24"/>
          <w:lang w:val="en-GB"/>
        </w:rPr>
        <w:tab/>
      </w:r>
      <w:r w:rsidRPr="00BA5A45">
        <w:rPr>
          <w:rFonts w:ascii="Times New Roman" w:hAnsi="Times New Roman"/>
          <w:sz w:val="24"/>
          <w:lang w:val="en-GB"/>
        </w:rPr>
        <w:t>When the debt owed by Celgrim Ba</w:t>
      </w:r>
      <w:r w:rsidR="007E2539" w:rsidRPr="00BA5A45">
        <w:rPr>
          <w:rFonts w:ascii="Times New Roman" w:hAnsi="Times New Roman"/>
          <w:sz w:val="24"/>
          <w:lang w:val="en-GB"/>
        </w:rPr>
        <w:t>keries to NFOL</w:t>
      </w:r>
      <w:r w:rsidRPr="00BA5A45">
        <w:rPr>
          <w:rFonts w:ascii="Times New Roman" w:hAnsi="Times New Roman"/>
          <w:sz w:val="24"/>
          <w:lang w:val="en-GB"/>
        </w:rPr>
        <w:t xml:space="preserve"> became due and remained unpaid,</w:t>
      </w:r>
      <w:r w:rsidR="007E2539" w:rsidRPr="00BA5A45">
        <w:rPr>
          <w:rFonts w:ascii="Times New Roman" w:hAnsi="Times New Roman"/>
          <w:sz w:val="24"/>
          <w:lang w:val="en-GB"/>
        </w:rPr>
        <w:t xml:space="preserve"> Celgrim Bakeries</w:t>
      </w:r>
      <w:r w:rsidR="00EB4091" w:rsidRPr="00BA5A45">
        <w:rPr>
          <w:rFonts w:ascii="Times New Roman" w:hAnsi="Times New Roman"/>
          <w:sz w:val="24"/>
          <w:lang w:val="en-GB"/>
        </w:rPr>
        <w:t xml:space="preserve"> attempted to</w:t>
      </w:r>
      <w:r w:rsidR="00FB5466" w:rsidRPr="00BA5A45">
        <w:rPr>
          <w:rFonts w:ascii="Times New Roman" w:hAnsi="Times New Roman"/>
          <w:sz w:val="24"/>
          <w:lang w:val="en-GB"/>
        </w:rPr>
        <w:t xml:space="preserve"> pay the debt through signing two</w:t>
      </w:r>
      <w:r w:rsidR="00EB4091" w:rsidRPr="00BA5A45">
        <w:rPr>
          <w:rFonts w:ascii="Times New Roman" w:hAnsi="Times New Roman"/>
          <w:sz w:val="24"/>
          <w:lang w:val="en-GB"/>
        </w:rPr>
        <w:t xml:space="preserve"> acknowledgment</w:t>
      </w:r>
      <w:r w:rsidR="00FB5466" w:rsidRPr="00BA5A45">
        <w:rPr>
          <w:rFonts w:ascii="Times New Roman" w:hAnsi="Times New Roman"/>
          <w:sz w:val="24"/>
          <w:lang w:val="en-GB"/>
        </w:rPr>
        <w:t>s</w:t>
      </w:r>
      <w:r w:rsidR="00EB4091" w:rsidRPr="00BA5A45">
        <w:rPr>
          <w:rFonts w:ascii="Times New Roman" w:hAnsi="Times New Roman"/>
          <w:sz w:val="24"/>
          <w:lang w:val="en-GB"/>
        </w:rPr>
        <w:t xml:space="preserve"> of debt</w:t>
      </w:r>
      <w:r w:rsidR="00936BF1" w:rsidRPr="00BA5A45">
        <w:rPr>
          <w:rFonts w:ascii="Times New Roman" w:hAnsi="Times New Roman"/>
          <w:sz w:val="24"/>
          <w:lang w:val="en-GB"/>
        </w:rPr>
        <w:t xml:space="preserve"> on 19 </w:t>
      </w:r>
      <w:r w:rsidR="002550EC" w:rsidRPr="00BA5A45">
        <w:rPr>
          <w:rFonts w:ascii="Times New Roman" w:hAnsi="Times New Roman"/>
          <w:sz w:val="24"/>
          <w:lang w:val="en-GB"/>
        </w:rPr>
        <w:t>February</w:t>
      </w:r>
      <w:r w:rsidR="00936BF1" w:rsidRPr="00BA5A45">
        <w:rPr>
          <w:rFonts w:ascii="Times New Roman" w:hAnsi="Times New Roman"/>
          <w:sz w:val="24"/>
          <w:lang w:val="en-GB"/>
        </w:rPr>
        <w:t xml:space="preserve"> 2013</w:t>
      </w:r>
      <w:r w:rsidR="00EB4091" w:rsidRPr="00BA5A45">
        <w:rPr>
          <w:rFonts w:ascii="Times New Roman" w:hAnsi="Times New Roman"/>
          <w:sz w:val="24"/>
          <w:lang w:val="en-GB"/>
        </w:rPr>
        <w:t>, wherein it undertook to satisfy the debt in monthly instalments.</w:t>
      </w:r>
      <w:r w:rsidR="00684DAF" w:rsidRPr="00BA5A45">
        <w:rPr>
          <w:rFonts w:ascii="Times New Roman" w:hAnsi="Times New Roman"/>
          <w:sz w:val="24"/>
          <w:lang w:val="en-GB"/>
        </w:rPr>
        <w:t xml:space="preserve"> Clause 5 of th</w:t>
      </w:r>
      <w:r w:rsidR="00376E00" w:rsidRPr="00BA5A45">
        <w:rPr>
          <w:rFonts w:ascii="Times New Roman" w:hAnsi="Times New Roman"/>
          <w:sz w:val="24"/>
          <w:lang w:val="en-GB"/>
        </w:rPr>
        <w:t>e</w:t>
      </w:r>
      <w:r w:rsidR="00684DAF" w:rsidRPr="00BA5A45">
        <w:rPr>
          <w:rFonts w:ascii="Times New Roman" w:hAnsi="Times New Roman"/>
          <w:sz w:val="24"/>
          <w:lang w:val="en-GB"/>
        </w:rPr>
        <w:t xml:space="preserve"> ackn</w:t>
      </w:r>
      <w:r w:rsidR="00936BF1" w:rsidRPr="00BA5A45">
        <w:rPr>
          <w:rFonts w:ascii="Times New Roman" w:hAnsi="Times New Roman"/>
          <w:sz w:val="24"/>
          <w:lang w:val="en-GB"/>
        </w:rPr>
        <w:t>owled</w:t>
      </w:r>
      <w:r w:rsidR="00684DAF" w:rsidRPr="00BA5A45">
        <w:rPr>
          <w:rFonts w:ascii="Times New Roman" w:hAnsi="Times New Roman"/>
          <w:sz w:val="24"/>
          <w:lang w:val="en-GB"/>
        </w:rPr>
        <w:t>gment</w:t>
      </w:r>
      <w:r w:rsidR="00376E00" w:rsidRPr="00BA5A45">
        <w:rPr>
          <w:rFonts w:ascii="Times New Roman" w:hAnsi="Times New Roman"/>
          <w:sz w:val="24"/>
          <w:lang w:val="en-GB"/>
        </w:rPr>
        <w:t>s</w:t>
      </w:r>
      <w:r w:rsidR="00684DAF" w:rsidRPr="00BA5A45">
        <w:rPr>
          <w:rFonts w:ascii="Times New Roman" w:hAnsi="Times New Roman"/>
          <w:sz w:val="24"/>
          <w:lang w:val="en-GB"/>
        </w:rPr>
        <w:t xml:space="preserve"> of debt provided </w:t>
      </w:r>
      <w:r w:rsidR="00651012" w:rsidRPr="00BA5A45">
        <w:rPr>
          <w:rFonts w:ascii="Times New Roman" w:hAnsi="Times New Roman"/>
          <w:sz w:val="24"/>
          <w:lang w:val="en-GB"/>
        </w:rPr>
        <w:t>that: -</w:t>
      </w:r>
    </w:p>
    <w:p w14:paraId="60BEDBFD" w14:textId="77128BB4" w:rsidR="002550EC" w:rsidRPr="00BA5A45" w:rsidRDefault="007F64B5" w:rsidP="00F42946">
      <w:pPr>
        <w:spacing w:after="0" w:line="240" w:lineRule="auto"/>
        <w:ind w:left="567"/>
        <w:jc w:val="both"/>
        <w:rPr>
          <w:rFonts w:ascii="Times New Roman" w:hAnsi="Times New Roman"/>
          <w:sz w:val="24"/>
          <w:lang w:val="en-GB"/>
        </w:rPr>
      </w:pPr>
      <w:r w:rsidRPr="00BA5A45">
        <w:rPr>
          <w:rFonts w:ascii="Times New Roman" w:hAnsi="Times New Roman"/>
          <w:sz w:val="24"/>
          <w:lang w:val="en-GB"/>
        </w:rPr>
        <w:t>“</w:t>
      </w:r>
      <w:r w:rsidR="00C15F1E" w:rsidRPr="00BA5A45">
        <w:rPr>
          <w:rFonts w:ascii="Times New Roman" w:hAnsi="Times New Roman"/>
          <w:sz w:val="24"/>
          <w:lang w:val="en-GB"/>
        </w:rPr>
        <w:t>S</w:t>
      </w:r>
      <w:r w:rsidR="00684DAF" w:rsidRPr="00BA5A45">
        <w:rPr>
          <w:rFonts w:ascii="Times New Roman" w:hAnsi="Times New Roman"/>
          <w:sz w:val="24"/>
          <w:lang w:val="en-GB"/>
        </w:rPr>
        <w:t>h</w:t>
      </w:r>
      <w:r w:rsidR="00851DA3">
        <w:rPr>
          <w:rFonts w:ascii="Times New Roman" w:hAnsi="Times New Roman"/>
          <w:sz w:val="24"/>
          <w:lang w:val="en-GB"/>
        </w:rPr>
        <w:t xml:space="preserve">ould any payment due in terms </w:t>
      </w:r>
      <w:r w:rsidR="00684DAF" w:rsidRPr="00BA5A45">
        <w:rPr>
          <w:rFonts w:ascii="Times New Roman" w:hAnsi="Times New Roman"/>
          <w:sz w:val="24"/>
          <w:lang w:val="en-GB"/>
        </w:rPr>
        <w:t xml:space="preserve"> hereof not be made on due date the creditor may regard the balance of the Principal debt and interest owing in terms hereof</w:t>
      </w:r>
      <w:r w:rsidR="00936BF1" w:rsidRPr="00BA5A45">
        <w:rPr>
          <w:rFonts w:ascii="Times New Roman" w:hAnsi="Times New Roman"/>
          <w:sz w:val="24"/>
          <w:lang w:val="en-GB"/>
        </w:rPr>
        <w:t xml:space="preserve"> as due and payable immediately and may issue summons therefore in any competent court without further n</w:t>
      </w:r>
      <w:r w:rsidRPr="00BA5A45">
        <w:rPr>
          <w:rFonts w:ascii="Times New Roman" w:hAnsi="Times New Roman"/>
          <w:sz w:val="24"/>
          <w:lang w:val="en-GB"/>
        </w:rPr>
        <w:t>otice or demand to the debtor.”</w:t>
      </w:r>
      <w:r w:rsidR="00936BF1" w:rsidRPr="00BA5A45">
        <w:rPr>
          <w:rFonts w:ascii="Times New Roman" w:hAnsi="Times New Roman"/>
          <w:sz w:val="24"/>
          <w:lang w:val="en-GB"/>
        </w:rPr>
        <w:t xml:space="preserve"> </w:t>
      </w:r>
    </w:p>
    <w:p w14:paraId="7AF54B13" w14:textId="77777777" w:rsidR="00D81197" w:rsidRPr="00BA5A45" w:rsidRDefault="00D81197" w:rsidP="00F42946">
      <w:pPr>
        <w:spacing w:after="0" w:line="480" w:lineRule="auto"/>
        <w:ind w:left="720"/>
        <w:jc w:val="both"/>
        <w:rPr>
          <w:rFonts w:ascii="Times New Roman" w:hAnsi="Times New Roman"/>
          <w:sz w:val="24"/>
          <w:lang w:val="en-GB"/>
        </w:rPr>
      </w:pPr>
    </w:p>
    <w:p w14:paraId="150A51C7" w14:textId="4C13C3AA" w:rsidR="003874B8" w:rsidRDefault="00936BF1"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As fate would have it</w:t>
      </w:r>
      <w:r w:rsidR="00EB4091" w:rsidRPr="00BA5A45">
        <w:rPr>
          <w:rFonts w:ascii="Times New Roman" w:hAnsi="Times New Roman"/>
          <w:sz w:val="24"/>
          <w:lang w:val="en-GB"/>
        </w:rPr>
        <w:t xml:space="preserve">, </w:t>
      </w:r>
      <w:r w:rsidR="003B6656" w:rsidRPr="00BA5A45">
        <w:rPr>
          <w:rFonts w:ascii="Times New Roman" w:hAnsi="Times New Roman"/>
          <w:sz w:val="24"/>
          <w:lang w:val="en-GB"/>
        </w:rPr>
        <w:t>the debtor,</w:t>
      </w:r>
      <w:r w:rsidR="002550EC" w:rsidRPr="00BA5A45">
        <w:rPr>
          <w:rFonts w:ascii="Times New Roman" w:hAnsi="Times New Roman"/>
          <w:sz w:val="24"/>
          <w:lang w:val="en-GB"/>
        </w:rPr>
        <w:t xml:space="preserve"> Celgrim B</w:t>
      </w:r>
      <w:r w:rsidRPr="00BA5A45">
        <w:rPr>
          <w:rFonts w:ascii="Times New Roman" w:hAnsi="Times New Roman"/>
          <w:sz w:val="24"/>
          <w:lang w:val="en-GB"/>
        </w:rPr>
        <w:t>akeries,</w:t>
      </w:r>
      <w:r w:rsidR="00EB4091" w:rsidRPr="00BA5A45">
        <w:rPr>
          <w:rFonts w:ascii="Times New Roman" w:hAnsi="Times New Roman"/>
          <w:sz w:val="24"/>
          <w:lang w:val="en-GB"/>
        </w:rPr>
        <w:t xml:space="preserve"> failed to extinguish the debt. T</w:t>
      </w:r>
      <w:r w:rsidR="003874B8" w:rsidRPr="00BA5A45">
        <w:rPr>
          <w:rFonts w:ascii="Times New Roman" w:hAnsi="Times New Roman"/>
          <w:sz w:val="24"/>
          <w:lang w:val="en-GB"/>
        </w:rPr>
        <w:t>he appellant</w:t>
      </w:r>
      <w:r w:rsidR="00AC54EA" w:rsidRPr="00BA5A45">
        <w:rPr>
          <w:rFonts w:ascii="Times New Roman" w:hAnsi="Times New Roman"/>
          <w:sz w:val="24"/>
          <w:lang w:val="en-GB"/>
        </w:rPr>
        <w:t>, without suing the debtor,</w:t>
      </w:r>
      <w:r w:rsidR="003874B8" w:rsidRPr="00BA5A45">
        <w:rPr>
          <w:rFonts w:ascii="Times New Roman" w:hAnsi="Times New Roman"/>
          <w:sz w:val="24"/>
          <w:lang w:val="en-GB"/>
        </w:rPr>
        <w:t xml:space="preserve"> </w:t>
      </w:r>
      <w:r w:rsidR="00EB4091" w:rsidRPr="00BA5A45">
        <w:rPr>
          <w:rFonts w:ascii="Times New Roman" w:hAnsi="Times New Roman"/>
          <w:sz w:val="24"/>
          <w:lang w:val="en-GB"/>
        </w:rPr>
        <w:t xml:space="preserve">then </w:t>
      </w:r>
      <w:r w:rsidR="003874B8" w:rsidRPr="00BA5A45">
        <w:rPr>
          <w:rFonts w:ascii="Times New Roman" w:hAnsi="Times New Roman"/>
          <w:sz w:val="24"/>
          <w:lang w:val="en-GB"/>
        </w:rPr>
        <w:t xml:space="preserve">proceeded to inform the complainants </w:t>
      </w:r>
      <w:r w:rsidR="00EB4091" w:rsidRPr="00BA5A45">
        <w:rPr>
          <w:rFonts w:ascii="Times New Roman" w:hAnsi="Times New Roman"/>
          <w:sz w:val="24"/>
          <w:lang w:val="en-GB"/>
        </w:rPr>
        <w:t xml:space="preserve">that he intended to sell their immovable property in order to satisfy the debt. </w:t>
      </w:r>
      <w:r w:rsidR="001A4B88" w:rsidRPr="00BA5A45">
        <w:rPr>
          <w:rFonts w:ascii="Times New Roman" w:hAnsi="Times New Roman"/>
          <w:sz w:val="24"/>
          <w:lang w:val="en-GB"/>
        </w:rPr>
        <w:t xml:space="preserve">Before the sale was proceeded with the debtor offered to surrender to </w:t>
      </w:r>
      <w:r w:rsidR="006B45C9" w:rsidRPr="00BA5A45">
        <w:rPr>
          <w:rFonts w:ascii="Times New Roman" w:hAnsi="Times New Roman"/>
          <w:sz w:val="24"/>
          <w:lang w:val="en-GB"/>
        </w:rPr>
        <w:t>NFOL some</w:t>
      </w:r>
      <w:r w:rsidR="00EB4091" w:rsidRPr="00BA5A45">
        <w:rPr>
          <w:rFonts w:ascii="Times New Roman" w:hAnsi="Times New Roman"/>
          <w:sz w:val="24"/>
          <w:lang w:val="en-GB"/>
        </w:rPr>
        <w:t xml:space="preserve"> of </w:t>
      </w:r>
      <w:r w:rsidR="001A4B88" w:rsidRPr="00BA5A45">
        <w:rPr>
          <w:rFonts w:ascii="Times New Roman" w:hAnsi="Times New Roman"/>
          <w:sz w:val="24"/>
          <w:lang w:val="en-GB"/>
        </w:rPr>
        <w:t>its</w:t>
      </w:r>
      <w:r w:rsidR="00EB4091" w:rsidRPr="00BA5A45">
        <w:rPr>
          <w:rFonts w:ascii="Times New Roman" w:hAnsi="Times New Roman"/>
          <w:sz w:val="24"/>
          <w:lang w:val="en-GB"/>
        </w:rPr>
        <w:t xml:space="preserve"> equipment </w:t>
      </w:r>
      <w:r w:rsidR="00851DA3">
        <w:rPr>
          <w:rFonts w:ascii="Times New Roman" w:hAnsi="Times New Roman"/>
          <w:sz w:val="24"/>
          <w:lang w:val="en-GB"/>
        </w:rPr>
        <w:t>for sale</w:t>
      </w:r>
      <w:r w:rsidR="001A4B88" w:rsidRPr="00BA5A45">
        <w:rPr>
          <w:rFonts w:ascii="Times New Roman" w:hAnsi="Times New Roman"/>
          <w:sz w:val="24"/>
          <w:lang w:val="en-GB"/>
        </w:rPr>
        <w:t xml:space="preserve"> </w:t>
      </w:r>
      <w:r w:rsidR="00EB4091" w:rsidRPr="00BA5A45">
        <w:rPr>
          <w:rFonts w:ascii="Times New Roman" w:hAnsi="Times New Roman"/>
          <w:sz w:val="24"/>
          <w:lang w:val="en-GB"/>
        </w:rPr>
        <w:t>to settle the debt</w:t>
      </w:r>
      <w:r w:rsidR="001A4B88" w:rsidRPr="00BA5A45">
        <w:rPr>
          <w:rFonts w:ascii="Times New Roman" w:hAnsi="Times New Roman"/>
          <w:sz w:val="24"/>
          <w:lang w:val="en-GB"/>
        </w:rPr>
        <w:t xml:space="preserve"> but the appellant declined this offer without just cause</w:t>
      </w:r>
      <w:r w:rsidR="00EB4091" w:rsidRPr="00BA5A45">
        <w:rPr>
          <w:rFonts w:ascii="Times New Roman" w:hAnsi="Times New Roman"/>
          <w:sz w:val="24"/>
          <w:lang w:val="en-GB"/>
        </w:rPr>
        <w:t>. He was bent on proceeding with the sale of the complainants’ property.</w:t>
      </w:r>
    </w:p>
    <w:p w14:paraId="200D818B" w14:textId="77777777" w:rsidR="00E6192A" w:rsidRDefault="00E6192A" w:rsidP="00F42946">
      <w:pPr>
        <w:spacing w:after="0" w:line="480" w:lineRule="auto"/>
        <w:ind w:firstLine="1134"/>
        <w:jc w:val="both"/>
        <w:rPr>
          <w:rFonts w:ascii="Times New Roman" w:hAnsi="Times New Roman"/>
          <w:sz w:val="24"/>
          <w:lang w:val="en-GB"/>
        </w:rPr>
      </w:pPr>
    </w:p>
    <w:p w14:paraId="61E1A9AA" w14:textId="5A5A0474" w:rsidR="00FB5466" w:rsidRPr="00BA5A45" w:rsidRDefault="00FB5466"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 xml:space="preserve">The appellant’s stance was that the </w:t>
      </w:r>
      <w:r w:rsidR="00C15F1E" w:rsidRPr="00BA5A45">
        <w:rPr>
          <w:rFonts w:ascii="Times New Roman" w:hAnsi="Times New Roman"/>
          <w:sz w:val="24"/>
          <w:lang w:val="en-GB"/>
        </w:rPr>
        <w:t>POA</w:t>
      </w:r>
      <w:r w:rsidRPr="00BA5A45">
        <w:rPr>
          <w:rFonts w:ascii="Times New Roman" w:hAnsi="Times New Roman"/>
          <w:sz w:val="24"/>
          <w:lang w:val="en-GB"/>
        </w:rPr>
        <w:t xml:space="preserve"> and the </w:t>
      </w:r>
      <w:r w:rsidR="006B45C9" w:rsidRPr="00BA5A45">
        <w:rPr>
          <w:rFonts w:ascii="Times New Roman" w:hAnsi="Times New Roman"/>
          <w:sz w:val="24"/>
          <w:lang w:val="en-GB"/>
        </w:rPr>
        <w:t>affidavit by</w:t>
      </w:r>
      <w:r w:rsidR="00FB4E94" w:rsidRPr="00BA5A45">
        <w:rPr>
          <w:rFonts w:ascii="Times New Roman" w:hAnsi="Times New Roman"/>
          <w:sz w:val="24"/>
          <w:lang w:val="en-GB"/>
        </w:rPr>
        <w:t xml:space="preserve"> Perkins</w:t>
      </w:r>
      <w:r w:rsidRPr="00BA5A45">
        <w:rPr>
          <w:rFonts w:ascii="Times New Roman" w:hAnsi="Times New Roman"/>
          <w:sz w:val="24"/>
          <w:lang w:val="en-GB"/>
        </w:rPr>
        <w:t xml:space="preserve"> gave </w:t>
      </w:r>
      <w:r w:rsidR="001A4B88" w:rsidRPr="00BA5A45">
        <w:rPr>
          <w:rFonts w:ascii="Times New Roman" w:hAnsi="Times New Roman"/>
          <w:sz w:val="24"/>
          <w:lang w:val="en-GB"/>
        </w:rPr>
        <w:t>him</w:t>
      </w:r>
      <w:r w:rsidRPr="00BA5A45">
        <w:rPr>
          <w:rFonts w:ascii="Times New Roman" w:hAnsi="Times New Roman"/>
          <w:sz w:val="24"/>
          <w:lang w:val="en-GB"/>
        </w:rPr>
        <w:t xml:space="preserve"> the necessary consent by the complainants to s</w:t>
      </w:r>
      <w:r w:rsidR="001A4B88" w:rsidRPr="00BA5A45">
        <w:rPr>
          <w:rFonts w:ascii="Times New Roman" w:hAnsi="Times New Roman"/>
          <w:sz w:val="24"/>
          <w:lang w:val="en-GB"/>
        </w:rPr>
        <w:t>ell</w:t>
      </w:r>
      <w:r w:rsidRPr="00BA5A45">
        <w:rPr>
          <w:rFonts w:ascii="Times New Roman" w:hAnsi="Times New Roman"/>
          <w:sz w:val="24"/>
          <w:lang w:val="en-GB"/>
        </w:rPr>
        <w:t xml:space="preserve"> without following due </w:t>
      </w:r>
      <w:r w:rsidR="001A4B88" w:rsidRPr="00BA5A45">
        <w:rPr>
          <w:rFonts w:ascii="Times New Roman" w:hAnsi="Times New Roman"/>
          <w:sz w:val="24"/>
          <w:lang w:val="en-GB"/>
        </w:rPr>
        <w:t>process. The</w:t>
      </w:r>
      <w:r w:rsidRPr="00BA5A45">
        <w:rPr>
          <w:rFonts w:ascii="Times New Roman" w:hAnsi="Times New Roman"/>
          <w:sz w:val="24"/>
          <w:lang w:val="en-GB"/>
        </w:rPr>
        <w:t xml:space="preserve"> fact that </w:t>
      </w:r>
      <w:r w:rsidR="006B45C9" w:rsidRPr="00BA5A45">
        <w:rPr>
          <w:rFonts w:ascii="Times New Roman" w:hAnsi="Times New Roman"/>
          <w:sz w:val="24"/>
          <w:lang w:val="en-GB"/>
        </w:rPr>
        <w:t xml:space="preserve">the </w:t>
      </w:r>
      <w:r w:rsidRPr="00BA5A45">
        <w:rPr>
          <w:rFonts w:ascii="Times New Roman" w:hAnsi="Times New Roman"/>
          <w:sz w:val="24"/>
          <w:lang w:val="en-GB"/>
        </w:rPr>
        <w:lastRenderedPageBreak/>
        <w:t>complainants were not debtors but only sureties evaded him in</w:t>
      </w:r>
      <w:r w:rsidR="006B45C9" w:rsidRPr="00BA5A45">
        <w:rPr>
          <w:rFonts w:ascii="Times New Roman" w:hAnsi="Times New Roman"/>
          <w:sz w:val="24"/>
          <w:lang w:val="en-GB"/>
        </w:rPr>
        <w:t xml:space="preserve"> his</w:t>
      </w:r>
      <w:r w:rsidRPr="00BA5A45">
        <w:rPr>
          <w:rFonts w:ascii="Times New Roman" w:hAnsi="Times New Roman"/>
          <w:sz w:val="24"/>
          <w:lang w:val="en-GB"/>
        </w:rPr>
        <w:t xml:space="preserve"> haste to s</w:t>
      </w:r>
      <w:r w:rsidR="001A4B88" w:rsidRPr="00BA5A45">
        <w:rPr>
          <w:rFonts w:ascii="Times New Roman" w:hAnsi="Times New Roman"/>
          <w:sz w:val="24"/>
          <w:lang w:val="en-GB"/>
        </w:rPr>
        <w:t>ell</w:t>
      </w:r>
      <w:r w:rsidRPr="00BA5A45">
        <w:rPr>
          <w:rFonts w:ascii="Times New Roman" w:hAnsi="Times New Roman"/>
          <w:sz w:val="24"/>
          <w:lang w:val="en-GB"/>
        </w:rPr>
        <w:t xml:space="preserve"> the property. As sureties complainants were entitled to certain benefits requiring that the principal debtor be sued first.</w:t>
      </w:r>
    </w:p>
    <w:p w14:paraId="5F1FB6A9" w14:textId="77777777" w:rsidR="00D81197" w:rsidRPr="00BA5A45" w:rsidRDefault="00D81197" w:rsidP="00F42946">
      <w:pPr>
        <w:spacing w:after="0" w:line="240" w:lineRule="auto"/>
        <w:jc w:val="both"/>
        <w:rPr>
          <w:rFonts w:ascii="Times New Roman" w:hAnsi="Times New Roman"/>
          <w:sz w:val="24"/>
          <w:lang w:val="en-GB"/>
        </w:rPr>
      </w:pPr>
    </w:p>
    <w:p w14:paraId="215D3591" w14:textId="7BCDD29A" w:rsidR="00FB5466" w:rsidRPr="00BA5A45" w:rsidRDefault="00283F68" w:rsidP="00F42946">
      <w:pPr>
        <w:spacing w:after="0" w:line="480" w:lineRule="auto"/>
        <w:jc w:val="both"/>
        <w:rPr>
          <w:rFonts w:ascii="Times New Roman" w:hAnsi="Times New Roman"/>
          <w:sz w:val="24"/>
          <w:lang w:val="en-GB"/>
        </w:rPr>
      </w:pPr>
      <w:r w:rsidRPr="00BA5A45">
        <w:rPr>
          <w:rFonts w:ascii="Times New Roman" w:hAnsi="Times New Roman"/>
          <w:sz w:val="24"/>
          <w:lang w:val="en-GB"/>
        </w:rPr>
        <w:tab/>
      </w:r>
      <w:r w:rsidR="007F64B5" w:rsidRPr="00BA5A45">
        <w:rPr>
          <w:rFonts w:ascii="Times New Roman" w:hAnsi="Times New Roman"/>
          <w:sz w:val="24"/>
          <w:lang w:val="en-GB"/>
        </w:rPr>
        <w:tab/>
      </w:r>
      <w:r w:rsidR="00FB5466" w:rsidRPr="00BA5A45">
        <w:rPr>
          <w:rFonts w:ascii="Times New Roman" w:hAnsi="Times New Roman"/>
          <w:sz w:val="24"/>
          <w:lang w:val="en-GB"/>
        </w:rPr>
        <w:t xml:space="preserve">In </w:t>
      </w:r>
      <w:r w:rsidR="00F71A18" w:rsidRPr="00BA5A45">
        <w:rPr>
          <w:rFonts w:ascii="Times New Roman" w:hAnsi="Times New Roman"/>
          <w:sz w:val="24"/>
        </w:rPr>
        <w:t xml:space="preserve">R.H. Christie, </w:t>
      </w:r>
      <w:r w:rsidR="00F71A18" w:rsidRPr="00BA5A45">
        <w:rPr>
          <w:rFonts w:ascii="Times New Roman" w:hAnsi="Times New Roman"/>
          <w:i/>
          <w:sz w:val="24"/>
        </w:rPr>
        <w:t>Business Law in Zimbabwe</w:t>
      </w:r>
      <w:r w:rsidR="00F71A18" w:rsidRPr="00BA5A45">
        <w:rPr>
          <w:rFonts w:ascii="Times New Roman" w:hAnsi="Times New Roman"/>
          <w:sz w:val="24"/>
        </w:rPr>
        <w:t>, Juta &amp; Co Ltd</w:t>
      </w:r>
      <w:r w:rsidR="00C83930" w:rsidRPr="00BA5A45">
        <w:rPr>
          <w:rFonts w:ascii="Times New Roman" w:hAnsi="Times New Roman"/>
          <w:sz w:val="24"/>
        </w:rPr>
        <w:t>, 1998</w:t>
      </w:r>
      <w:r w:rsidR="00F71A18" w:rsidRPr="00BA5A45">
        <w:rPr>
          <w:rFonts w:ascii="Times New Roman" w:hAnsi="Times New Roman"/>
          <w:sz w:val="24"/>
        </w:rPr>
        <w:t xml:space="preserve"> at pg. 458</w:t>
      </w:r>
      <w:r w:rsidR="00FB5466" w:rsidRPr="00BA5A45">
        <w:rPr>
          <w:rFonts w:ascii="Times New Roman" w:hAnsi="Times New Roman"/>
          <w:sz w:val="24"/>
        </w:rPr>
        <w:t xml:space="preserve"> the author aptly</w:t>
      </w:r>
      <w:r w:rsidR="00F71A18" w:rsidRPr="00BA5A45">
        <w:rPr>
          <w:rFonts w:ascii="Times New Roman" w:hAnsi="Times New Roman"/>
          <w:sz w:val="24"/>
        </w:rPr>
        <w:t xml:space="preserve"> notes</w:t>
      </w:r>
      <w:r w:rsidRPr="00BA5A45">
        <w:rPr>
          <w:rFonts w:ascii="Times New Roman" w:hAnsi="Times New Roman"/>
          <w:sz w:val="24"/>
          <w:lang w:val="en-GB"/>
        </w:rPr>
        <w:t xml:space="preserve"> that the common law </w:t>
      </w:r>
      <w:r w:rsidR="00651012" w:rsidRPr="00BA5A45">
        <w:rPr>
          <w:rFonts w:ascii="Times New Roman" w:hAnsi="Times New Roman"/>
          <w:sz w:val="24"/>
          <w:lang w:val="en-GB"/>
        </w:rPr>
        <w:t>allows sureties</w:t>
      </w:r>
      <w:r w:rsidRPr="00BA5A45">
        <w:rPr>
          <w:rFonts w:ascii="Times New Roman" w:hAnsi="Times New Roman"/>
          <w:sz w:val="24"/>
          <w:lang w:val="en-GB"/>
        </w:rPr>
        <w:t xml:space="preserve"> a number of privileges or benefits which protect them. One of these benefits is the benefit of excussion (</w:t>
      </w:r>
      <w:r w:rsidRPr="00BA5A45">
        <w:rPr>
          <w:rFonts w:ascii="Times New Roman" w:hAnsi="Times New Roman"/>
          <w:i/>
          <w:sz w:val="24"/>
          <w:lang w:val="en-GB"/>
        </w:rPr>
        <w:t>beneficium excussionis seu ordinis</w:t>
      </w:r>
      <w:r w:rsidRPr="00BA5A45">
        <w:rPr>
          <w:rFonts w:ascii="Times New Roman" w:hAnsi="Times New Roman"/>
          <w:sz w:val="24"/>
          <w:lang w:val="en-GB"/>
        </w:rPr>
        <w:t xml:space="preserve">), which entitles the surety to demand that before proceeding against the surety, the creditor must first </w:t>
      </w:r>
      <w:r w:rsidRPr="00BA5A45">
        <w:rPr>
          <w:rFonts w:ascii="Times New Roman" w:hAnsi="Times New Roman"/>
          <w:i/>
          <w:iCs/>
          <w:sz w:val="24"/>
          <w:lang w:val="en-GB"/>
        </w:rPr>
        <w:t>excuss</w:t>
      </w:r>
      <w:r w:rsidRPr="00BA5A45">
        <w:rPr>
          <w:rFonts w:ascii="Times New Roman" w:hAnsi="Times New Roman"/>
          <w:sz w:val="24"/>
          <w:lang w:val="en-GB"/>
        </w:rPr>
        <w:t xml:space="preserve"> the principal debtor </w:t>
      </w:r>
      <w:r w:rsidR="005E0B06" w:rsidRPr="00BA5A45">
        <w:rPr>
          <w:rFonts w:ascii="Times New Roman" w:hAnsi="Times New Roman"/>
          <w:sz w:val="24"/>
          <w:lang w:val="en-GB"/>
        </w:rPr>
        <w:t>by, if</w:t>
      </w:r>
      <w:r w:rsidRPr="00BA5A45">
        <w:rPr>
          <w:rFonts w:ascii="Times New Roman" w:hAnsi="Times New Roman"/>
          <w:sz w:val="24"/>
          <w:lang w:val="en-GB"/>
        </w:rPr>
        <w:t xml:space="preserve"> </w:t>
      </w:r>
      <w:r w:rsidR="005E0B06" w:rsidRPr="00BA5A45">
        <w:rPr>
          <w:rFonts w:ascii="Times New Roman" w:hAnsi="Times New Roman"/>
          <w:sz w:val="24"/>
          <w:lang w:val="en-GB"/>
        </w:rPr>
        <w:t>necessary, obtaining</w:t>
      </w:r>
      <w:r w:rsidRPr="00BA5A45">
        <w:rPr>
          <w:rFonts w:ascii="Times New Roman" w:hAnsi="Times New Roman"/>
          <w:sz w:val="24"/>
          <w:lang w:val="en-GB"/>
        </w:rPr>
        <w:t xml:space="preserve"> judgment and executing against him, or realizing any security he holds for the debt.</w:t>
      </w:r>
      <w:r w:rsidR="0063719B" w:rsidRPr="00BA5A45">
        <w:rPr>
          <w:rFonts w:ascii="Times New Roman" w:hAnsi="Times New Roman"/>
        </w:rPr>
        <w:t xml:space="preserve"> See also the case of </w:t>
      </w:r>
      <w:r w:rsidR="0063719B" w:rsidRPr="00BA5A45">
        <w:rPr>
          <w:rFonts w:ascii="Times New Roman" w:hAnsi="Times New Roman"/>
          <w:i/>
        </w:rPr>
        <w:t>Farthing v Pieters &amp; Co</w:t>
      </w:r>
      <w:r w:rsidR="0063719B" w:rsidRPr="00BA5A45">
        <w:rPr>
          <w:rFonts w:ascii="Times New Roman" w:hAnsi="Times New Roman"/>
        </w:rPr>
        <w:t xml:space="preserve"> 1912 CPD 215.</w:t>
      </w:r>
      <w:r w:rsidRPr="00BA5A45">
        <w:rPr>
          <w:rFonts w:ascii="Times New Roman" w:hAnsi="Times New Roman"/>
          <w:sz w:val="24"/>
          <w:lang w:val="en-GB"/>
        </w:rPr>
        <w:t xml:space="preserve"> </w:t>
      </w:r>
      <w:r w:rsidR="00C15F1E" w:rsidRPr="00BA5A45">
        <w:rPr>
          <w:rFonts w:ascii="Times New Roman" w:hAnsi="Times New Roman"/>
          <w:sz w:val="24"/>
          <w:lang w:val="en-GB"/>
        </w:rPr>
        <w:t xml:space="preserve"> </w:t>
      </w:r>
      <w:r w:rsidR="00260E49" w:rsidRPr="00BA5A45">
        <w:rPr>
          <w:rFonts w:ascii="Times New Roman" w:hAnsi="Times New Roman"/>
          <w:sz w:val="24"/>
          <w:lang w:val="en-GB"/>
        </w:rPr>
        <w:t xml:space="preserve">In </w:t>
      </w:r>
      <w:r w:rsidR="00260E49" w:rsidRPr="00851DA3">
        <w:rPr>
          <w:rFonts w:ascii="Times New Roman" w:hAnsi="Times New Roman"/>
          <w:i/>
          <w:sz w:val="24"/>
          <w:lang w:val="en-GB"/>
        </w:rPr>
        <w:t>Wolfson v Crowe</w:t>
      </w:r>
      <w:r w:rsidR="00260E49" w:rsidRPr="00BA5A45">
        <w:rPr>
          <w:rFonts w:ascii="Times New Roman" w:hAnsi="Times New Roman"/>
          <w:sz w:val="24"/>
          <w:lang w:val="en-GB"/>
        </w:rPr>
        <w:t xml:space="preserve"> 1904 TS 6</w:t>
      </w:r>
      <w:r w:rsidR="00FB5466" w:rsidRPr="00BA5A45">
        <w:rPr>
          <w:rFonts w:ascii="Times New Roman" w:hAnsi="Times New Roman"/>
          <w:sz w:val="24"/>
          <w:lang w:val="en-GB"/>
        </w:rPr>
        <w:t xml:space="preserve">82 at683 INNES CJ noted that: </w:t>
      </w:r>
    </w:p>
    <w:p w14:paraId="375FBDA7" w14:textId="1627882F" w:rsidR="00E901CC" w:rsidRPr="00BA5A45" w:rsidRDefault="00FB5466" w:rsidP="00F42946">
      <w:pPr>
        <w:spacing w:after="0" w:line="240" w:lineRule="auto"/>
        <w:ind w:left="567"/>
        <w:jc w:val="both"/>
        <w:rPr>
          <w:rFonts w:ascii="Times New Roman" w:hAnsi="Times New Roman"/>
          <w:sz w:val="24"/>
          <w:lang w:val="en-GB"/>
        </w:rPr>
      </w:pPr>
      <w:r w:rsidRPr="00BA5A45">
        <w:rPr>
          <w:rFonts w:ascii="Times New Roman" w:hAnsi="Times New Roman"/>
          <w:sz w:val="24"/>
          <w:lang w:val="en-GB"/>
        </w:rPr>
        <w:t>“</w:t>
      </w:r>
      <w:r w:rsidR="00E901CC" w:rsidRPr="00BA5A45">
        <w:rPr>
          <w:rFonts w:ascii="Times New Roman" w:hAnsi="Times New Roman"/>
          <w:sz w:val="24"/>
          <w:lang w:val="en-GB"/>
        </w:rPr>
        <w:t>It</w:t>
      </w:r>
      <w:r w:rsidR="00260E49" w:rsidRPr="00BA5A45">
        <w:rPr>
          <w:rFonts w:ascii="Times New Roman" w:hAnsi="Times New Roman"/>
          <w:sz w:val="24"/>
          <w:lang w:val="en-GB"/>
        </w:rPr>
        <w:t xml:space="preserve"> is settled that every surety</w:t>
      </w:r>
      <w:r w:rsidR="00A312D7" w:rsidRPr="00BA5A45">
        <w:rPr>
          <w:rFonts w:ascii="Times New Roman" w:hAnsi="Times New Roman"/>
          <w:sz w:val="24"/>
          <w:lang w:val="en-GB"/>
        </w:rPr>
        <w:t xml:space="preserve"> </w:t>
      </w:r>
      <w:r w:rsidR="00C83003" w:rsidRPr="00BA5A45">
        <w:rPr>
          <w:rFonts w:ascii="Times New Roman" w:hAnsi="Times New Roman"/>
          <w:sz w:val="24"/>
          <w:lang w:val="en-GB"/>
        </w:rPr>
        <w:t xml:space="preserve">… </w:t>
      </w:r>
      <w:r w:rsidR="00260E49" w:rsidRPr="00BA5A45">
        <w:rPr>
          <w:rFonts w:ascii="Times New Roman" w:hAnsi="Times New Roman"/>
          <w:sz w:val="24"/>
          <w:lang w:val="en-GB"/>
        </w:rPr>
        <w:t>is entitled to insist</w:t>
      </w:r>
      <w:r w:rsidRPr="00BA5A45">
        <w:rPr>
          <w:rFonts w:ascii="Times New Roman" w:hAnsi="Times New Roman"/>
          <w:sz w:val="24"/>
          <w:lang w:val="en-GB"/>
        </w:rPr>
        <w:t xml:space="preserve"> on the benefit of </w:t>
      </w:r>
      <w:r w:rsidR="00A43B92" w:rsidRPr="00BA5A45">
        <w:rPr>
          <w:rFonts w:ascii="Times New Roman" w:hAnsi="Times New Roman"/>
          <w:i/>
          <w:iCs/>
          <w:sz w:val="24"/>
          <w:lang w:val="en-GB"/>
        </w:rPr>
        <w:t>excus</w:t>
      </w:r>
      <w:r w:rsidR="00A312D7" w:rsidRPr="00BA5A45">
        <w:rPr>
          <w:rFonts w:ascii="Times New Roman" w:hAnsi="Times New Roman"/>
          <w:i/>
          <w:iCs/>
          <w:sz w:val="24"/>
          <w:lang w:val="en-GB"/>
        </w:rPr>
        <w:t>sion</w:t>
      </w:r>
      <w:r w:rsidRPr="00BA5A45">
        <w:rPr>
          <w:rFonts w:ascii="Times New Roman" w:hAnsi="Times New Roman"/>
          <w:sz w:val="24"/>
          <w:lang w:val="en-GB"/>
        </w:rPr>
        <w:t>. “</w:t>
      </w:r>
    </w:p>
    <w:p w14:paraId="73490627" w14:textId="77777777" w:rsidR="007F64B5" w:rsidRDefault="007F64B5" w:rsidP="00F42946">
      <w:pPr>
        <w:spacing w:after="0" w:line="480" w:lineRule="auto"/>
        <w:jc w:val="both"/>
        <w:rPr>
          <w:rFonts w:ascii="Times New Roman" w:hAnsi="Times New Roman"/>
          <w:sz w:val="24"/>
          <w:lang w:val="en-GB"/>
        </w:rPr>
      </w:pPr>
    </w:p>
    <w:p w14:paraId="6B8BF46E" w14:textId="77777777" w:rsidR="00446F75" w:rsidRPr="00BA5A45" w:rsidRDefault="00446F75" w:rsidP="00F42946">
      <w:pPr>
        <w:spacing w:after="0" w:line="240" w:lineRule="auto"/>
        <w:jc w:val="both"/>
        <w:rPr>
          <w:rFonts w:ascii="Times New Roman" w:hAnsi="Times New Roman"/>
          <w:sz w:val="24"/>
          <w:lang w:val="en-GB"/>
        </w:rPr>
      </w:pPr>
    </w:p>
    <w:p w14:paraId="47F0031A" w14:textId="29E74E91" w:rsidR="005A1009" w:rsidRPr="00BA5A45" w:rsidRDefault="00825E1B"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There are some exceptions to this benefit</w:t>
      </w:r>
      <w:r w:rsidR="00260E49" w:rsidRPr="00BA5A45">
        <w:rPr>
          <w:rFonts w:ascii="Times New Roman" w:hAnsi="Times New Roman"/>
          <w:sz w:val="24"/>
          <w:lang w:val="en-GB"/>
        </w:rPr>
        <w:t xml:space="preserve"> </w:t>
      </w:r>
      <w:r w:rsidRPr="00BA5A45">
        <w:rPr>
          <w:rFonts w:ascii="Times New Roman" w:hAnsi="Times New Roman"/>
          <w:sz w:val="24"/>
          <w:lang w:val="en-GB"/>
        </w:rPr>
        <w:t>which</w:t>
      </w:r>
      <w:r w:rsidR="00260E49" w:rsidRPr="00BA5A45">
        <w:rPr>
          <w:rFonts w:ascii="Times New Roman" w:hAnsi="Times New Roman"/>
          <w:sz w:val="24"/>
          <w:lang w:val="en-GB"/>
        </w:rPr>
        <w:t xml:space="preserve"> includ</w:t>
      </w:r>
      <w:r w:rsidR="00FB5466" w:rsidRPr="00BA5A45">
        <w:rPr>
          <w:rFonts w:ascii="Times New Roman" w:hAnsi="Times New Roman"/>
          <w:sz w:val="24"/>
          <w:lang w:val="en-GB"/>
        </w:rPr>
        <w:t xml:space="preserve">e </w:t>
      </w:r>
      <w:r w:rsidR="00E901CC" w:rsidRPr="00BA5A45">
        <w:rPr>
          <w:rFonts w:ascii="Times New Roman" w:hAnsi="Times New Roman"/>
          <w:sz w:val="24"/>
          <w:lang w:val="en-GB"/>
        </w:rPr>
        <w:t>where the surety</w:t>
      </w:r>
      <w:r w:rsidR="00FB5466" w:rsidRPr="00BA5A45">
        <w:rPr>
          <w:rFonts w:ascii="Times New Roman" w:hAnsi="Times New Roman"/>
          <w:sz w:val="24"/>
          <w:lang w:val="en-GB"/>
        </w:rPr>
        <w:t xml:space="preserve"> has expressly or imp</w:t>
      </w:r>
      <w:r w:rsidR="00260E49" w:rsidRPr="00BA5A45">
        <w:rPr>
          <w:rFonts w:ascii="Times New Roman" w:hAnsi="Times New Roman"/>
          <w:sz w:val="24"/>
          <w:lang w:val="en-GB"/>
        </w:rPr>
        <w:t xml:space="preserve">liedly renounced such benefit. </w:t>
      </w:r>
      <w:r w:rsidRPr="00BA5A45">
        <w:rPr>
          <w:rFonts w:ascii="Times New Roman" w:hAnsi="Times New Roman"/>
          <w:sz w:val="24"/>
          <w:lang w:val="en-GB"/>
        </w:rPr>
        <w:t>I</w:t>
      </w:r>
      <w:r w:rsidR="00E901CC" w:rsidRPr="00BA5A45">
        <w:rPr>
          <w:rFonts w:ascii="Times New Roman" w:hAnsi="Times New Roman"/>
          <w:sz w:val="24"/>
          <w:lang w:val="en-GB"/>
        </w:rPr>
        <w:t>n</w:t>
      </w:r>
      <w:r w:rsidR="00E901CC" w:rsidRPr="00BA5A45">
        <w:rPr>
          <w:rFonts w:ascii="Times New Roman" w:hAnsi="Times New Roman"/>
          <w:i/>
          <w:iCs/>
          <w:sz w:val="24"/>
          <w:lang w:val="en-GB"/>
        </w:rPr>
        <w:t xml:space="preserve"> Muchabaiwa</w:t>
      </w:r>
      <w:r w:rsidR="00283F68" w:rsidRPr="00BA5A45">
        <w:rPr>
          <w:rFonts w:ascii="Times New Roman" w:hAnsi="Times New Roman"/>
          <w:i/>
          <w:sz w:val="24"/>
          <w:lang w:val="en-GB"/>
        </w:rPr>
        <w:t xml:space="preserve"> v Grab Enterprises </w:t>
      </w:r>
      <w:r w:rsidR="00C23D1B" w:rsidRPr="00BA5A45">
        <w:rPr>
          <w:rFonts w:ascii="Times New Roman" w:hAnsi="Times New Roman"/>
          <w:i/>
          <w:sz w:val="24"/>
          <w:lang w:val="en-GB"/>
        </w:rPr>
        <w:t xml:space="preserve">(Pvt) Ltd </w:t>
      </w:r>
      <w:r w:rsidR="00C23D1B" w:rsidRPr="00BA5A45">
        <w:rPr>
          <w:rFonts w:ascii="Times New Roman" w:hAnsi="Times New Roman"/>
          <w:sz w:val="24"/>
          <w:lang w:val="en-GB"/>
        </w:rPr>
        <w:t xml:space="preserve">S-230-96 </w:t>
      </w:r>
      <w:r w:rsidR="00C83003" w:rsidRPr="00BA5A45">
        <w:rPr>
          <w:rFonts w:ascii="Times New Roman" w:hAnsi="Times New Roman"/>
          <w:sz w:val="24"/>
          <w:lang w:val="en-GB"/>
        </w:rPr>
        <w:t>this C</w:t>
      </w:r>
      <w:r w:rsidR="00260E49" w:rsidRPr="00BA5A45">
        <w:rPr>
          <w:rFonts w:ascii="Times New Roman" w:hAnsi="Times New Roman"/>
          <w:sz w:val="24"/>
          <w:lang w:val="en-GB"/>
        </w:rPr>
        <w:t xml:space="preserve">ourt </w:t>
      </w:r>
      <w:r w:rsidR="00F71A18" w:rsidRPr="00BA5A45">
        <w:rPr>
          <w:rFonts w:ascii="Times New Roman" w:hAnsi="Times New Roman"/>
          <w:sz w:val="24"/>
          <w:lang w:val="en-GB"/>
        </w:rPr>
        <w:t>noted</w:t>
      </w:r>
      <w:r w:rsidR="00283F68" w:rsidRPr="00BA5A45">
        <w:rPr>
          <w:rFonts w:ascii="Times New Roman" w:hAnsi="Times New Roman"/>
          <w:sz w:val="24"/>
          <w:lang w:val="en-GB"/>
        </w:rPr>
        <w:t xml:space="preserve"> that </w:t>
      </w:r>
      <w:r w:rsidR="00C23D1B" w:rsidRPr="00BA5A45">
        <w:rPr>
          <w:rFonts w:ascii="Times New Roman" w:hAnsi="Times New Roman"/>
          <w:sz w:val="24"/>
          <w:lang w:val="en-GB"/>
        </w:rPr>
        <w:t xml:space="preserve">renunciation of the benefit is implied when the surety binds himself as surety and co-principal debtor. </w:t>
      </w:r>
      <w:r w:rsidR="005E0B06" w:rsidRPr="00BA5A45">
        <w:rPr>
          <w:rFonts w:ascii="Times New Roman" w:hAnsi="Times New Roman"/>
          <w:sz w:val="24"/>
          <w:lang w:val="en-GB"/>
        </w:rPr>
        <w:t>In Caney’s</w:t>
      </w:r>
      <w:r w:rsidR="005A1009" w:rsidRPr="00BA5A45">
        <w:rPr>
          <w:rFonts w:ascii="Times New Roman" w:hAnsi="Times New Roman"/>
          <w:i/>
          <w:sz w:val="24"/>
          <w:lang w:val="en-GB"/>
        </w:rPr>
        <w:t xml:space="preserve"> The Law of Suretyship</w:t>
      </w:r>
      <w:r w:rsidR="005A1009" w:rsidRPr="00BA5A45">
        <w:rPr>
          <w:rFonts w:ascii="Times New Roman" w:hAnsi="Times New Roman"/>
          <w:sz w:val="24"/>
          <w:lang w:val="en-GB"/>
        </w:rPr>
        <w:t xml:space="preserve"> by C.F Forsyth &amp; JT Pretorius, 6</w:t>
      </w:r>
      <w:r w:rsidR="005A1009" w:rsidRPr="00BA5A45">
        <w:rPr>
          <w:rFonts w:ascii="Times New Roman" w:hAnsi="Times New Roman"/>
          <w:sz w:val="24"/>
          <w:vertAlign w:val="superscript"/>
          <w:lang w:val="en-GB"/>
        </w:rPr>
        <w:t>th</w:t>
      </w:r>
      <w:r w:rsidR="005A1009" w:rsidRPr="00BA5A45">
        <w:rPr>
          <w:rFonts w:ascii="Times New Roman" w:hAnsi="Times New Roman"/>
          <w:sz w:val="24"/>
          <w:lang w:val="en-GB"/>
        </w:rPr>
        <w:t xml:space="preserve"> ed, Juta &amp; Co Ltd</w:t>
      </w:r>
      <w:r w:rsidR="00C83930" w:rsidRPr="00BA5A45">
        <w:rPr>
          <w:rFonts w:ascii="Times New Roman" w:hAnsi="Times New Roman"/>
          <w:sz w:val="24"/>
          <w:lang w:val="en-GB"/>
        </w:rPr>
        <w:t>, 2010</w:t>
      </w:r>
      <w:r w:rsidR="005A1009" w:rsidRPr="00BA5A45">
        <w:rPr>
          <w:rFonts w:ascii="Times New Roman" w:hAnsi="Times New Roman"/>
          <w:sz w:val="24"/>
          <w:lang w:val="en-GB"/>
        </w:rPr>
        <w:t xml:space="preserve"> at pg. 56, the scenario in which a person binds himself as surety and co-principal debtor was described as follows:</w:t>
      </w:r>
    </w:p>
    <w:p w14:paraId="5DB3E50B" w14:textId="2D462A39" w:rsidR="005A1009" w:rsidRPr="00BA5A45" w:rsidRDefault="005A1009" w:rsidP="00F42946">
      <w:pPr>
        <w:spacing w:after="0" w:line="240" w:lineRule="auto"/>
        <w:ind w:left="567"/>
        <w:jc w:val="both"/>
        <w:rPr>
          <w:rFonts w:ascii="Times New Roman" w:hAnsi="Times New Roman"/>
          <w:sz w:val="24"/>
          <w:lang w:val="en-GB"/>
        </w:rPr>
      </w:pPr>
      <w:r w:rsidRPr="00BA5A45">
        <w:rPr>
          <w:rFonts w:ascii="Times New Roman" w:hAnsi="Times New Roman"/>
          <w:sz w:val="24"/>
          <w:lang w:val="en-GB"/>
        </w:rPr>
        <w:t xml:space="preserve">“A person may bind himself as surety and co-principal debtor expressly in the suretyship document but in the absence of express undertaking to that effect, the </w:t>
      </w:r>
      <w:r w:rsidR="00AC54EA" w:rsidRPr="00BA5A45">
        <w:rPr>
          <w:rFonts w:ascii="Times New Roman" w:hAnsi="Times New Roman"/>
          <w:sz w:val="24"/>
          <w:lang w:val="en-GB"/>
        </w:rPr>
        <w:t>answer to that question</w:t>
      </w:r>
      <w:r w:rsidR="00851DA3">
        <w:rPr>
          <w:rFonts w:ascii="Times New Roman" w:hAnsi="Times New Roman"/>
          <w:sz w:val="24"/>
          <w:lang w:val="en-GB"/>
        </w:rPr>
        <w:t>,</w:t>
      </w:r>
      <w:r w:rsidRPr="00BA5A45">
        <w:rPr>
          <w:rFonts w:ascii="Times New Roman" w:hAnsi="Times New Roman"/>
          <w:sz w:val="24"/>
          <w:lang w:val="en-GB"/>
        </w:rPr>
        <w:t xml:space="preserve"> whether he binds himself both as surety and co-principal debtor depends on the language of the document and on all the </w:t>
      </w:r>
      <w:r w:rsidR="005E0B06" w:rsidRPr="00BA5A45">
        <w:rPr>
          <w:rFonts w:ascii="Times New Roman" w:hAnsi="Times New Roman"/>
          <w:sz w:val="24"/>
          <w:lang w:val="en-GB"/>
        </w:rPr>
        <w:t>circumstances</w:t>
      </w:r>
      <w:r w:rsidRPr="00BA5A45">
        <w:rPr>
          <w:rFonts w:ascii="Times New Roman" w:hAnsi="Times New Roman"/>
          <w:sz w:val="24"/>
          <w:lang w:val="en-GB"/>
        </w:rPr>
        <w:t xml:space="preserve">. Even if he signs a promissory note as maker of </w:t>
      </w:r>
      <w:r w:rsidR="005E0B06" w:rsidRPr="00BA5A45">
        <w:rPr>
          <w:rFonts w:ascii="Times New Roman" w:hAnsi="Times New Roman"/>
          <w:sz w:val="24"/>
          <w:lang w:val="en-GB"/>
        </w:rPr>
        <w:t>it, this</w:t>
      </w:r>
      <w:r w:rsidRPr="00BA5A45">
        <w:rPr>
          <w:rFonts w:ascii="Times New Roman" w:hAnsi="Times New Roman"/>
          <w:sz w:val="24"/>
          <w:lang w:val="en-GB"/>
        </w:rPr>
        <w:t xml:space="preserve"> is only one of the circumstances and is not conclusive in itself that he is a principal debtor, for evidence is admissible to show the true relationship of the parties to each other.”</w:t>
      </w:r>
    </w:p>
    <w:p w14:paraId="5EAF64EF" w14:textId="77777777" w:rsidR="00D81197" w:rsidRPr="00BA5A45" w:rsidRDefault="00D81197" w:rsidP="00F42946">
      <w:pPr>
        <w:spacing w:after="0" w:line="480" w:lineRule="auto"/>
        <w:ind w:firstLine="720"/>
        <w:jc w:val="both"/>
        <w:rPr>
          <w:rFonts w:ascii="Times New Roman" w:hAnsi="Times New Roman"/>
          <w:sz w:val="24"/>
          <w:lang w:val="en-GB"/>
        </w:rPr>
      </w:pPr>
    </w:p>
    <w:p w14:paraId="2F29A39D" w14:textId="77777777" w:rsidR="007F64B5" w:rsidRPr="00BA5A45" w:rsidRDefault="007F64B5" w:rsidP="00F42946">
      <w:pPr>
        <w:spacing w:after="0" w:line="240" w:lineRule="auto"/>
        <w:ind w:firstLine="720"/>
        <w:jc w:val="both"/>
        <w:rPr>
          <w:rFonts w:ascii="Times New Roman" w:hAnsi="Times New Roman"/>
          <w:sz w:val="24"/>
          <w:lang w:val="en-GB"/>
        </w:rPr>
      </w:pPr>
    </w:p>
    <w:p w14:paraId="5966C6B7" w14:textId="77777777" w:rsidR="00283F68" w:rsidRPr="00BA5A45" w:rsidRDefault="00C23D1B"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lastRenderedPageBreak/>
        <w:t xml:space="preserve">The distinction between liability as a surety and liability as surety and co-principal debtor was elucidated in </w:t>
      </w:r>
      <w:r w:rsidRPr="00BA5A45">
        <w:rPr>
          <w:rFonts w:ascii="Times New Roman" w:hAnsi="Times New Roman"/>
          <w:i/>
          <w:sz w:val="24"/>
          <w:lang w:val="en-GB"/>
        </w:rPr>
        <w:t xml:space="preserve">Caney’s </w:t>
      </w:r>
      <w:r w:rsidR="00BC3240" w:rsidRPr="00BA5A45">
        <w:rPr>
          <w:rFonts w:ascii="Times New Roman" w:hAnsi="Times New Roman"/>
          <w:i/>
          <w:sz w:val="24"/>
          <w:lang w:val="en-GB"/>
        </w:rPr>
        <w:t xml:space="preserve">supra </w:t>
      </w:r>
      <w:r w:rsidR="00BC3240" w:rsidRPr="00BA5A45">
        <w:rPr>
          <w:rFonts w:ascii="Times New Roman" w:hAnsi="Times New Roman"/>
          <w:sz w:val="24"/>
          <w:lang w:val="en-GB"/>
        </w:rPr>
        <w:t>at pg. 56</w:t>
      </w:r>
      <w:r w:rsidR="00A565F5" w:rsidRPr="00BA5A45">
        <w:rPr>
          <w:rFonts w:ascii="Times New Roman" w:hAnsi="Times New Roman"/>
          <w:sz w:val="24"/>
          <w:lang w:val="en-GB"/>
        </w:rPr>
        <w:t>-57</w:t>
      </w:r>
      <w:r w:rsidR="00BC3240" w:rsidRPr="00BA5A45">
        <w:rPr>
          <w:rFonts w:ascii="Times New Roman" w:hAnsi="Times New Roman"/>
          <w:sz w:val="24"/>
          <w:lang w:val="en-GB"/>
        </w:rPr>
        <w:t xml:space="preserve"> as follows</w:t>
      </w:r>
      <w:r w:rsidR="005A1009" w:rsidRPr="00BA5A45">
        <w:rPr>
          <w:rFonts w:ascii="Times New Roman" w:hAnsi="Times New Roman"/>
          <w:sz w:val="24"/>
          <w:lang w:val="en-GB"/>
        </w:rPr>
        <w:t>:</w:t>
      </w:r>
    </w:p>
    <w:p w14:paraId="2D137DC0" w14:textId="77777777" w:rsidR="00F120AC" w:rsidRPr="00BA5A45" w:rsidRDefault="005A1009" w:rsidP="00F42946">
      <w:pPr>
        <w:spacing w:after="0" w:line="240" w:lineRule="auto"/>
        <w:ind w:left="567"/>
        <w:jc w:val="both"/>
        <w:rPr>
          <w:rFonts w:ascii="Times New Roman" w:hAnsi="Times New Roman"/>
          <w:sz w:val="24"/>
          <w:lang w:val="en-GB"/>
        </w:rPr>
      </w:pPr>
      <w:r w:rsidRPr="00BA5A45">
        <w:rPr>
          <w:rFonts w:ascii="Times New Roman" w:hAnsi="Times New Roman"/>
          <w:sz w:val="24"/>
          <w:lang w:val="en-GB"/>
        </w:rPr>
        <w:t>“</w:t>
      </w:r>
      <w:r w:rsidR="00BC3240" w:rsidRPr="00BA5A45">
        <w:rPr>
          <w:rFonts w:ascii="Times New Roman" w:hAnsi="Times New Roman"/>
          <w:sz w:val="24"/>
          <w:lang w:val="en-GB"/>
        </w:rPr>
        <w:t xml:space="preserve">One who has bound himself as surety and co-principal debtor is…a surety who has undertaken the obligations of a </w:t>
      </w:r>
      <w:r w:rsidR="005E0B06" w:rsidRPr="00BA5A45">
        <w:rPr>
          <w:rFonts w:ascii="Times New Roman" w:hAnsi="Times New Roman"/>
          <w:sz w:val="24"/>
          <w:lang w:val="en-GB"/>
        </w:rPr>
        <w:t>co-debtor: his</w:t>
      </w:r>
      <w:r w:rsidR="00BC3240" w:rsidRPr="00BA5A45">
        <w:rPr>
          <w:rFonts w:ascii="Times New Roman" w:hAnsi="Times New Roman"/>
          <w:sz w:val="24"/>
          <w:lang w:val="en-GB"/>
        </w:rPr>
        <w:t xml:space="preserve"> obligations in the latter respect are co-equal in extent with those of the principal debtor and thus of the same scope and </w:t>
      </w:r>
      <w:r w:rsidR="005E0B06" w:rsidRPr="00BA5A45">
        <w:rPr>
          <w:rFonts w:ascii="Times New Roman" w:hAnsi="Times New Roman"/>
          <w:sz w:val="24"/>
          <w:lang w:val="en-GB"/>
        </w:rPr>
        <w:t>nature; he</w:t>
      </w:r>
      <w:r w:rsidR="00BC3240" w:rsidRPr="00BA5A45">
        <w:rPr>
          <w:rFonts w:ascii="Times New Roman" w:hAnsi="Times New Roman"/>
          <w:sz w:val="24"/>
          <w:lang w:val="en-GB"/>
        </w:rPr>
        <w:t xml:space="preserve"> is liable with him jointly and severally. The obligation of the surety and co-principal debtor becomes enforceable at the same time as that of the principal debtor.</w:t>
      </w:r>
      <w:r w:rsidR="00391DAC" w:rsidRPr="00BA5A45">
        <w:rPr>
          <w:rFonts w:ascii="Times New Roman" w:hAnsi="Times New Roman"/>
          <w:sz w:val="24"/>
          <w:lang w:val="en-GB"/>
        </w:rPr>
        <w:t xml:space="preserve"> </w:t>
      </w:r>
    </w:p>
    <w:p w14:paraId="69593C9A" w14:textId="77777777" w:rsidR="007F64B5" w:rsidRPr="00BA5A45" w:rsidRDefault="007F64B5" w:rsidP="00F42946">
      <w:pPr>
        <w:spacing w:after="0" w:line="240" w:lineRule="auto"/>
        <w:ind w:left="567"/>
        <w:jc w:val="both"/>
        <w:rPr>
          <w:rFonts w:ascii="Times New Roman" w:hAnsi="Times New Roman"/>
          <w:sz w:val="24"/>
          <w:lang w:val="en-GB"/>
        </w:rPr>
      </w:pPr>
    </w:p>
    <w:p w14:paraId="56E22DA6" w14:textId="5FCBF242" w:rsidR="005A1009" w:rsidRPr="00BA5A45" w:rsidRDefault="00391DAC" w:rsidP="00F42946">
      <w:pPr>
        <w:spacing w:after="0" w:line="240" w:lineRule="auto"/>
        <w:ind w:left="567"/>
        <w:jc w:val="both"/>
        <w:rPr>
          <w:rFonts w:ascii="Times New Roman" w:hAnsi="Times New Roman"/>
          <w:sz w:val="24"/>
          <w:lang w:val="en-GB"/>
        </w:rPr>
      </w:pPr>
      <w:r w:rsidRPr="00BA5A45">
        <w:rPr>
          <w:rFonts w:ascii="Times New Roman" w:hAnsi="Times New Roman"/>
          <w:sz w:val="24"/>
          <w:lang w:val="en-GB"/>
        </w:rPr>
        <w:t xml:space="preserve">But he does not undertake a separate independent liability as a principal </w:t>
      </w:r>
      <w:r w:rsidR="005E0B06" w:rsidRPr="00BA5A45">
        <w:rPr>
          <w:rFonts w:ascii="Times New Roman" w:hAnsi="Times New Roman"/>
          <w:sz w:val="24"/>
          <w:lang w:val="en-GB"/>
        </w:rPr>
        <w:t>debtor; he</w:t>
      </w:r>
      <w:r w:rsidRPr="00BA5A45">
        <w:rPr>
          <w:rFonts w:ascii="Times New Roman" w:hAnsi="Times New Roman"/>
          <w:sz w:val="24"/>
          <w:lang w:val="en-GB"/>
        </w:rPr>
        <w:t xml:space="preserve"> is a surety.</w:t>
      </w:r>
      <w:r w:rsidR="00BC3240" w:rsidRPr="00BA5A45">
        <w:rPr>
          <w:rFonts w:ascii="Times New Roman" w:hAnsi="Times New Roman"/>
          <w:sz w:val="24"/>
          <w:lang w:val="en-GB"/>
        </w:rPr>
        <w:t>”</w:t>
      </w:r>
    </w:p>
    <w:p w14:paraId="09C0021D" w14:textId="77777777" w:rsidR="00D81197" w:rsidRPr="00BA5A45" w:rsidRDefault="00D81197" w:rsidP="00F42946">
      <w:pPr>
        <w:spacing w:after="0" w:line="480" w:lineRule="auto"/>
        <w:jc w:val="both"/>
        <w:rPr>
          <w:rFonts w:ascii="Times New Roman" w:hAnsi="Times New Roman"/>
          <w:sz w:val="24"/>
          <w:lang w:val="en-GB"/>
        </w:rPr>
      </w:pPr>
    </w:p>
    <w:p w14:paraId="7487BA82" w14:textId="77A26DC8" w:rsidR="00260E49" w:rsidRPr="00BA5A45" w:rsidRDefault="00260E49"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 xml:space="preserve">It thus follows that where a surety has not renounced the benefits of </w:t>
      </w:r>
      <w:r w:rsidR="00A43B92" w:rsidRPr="00BA5A45">
        <w:rPr>
          <w:rFonts w:ascii="Times New Roman" w:hAnsi="Times New Roman"/>
          <w:i/>
          <w:iCs/>
          <w:sz w:val="24"/>
          <w:lang w:val="en-GB"/>
        </w:rPr>
        <w:t>excus</w:t>
      </w:r>
      <w:r w:rsidR="00A312D7" w:rsidRPr="00BA5A45">
        <w:rPr>
          <w:rFonts w:ascii="Times New Roman" w:hAnsi="Times New Roman"/>
          <w:i/>
          <w:iCs/>
          <w:sz w:val="24"/>
          <w:lang w:val="en-GB"/>
        </w:rPr>
        <w:t>sion</w:t>
      </w:r>
      <w:r w:rsidRPr="00BA5A45">
        <w:rPr>
          <w:rFonts w:ascii="Times New Roman" w:hAnsi="Times New Roman"/>
          <w:sz w:val="24"/>
          <w:lang w:val="en-GB"/>
        </w:rPr>
        <w:t xml:space="preserve">, the creditor must first proceed </w:t>
      </w:r>
      <w:r w:rsidR="00E901CC" w:rsidRPr="00BA5A45">
        <w:rPr>
          <w:rFonts w:ascii="Times New Roman" w:hAnsi="Times New Roman"/>
          <w:sz w:val="24"/>
          <w:lang w:val="en-GB"/>
        </w:rPr>
        <w:t>against</w:t>
      </w:r>
      <w:r w:rsidRPr="00BA5A45">
        <w:rPr>
          <w:rFonts w:ascii="Times New Roman" w:hAnsi="Times New Roman"/>
          <w:sz w:val="24"/>
          <w:lang w:val="en-GB"/>
        </w:rPr>
        <w:t xml:space="preserve"> the </w:t>
      </w:r>
      <w:r w:rsidR="00E901CC" w:rsidRPr="00BA5A45">
        <w:rPr>
          <w:rFonts w:ascii="Times New Roman" w:hAnsi="Times New Roman"/>
          <w:sz w:val="24"/>
          <w:lang w:val="en-GB"/>
        </w:rPr>
        <w:t>principal debtor</w:t>
      </w:r>
      <w:r w:rsidRPr="00BA5A45">
        <w:rPr>
          <w:rFonts w:ascii="Times New Roman" w:hAnsi="Times New Roman"/>
          <w:sz w:val="24"/>
          <w:lang w:val="en-GB"/>
        </w:rPr>
        <w:t xml:space="preserve"> before turning to the surety for payment.</w:t>
      </w:r>
    </w:p>
    <w:p w14:paraId="261DCB7C" w14:textId="77777777" w:rsidR="00D81197" w:rsidRPr="00BA5A45" w:rsidRDefault="00D81197" w:rsidP="00F42946">
      <w:pPr>
        <w:spacing w:after="0" w:line="480" w:lineRule="auto"/>
        <w:jc w:val="both"/>
        <w:rPr>
          <w:rFonts w:ascii="Times New Roman" w:hAnsi="Times New Roman"/>
          <w:sz w:val="24"/>
          <w:lang w:val="en-GB"/>
        </w:rPr>
      </w:pPr>
    </w:p>
    <w:p w14:paraId="08C3A6C0" w14:textId="77CEA1E6" w:rsidR="008C1C4B" w:rsidRPr="00BA5A45" w:rsidRDefault="00391DAC"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 xml:space="preserve">In </w:t>
      </w:r>
      <w:r w:rsidRPr="00BA5A45">
        <w:rPr>
          <w:rFonts w:ascii="Times New Roman" w:hAnsi="Times New Roman"/>
          <w:i/>
          <w:sz w:val="24"/>
          <w:lang w:val="en-GB"/>
        </w:rPr>
        <w:t>casu</w:t>
      </w:r>
      <w:r w:rsidRPr="00BA5A45">
        <w:rPr>
          <w:rFonts w:ascii="Times New Roman" w:hAnsi="Times New Roman"/>
          <w:sz w:val="24"/>
          <w:lang w:val="en-GB"/>
        </w:rPr>
        <w:t>, the suretyship of the complainants for the debt due to N</w:t>
      </w:r>
      <w:r w:rsidR="0063719B" w:rsidRPr="00BA5A45">
        <w:rPr>
          <w:rFonts w:ascii="Times New Roman" w:hAnsi="Times New Roman"/>
          <w:sz w:val="24"/>
          <w:lang w:val="en-GB"/>
        </w:rPr>
        <w:t>FOL</w:t>
      </w:r>
      <w:r w:rsidR="00D37010" w:rsidRPr="00BA5A45">
        <w:rPr>
          <w:rFonts w:ascii="Times New Roman" w:hAnsi="Times New Roman"/>
          <w:sz w:val="24"/>
          <w:lang w:val="en-GB"/>
        </w:rPr>
        <w:t xml:space="preserve"> arose from the </w:t>
      </w:r>
      <w:r w:rsidR="0063719B" w:rsidRPr="00BA5A45">
        <w:rPr>
          <w:rFonts w:ascii="Times New Roman" w:hAnsi="Times New Roman"/>
          <w:sz w:val="24"/>
          <w:lang w:val="en-GB"/>
        </w:rPr>
        <w:t>POA</w:t>
      </w:r>
      <w:r w:rsidR="00260E49" w:rsidRPr="00BA5A45">
        <w:rPr>
          <w:rFonts w:ascii="Times New Roman" w:hAnsi="Times New Roman"/>
          <w:sz w:val="24"/>
          <w:lang w:val="en-GB"/>
        </w:rPr>
        <w:t xml:space="preserve"> </w:t>
      </w:r>
      <w:r w:rsidR="00D37010" w:rsidRPr="00BA5A45">
        <w:rPr>
          <w:rFonts w:ascii="Times New Roman" w:hAnsi="Times New Roman"/>
          <w:sz w:val="24"/>
          <w:lang w:val="en-GB"/>
        </w:rPr>
        <w:t>which they signed</w:t>
      </w:r>
      <w:r w:rsidR="00E901CC" w:rsidRPr="00BA5A45">
        <w:rPr>
          <w:rFonts w:ascii="Times New Roman" w:hAnsi="Times New Roman"/>
          <w:sz w:val="24"/>
          <w:lang w:val="en-GB"/>
        </w:rPr>
        <w:t xml:space="preserve"> and the affidavit signed by </w:t>
      </w:r>
      <w:r w:rsidR="00A43B92" w:rsidRPr="00BA5A45">
        <w:rPr>
          <w:rFonts w:ascii="Times New Roman" w:hAnsi="Times New Roman"/>
          <w:sz w:val="24"/>
          <w:lang w:val="en-GB"/>
        </w:rPr>
        <w:t>Perkins</w:t>
      </w:r>
      <w:r w:rsidR="00D37010" w:rsidRPr="00BA5A45">
        <w:rPr>
          <w:rFonts w:ascii="Times New Roman" w:hAnsi="Times New Roman"/>
          <w:sz w:val="24"/>
          <w:lang w:val="en-GB"/>
        </w:rPr>
        <w:t xml:space="preserve">. </w:t>
      </w:r>
      <w:r w:rsidR="00E901CC" w:rsidRPr="00BA5A45">
        <w:rPr>
          <w:rFonts w:ascii="Times New Roman" w:hAnsi="Times New Roman"/>
          <w:sz w:val="24"/>
          <w:lang w:val="en-GB"/>
        </w:rPr>
        <w:t xml:space="preserve">Though </w:t>
      </w:r>
      <w:r w:rsidR="00825E1B" w:rsidRPr="00BA5A45">
        <w:rPr>
          <w:rFonts w:ascii="Times New Roman" w:hAnsi="Times New Roman"/>
          <w:sz w:val="24"/>
          <w:lang w:val="en-GB"/>
        </w:rPr>
        <w:t>i</w:t>
      </w:r>
      <w:r w:rsidR="00E901CC" w:rsidRPr="00BA5A45">
        <w:rPr>
          <w:rFonts w:ascii="Times New Roman" w:hAnsi="Times New Roman"/>
          <w:sz w:val="24"/>
          <w:lang w:val="en-GB"/>
        </w:rPr>
        <w:t>n th</w:t>
      </w:r>
      <w:r w:rsidR="00825E1B" w:rsidRPr="00BA5A45">
        <w:rPr>
          <w:rFonts w:ascii="Times New Roman" w:hAnsi="Times New Roman"/>
          <w:sz w:val="24"/>
          <w:lang w:val="en-GB"/>
        </w:rPr>
        <w:t>e POA</w:t>
      </w:r>
      <w:r w:rsidRPr="00BA5A45">
        <w:rPr>
          <w:rFonts w:ascii="Times New Roman" w:hAnsi="Times New Roman"/>
          <w:sz w:val="24"/>
          <w:lang w:val="en-GB"/>
        </w:rPr>
        <w:t xml:space="preserve">, the complainants </w:t>
      </w:r>
      <w:r w:rsidR="00AC27FC" w:rsidRPr="00BA5A45">
        <w:rPr>
          <w:rFonts w:ascii="Times New Roman" w:hAnsi="Times New Roman"/>
          <w:sz w:val="24"/>
          <w:lang w:val="en-GB"/>
        </w:rPr>
        <w:t xml:space="preserve">refer to a situation </w:t>
      </w:r>
      <w:r w:rsidR="00851DA3">
        <w:rPr>
          <w:rFonts w:ascii="Times New Roman" w:hAnsi="Times New Roman"/>
          <w:sz w:val="24"/>
          <w:lang w:val="en-GB"/>
        </w:rPr>
        <w:t xml:space="preserve">where </w:t>
      </w:r>
      <w:r w:rsidR="00AC27FC" w:rsidRPr="00BA5A45">
        <w:rPr>
          <w:rFonts w:ascii="Times New Roman" w:hAnsi="Times New Roman"/>
          <w:sz w:val="24"/>
          <w:lang w:val="en-GB"/>
        </w:rPr>
        <w:t xml:space="preserve">they would be debtors  </w:t>
      </w:r>
      <w:r w:rsidR="00E901CC" w:rsidRPr="00BA5A45">
        <w:rPr>
          <w:rFonts w:ascii="Times New Roman" w:hAnsi="Times New Roman"/>
          <w:sz w:val="24"/>
          <w:lang w:val="en-GB"/>
        </w:rPr>
        <w:t xml:space="preserve"> to </w:t>
      </w:r>
      <w:r w:rsidR="00AC27FC" w:rsidRPr="00BA5A45">
        <w:rPr>
          <w:rFonts w:ascii="Times New Roman" w:hAnsi="Times New Roman"/>
          <w:sz w:val="24"/>
          <w:lang w:val="en-GB"/>
        </w:rPr>
        <w:t>NFOL, at that stage they were not debtors</w:t>
      </w:r>
      <w:r w:rsidR="00E901CC" w:rsidRPr="00BA5A45">
        <w:rPr>
          <w:rFonts w:ascii="Times New Roman" w:hAnsi="Times New Roman"/>
          <w:sz w:val="24"/>
          <w:lang w:val="en-GB"/>
        </w:rPr>
        <w:t>.  As at</w:t>
      </w:r>
      <w:r w:rsidR="008C1C4B" w:rsidRPr="00BA5A45">
        <w:rPr>
          <w:rFonts w:ascii="Times New Roman" w:hAnsi="Times New Roman"/>
          <w:sz w:val="24"/>
          <w:lang w:val="en-GB"/>
        </w:rPr>
        <w:t xml:space="preserve"> 6 Nove</w:t>
      </w:r>
      <w:r w:rsidR="00E901CC" w:rsidRPr="00BA5A45">
        <w:rPr>
          <w:rFonts w:ascii="Times New Roman" w:hAnsi="Times New Roman"/>
          <w:sz w:val="24"/>
          <w:lang w:val="en-GB"/>
        </w:rPr>
        <w:t>mber 2012</w:t>
      </w:r>
      <w:r w:rsidR="008C1C4B" w:rsidRPr="00BA5A45">
        <w:rPr>
          <w:rFonts w:ascii="Times New Roman" w:hAnsi="Times New Roman"/>
          <w:sz w:val="24"/>
          <w:lang w:val="en-GB"/>
        </w:rPr>
        <w:t xml:space="preserve"> they were simply of</w:t>
      </w:r>
      <w:r w:rsidR="00E901CC" w:rsidRPr="00BA5A45">
        <w:rPr>
          <w:rFonts w:ascii="Times New Roman" w:hAnsi="Times New Roman"/>
          <w:sz w:val="24"/>
          <w:lang w:val="en-GB"/>
        </w:rPr>
        <w:t>fering security</w:t>
      </w:r>
      <w:r w:rsidR="0005776C" w:rsidRPr="00BA5A45">
        <w:rPr>
          <w:rFonts w:ascii="Times New Roman" w:hAnsi="Times New Roman"/>
          <w:sz w:val="24"/>
          <w:lang w:val="en-GB"/>
        </w:rPr>
        <w:t>,</w:t>
      </w:r>
      <w:r w:rsidR="00E901CC" w:rsidRPr="00BA5A45">
        <w:rPr>
          <w:rFonts w:ascii="Times New Roman" w:hAnsi="Times New Roman"/>
          <w:sz w:val="24"/>
          <w:lang w:val="en-GB"/>
        </w:rPr>
        <w:t xml:space="preserve"> as demanded by N</w:t>
      </w:r>
      <w:r w:rsidR="00AC27FC" w:rsidRPr="00BA5A45">
        <w:rPr>
          <w:rFonts w:ascii="Times New Roman" w:hAnsi="Times New Roman"/>
          <w:sz w:val="24"/>
          <w:lang w:val="en-GB"/>
        </w:rPr>
        <w:t>FOL</w:t>
      </w:r>
      <w:r w:rsidR="0005776C" w:rsidRPr="00BA5A45">
        <w:rPr>
          <w:rFonts w:ascii="Times New Roman" w:hAnsi="Times New Roman"/>
          <w:sz w:val="24"/>
          <w:lang w:val="en-GB"/>
        </w:rPr>
        <w:t>,</w:t>
      </w:r>
      <w:r w:rsidR="00E901CC" w:rsidRPr="00BA5A45">
        <w:rPr>
          <w:rFonts w:ascii="Times New Roman" w:hAnsi="Times New Roman"/>
          <w:sz w:val="24"/>
          <w:lang w:val="en-GB"/>
        </w:rPr>
        <w:t xml:space="preserve"> in </w:t>
      </w:r>
      <w:r w:rsidR="00AC27FC" w:rsidRPr="00BA5A45">
        <w:rPr>
          <w:rFonts w:ascii="Times New Roman" w:hAnsi="Times New Roman"/>
          <w:sz w:val="24"/>
          <w:lang w:val="en-GB"/>
        </w:rPr>
        <w:t xml:space="preserve">support of </w:t>
      </w:r>
      <w:r w:rsidR="00E901CC" w:rsidRPr="00BA5A45">
        <w:rPr>
          <w:rFonts w:ascii="Times New Roman" w:hAnsi="Times New Roman"/>
          <w:sz w:val="24"/>
          <w:lang w:val="en-GB"/>
        </w:rPr>
        <w:t>an application for a credit facility by Celg</w:t>
      </w:r>
      <w:r w:rsidR="008C1C4B" w:rsidRPr="00BA5A45">
        <w:rPr>
          <w:rFonts w:ascii="Times New Roman" w:hAnsi="Times New Roman"/>
          <w:sz w:val="24"/>
          <w:lang w:val="en-GB"/>
        </w:rPr>
        <w:t>rim Bake</w:t>
      </w:r>
      <w:r w:rsidR="00E901CC" w:rsidRPr="00BA5A45">
        <w:rPr>
          <w:rFonts w:ascii="Times New Roman" w:hAnsi="Times New Roman"/>
          <w:sz w:val="24"/>
          <w:lang w:val="en-GB"/>
        </w:rPr>
        <w:t>ries</w:t>
      </w:r>
      <w:r w:rsidR="008C1C4B" w:rsidRPr="00BA5A45">
        <w:rPr>
          <w:rFonts w:ascii="Times New Roman" w:hAnsi="Times New Roman"/>
          <w:sz w:val="24"/>
          <w:lang w:val="en-GB"/>
        </w:rPr>
        <w:t xml:space="preserve">. The affidavit makes it </w:t>
      </w:r>
      <w:r w:rsidR="00E901CC" w:rsidRPr="00BA5A45">
        <w:rPr>
          <w:rFonts w:ascii="Times New Roman" w:hAnsi="Times New Roman"/>
          <w:sz w:val="24"/>
          <w:lang w:val="en-GB"/>
        </w:rPr>
        <w:t>clear</w:t>
      </w:r>
      <w:r w:rsidR="008C1C4B" w:rsidRPr="00BA5A45">
        <w:rPr>
          <w:rFonts w:ascii="Times New Roman" w:hAnsi="Times New Roman"/>
          <w:sz w:val="24"/>
          <w:lang w:val="en-GB"/>
        </w:rPr>
        <w:t xml:space="preserve"> that this was</w:t>
      </w:r>
      <w:r w:rsidR="00D30419" w:rsidRPr="00BA5A45">
        <w:rPr>
          <w:rFonts w:ascii="Times New Roman" w:hAnsi="Times New Roman"/>
          <w:sz w:val="24"/>
          <w:lang w:val="en-GB"/>
        </w:rPr>
        <w:t xml:space="preserve"> </w:t>
      </w:r>
      <w:r w:rsidR="008C1C4B" w:rsidRPr="00BA5A45">
        <w:rPr>
          <w:rFonts w:ascii="Times New Roman" w:hAnsi="Times New Roman"/>
          <w:sz w:val="24"/>
          <w:lang w:val="en-GB"/>
        </w:rPr>
        <w:t xml:space="preserve">to support the credit application of Celgrim </w:t>
      </w:r>
      <w:r w:rsidR="00825E1B" w:rsidRPr="00BA5A45">
        <w:rPr>
          <w:rFonts w:ascii="Times New Roman" w:hAnsi="Times New Roman"/>
          <w:sz w:val="24"/>
          <w:lang w:val="en-GB"/>
        </w:rPr>
        <w:t>Bakeries (</w:t>
      </w:r>
      <w:r w:rsidR="00E223D0" w:rsidRPr="00BA5A45">
        <w:rPr>
          <w:rFonts w:ascii="Times New Roman" w:hAnsi="Times New Roman"/>
          <w:sz w:val="24"/>
          <w:lang w:val="en-GB"/>
        </w:rPr>
        <w:t>Pvt) Ltd a</w:t>
      </w:r>
      <w:r w:rsidR="00E901CC" w:rsidRPr="00BA5A45">
        <w:rPr>
          <w:rFonts w:ascii="Times New Roman" w:hAnsi="Times New Roman"/>
          <w:sz w:val="24"/>
          <w:lang w:val="en-GB"/>
        </w:rPr>
        <w:t>nd nothing more. In n</w:t>
      </w:r>
      <w:r w:rsidR="003725C7" w:rsidRPr="00BA5A45">
        <w:rPr>
          <w:rFonts w:ascii="Times New Roman" w:hAnsi="Times New Roman"/>
          <w:sz w:val="24"/>
          <w:lang w:val="en-GB"/>
        </w:rPr>
        <w:t>either</w:t>
      </w:r>
      <w:r w:rsidR="00E901CC" w:rsidRPr="00BA5A45">
        <w:rPr>
          <w:rFonts w:ascii="Times New Roman" w:hAnsi="Times New Roman"/>
          <w:sz w:val="24"/>
          <w:lang w:val="en-GB"/>
        </w:rPr>
        <w:t xml:space="preserve"> the</w:t>
      </w:r>
      <w:r w:rsidR="003725C7" w:rsidRPr="00BA5A45">
        <w:rPr>
          <w:rFonts w:ascii="Times New Roman" w:hAnsi="Times New Roman"/>
          <w:sz w:val="24"/>
          <w:lang w:val="en-GB"/>
        </w:rPr>
        <w:t>se</w:t>
      </w:r>
      <w:r w:rsidR="00E901CC" w:rsidRPr="00BA5A45">
        <w:rPr>
          <w:rFonts w:ascii="Times New Roman" w:hAnsi="Times New Roman"/>
          <w:sz w:val="24"/>
          <w:lang w:val="en-GB"/>
        </w:rPr>
        <w:t xml:space="preserve"> documents </w:t>
      </w:r>
      <w:r w:rsidR="003725C7" w:rsidRPr="00BA5A45">
        <w:rPr>
          <w:rFonts w:ascii="Times New Roman" w:hAnsi="Times New Roman"/>
          <w:sz w:val="24"/>
          <w:lang w:val="en-GB"/>
        </w:rPr>
        <w:t>n</w:t>
      </w:r>
      <w:r w:rsidR="00E901CC" w:rsidRPr="00BA5A45">
        <w:rPr>
          <w:rFonts w:ascii="Times New Roman" w:hAnsi="Times New Roman"/>
          <w:sz w:val="24"/>
          <w:lang w:val="en-GB"/>
        </w:rPr>
        <w:t xml:space="preserve">or </w:t>
      </w:r>
      <w:r w:rsidR="003725C7" w:rsidRPr="00BA5A45">
        <w:rPr>
          <w:rFonts w:ascii="Times New Roman" w:hAnsi="Times New Roman"/>
          <w:sz w:val="24"/>
          <w:lang w:val="en-GB"/>
        </w:rPr>
        <w:t>in</w:t>
      </w:r>
      <w:r w:rsidR="00E901CC" w:rsidRPr="00BA5A45">
        <w:rPr>
          <w:rFonts w:ascii="Times New Roman" w:hAnsi="Times New Roman"/>
          <w:sz w:val="24"/>
          <w:lang w:val="en-GB"/>
        </w:rPr>
        <w:t xml:space="preserve"> subsequent correspondence were the </w:t>
      </w:r>
      <w:r w:rsidR="003725C7" w:rsidRPr="00BA5A45">
        <w:rPr>
          <w:rFonts w:ascii="Times New Roman" w:hAnsi="Times New Roman"/>
          <w:sz w:val="24"/>
          <w:lang w:val="en-GB"/>
        </w:rPr>
        <w:t>complainants</w:t>
      </w:r>
      <w:r w:rsidR="00E901CC" w:rsidRPr="00BA5A45">
        <w:rPr>
          <w:rFonts w:ascii="Times New Roman" w:hAnsi="Times New Roman"/>
          <w:sz w:val="24"/>
          <w:lang w:val="en-GB"/>
        </w:rPr>
        <w:t xml:space="preserve"> identified as </w:t>
      </w:r>
      <w:r w:rsidR="00E223D0" w:rsidRPr="00BA5A45">
        <w:rPr>
          <w:rFonts w:ascii="Times New Roman" w:hAnsi="Times New Roman"/>
          <w:sz w:val="24"/>
          <w:lang w:val="en-GB"/>
        </w:rPr>
        <w:t xml:space="preserve">sureties and </w:t>
      </w:r>
      <w:r w:rsidR="00E901CC" w:rsidRPr="00BA5A45">
        <w:rPr>
          <w:rFonts w:ascii="Times New Roman" w:hAnsi="Times New Roman"/>
          <w:sz w:val="24"/>
          <w:lang w:val="en-GB"/>
        </w:rPr>
        <w:t>co</w:t>
      </w:r>
      <w:r w:rsidR="00B05267" w:rsidRPr="00BA5A45">
        <w:rPr>
          <w:rFonts w:ascii="Times New Roman" w:hAnsi="Times New Roman"/>
          <w:sz w:val="24"/>
          <w:lang w:val="en-GB"/>
        </w:rPr>
        <w:t xml:space="preserve">-principal debtors or as having renounced the benefit of </w:t>
      </w:r>
      <w:r w:rsidR="00D008AF" w:rsidRPr="00BA5A45">
        <w:rPr>
          <w:rFonts w:ascii="Times New Roman" w:hAnsi="Times New Roman"/>
          <w:i/>
          <w:iCs/>
          <w:sz w:val="24"/>
          <w:lang w:val="en-GB"/>
        </w:rPr>
        <w:t>excus</w:t>
      </w:r>
      <w:r w:rsidR="00A312D7" w:rsidRPr="00BA5A45">
        <w:rPr>
          <w:rFonts w:ascii="Times New Roman" w:hAnsi="Times New Roman"/>
          <w:i/>
          <w:iCs/>
          <w:sz w:val="24"/>
          <w:lang w:val="en-GB"/>
        </w:rPr>
        <w:t>sion</w:t>
      </w:r>
      <w:r w:rsidR="00B05267" w:rsidRPr="00BA5A45">
        <w:rPr>
          <w:rFonts w:ascii="Times New Roman" w:hAnsi="Times New Roman"/>
          <w:i/>
          <w:iCs/>
          <w:sz w:val="24"/>
          <w:lang w:val="en-GB"/>
        </w:rPr>
        <w:t>.</w:t>
      </w:r>
    </w:p>
    <w:p w14:paraId="60140952" w14:textId="77777777" w:rsidR="00D81197" w:rsidRPr="00BA5A45" w:rsidRDefault="008C1C4B" w:rsidP="00F42946">
      <w:pPr>
        <w:spacing w:after="0" w:line="480" w:lineRule="auto"/>
        <w:ind w:firstLine="720"/>
        <w:jc w:val="both"/>
        <w:rPr>
          <w:rFonts w:ascii="Times New Roman" w:hAnsi="Times New Roman"/>
          <w:sz w:val="24"/>
          <w:lang w:val="en-GB"/>
        </w:rPr>
      </w:pPr>
      <w:r w:rsidRPr="00BA5A45">
        <w:rPr>
          <w:rFonts w:ascii="Times New Roman" w:hAnsi="Times New Roman"/>
          <w:sz w:val="24"/>
          <w:lang w:val="en-GB"/>
        </w:rPr>
        <w:t xml:space="preserve"> </w:t>
      </w:r>
    </w:p>
    <w:p w14:paraId="3DFE2AF9" w14:textId="68AEBCFD" w:rsidR="00391DAC" w:rsidRDefault="00B05267"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The</w:t>
      </w:r>
      <w:r w:rsidR="00D30419" w:rsidRPr="00BA5A45">
        <w:rPr>
          <w:rFonts w:ascii="Times New Roman" w:hAnsi="Times New Roman"/>
          <w:sz w:val="24"/>
          <w:lang w:val="en-GB"/>
        </w:rPr>
        <w:t xml:space="preserve"> property</w:t>
      </w:r>
      <w:r w:rsidR="008C1C4B" w:rsidRPr="00BA5A45">
        <w:rPr>
          <w:rFonts w:ascii="Times New Roman" w:hAnsi="Times New Roman"/>
          <w:sz w:val="24"/>
          <w:lang w:val="en-GB"/>
        </w:rPr>
        <w:t xml:space="preserve"> </w:t>
      </w:r>
      <w:r w:rsidRPr="00BA5A45">
        <w:rPr>
          <w:rFonts w:ascii="Times New Roman" w:hAnsi="Times New Roman"/>
          <w:sz w:val="24"/>
          <w:lang w:val="en-GB"/>
        </w:rPr>
        <w:t xml:space="preserve">they </w:t>
      </w:r>
      <w:r w:rsidR="008C1C4B" w:rsidRPr="00BA5A45">
        <w:rPr>
          <w:rFonts w:ascii="Times New Roman" w:hAnsi="Times New Roman"/>
          <w:sz w:val="24"/>
          <w:lang w:val="en-GB"/>
        </w:rPr>
        <w:t>provided was</w:t>
      </w:r>
      <w:r w:rsidR="00D30419" w:rsidRPr="00BA5A45">
        <w:rPr>
          <w:rFonts w:ascii="Times New Roman" w:hAnsi="Times New Roman"/>
          <w:sz w:val="24"/>
          <w:lang w:val="en-GB"/>
        </w:rPr>
        <w:t xml:space="preserve"> as security for the credit facility extended to </w:t>
      </w:r>
      <w:r w:rsidR="003B6656" w:rsidRPr="00BA5A45">
        <w:rPr>
          <w:rFonts w:ascii="Times New Roman" w:hAnsi="Times New Roman"/>
          <w:sz w:val="24"/>
          <w:lang w:val="en-GB"/>
        </w:rPr>
        <w:t>the debtor</w:t>
      </w:r>
      <w:r w:rsidR="00D30419" w:rsidRPr="00BA5A45">
        <w:rPr>
          <w:rFonts w:ascii="Times New Roman" w:hAnsi="Times New Roman"/>
          <w:sz w:val="24"/>
          <w:lang w:val="en-GB"/>
        </w:rPr>
        <w:t xml:space="preserve"> by N</w:t>
      </w:r>
      <w:r w:rsidR="0021782F" w:rsidRPr="00BA5A45">
        <w:rPr>
          <w:rFonts w:ascii="Times New Roman" w:hAnsi="Times New Roman"/>
          <w:sz w:val="24"/>
          <w:lang w:val="en-GB"/>
        </w:rPr>
        <w:t>FOL</w:t>
      </w:r>
      <w:r w:rsidR="00D30419" w:rsidRPr="00BA5A45">
        <w:rPr>
          <w:rFonts w:ascii="Times New Roman" w:hAnsi="Times New Roman"/>
          <w:sz w:val="24"/>
          <w:lang w:val="en-GB"/>
        </w:rPr>
        <w:t>. This is common cause from the facts of the case.</w:t>
      </w:r>
      <w:r w:rsidRPr="00BA5A45">
        <w:rPr>
          <w:rFonts w:ascii="Times New Roman" w:hAnsi="Times New Roman"/>
          <w:sz w:val="24"/>
          <w:lang w:val="en-GB"/>
        </w:rPr>
        <w:t xml:space="preserve"> </w:t>
      </w:r>
      <w:r w:rsidR="003725C7" w:rsidRPr="00BA5A45">
        <w:rPr>
          <w:rFonts w:ascii="Times New Roman" w:hAnsi="Times New Roman"/>
          <w:sz w:val="24"/>
          <w:lang w:val="en-GB"/>
        </w:rPr>
        <w:t>I</w:t>
      </w:r>
      <w:r w:rsidR="00657121" w:rsidRPr="00BA5A45">
        <w:rPr>
          <w:rFonts w:ascii="Times New Roman" w:hAnsi="Times New Roman"/>
          <w:sz w:val="24"/>
          <w:lang w:val="en-GB"/>
        </w:rPr>
        <w:t>t did not transfor</w:t>
      </w:r>
      <w:r w:rsidRPr="00BA5A45">
        <w:rPr>
          <w:rFonts w:ascii="Times New Roman" w:hAnsi="Times New Roman"/>
          <w:sz w:val="24"/>
          <w:lang w:val="en-GB"/>
        </w:rPr>
        <w:t xml:space="preserve">m the sureties into debtors of </w:t>
      </w:r>
      <w:r w:rsidR="00B31476" w:rsidRPr="00BA5A45">
        <w:rPr>
          <w:rFonts w:ascii="Times New Roman" w:hAnsi="Times New Roman"/>
          <w:sz w:val="24"/>
          <w:lang w:val="en-GB"/>
        </w:rPr>
        <w:t>NFOL;</w:t>
      </w:r>
      <w:r w:rsidR="003725C7" w:rsidRPr="00BA5A45">
        <w:rPr>
          <w:rFonts w:ascii="Times New Roman" w:hAnsi="Times New Roman"/>
          <w:sz w:val="24"/>
          <w:lang w:val="en-GB"/>
        </w:rPr>
        <w:t xml:space="preserve"> Celgrim </w:t>
      </w:r>
      <w:r w:rsidR="00AC27FC" w:rsidRPr="00BA5A45">
        <w:rPr>
          <w:rFonts w:ascii="Times New Roman" w:hAnsi="Times New Roman"/>
          <w:sz w:val="24"/>
          <w:lang w:val="en-GB"/>
        </w:rPr>
        <w:t xml:space="preserve">Bakeries </w:t>
      </w:r>
      <w:r w:rsidR="003725C7" w:rsidRPr="00BA5A45">
        <w:rPr>
          <w:rFonts w:ascii="Times New Roman" w:hAnsi="Times New Roman"/>
          <w:sz w:val="24"/>
          <w:lang w:val="en-GB"/>
        </w:rPr>
        <w:t>remained as the debtor</w:t>
      </w:r>
      <w:r w:rsidR="00657121" w:rsidRPr="00BA5A45">
        <w:rPr>
          <w:rFonts w:ascii="Times New Roman" w:hAnsi="Times New Roman"/>
          <w:sz w:val="24"/>
          <w:lang w:val="en-GB"/>
        </w:rPr>
        <w:t>.</w:t>
      </w:r>
      <w:r w:rsidR="00D30419" w:rsidRPr="00BA5A45">
        <w:rPr>
          <w:rFonts w:ascii="Times New Roman" w:hAnsi="Times New Roman"/>
          <w:sz w:val="24"/>
          <w:lang w:val="en-GB"/>
        </w:rPr>
        <w:t xml:space="preserve"> The appellant as a diligent legal practitioner </w:t>
      </w:r>
      <w:r w:rsidR="00D37010" w:rsidRPr="00BA5A45">
        <w:rPr>
          <w:rFonts w:ascii="Times New Roman" w:hAnsi="Times New Roman"/>
          <w:sz w:val="24"/>
          <w:lang w:val="en-GB"/>
        </w:rPr>
        <w:t xml:space="preserve">ought to have noticed that the </w:t>
      </w:r>
      <w:r w:rsidR="00F07FBC" w:rsidRPr="00BA5A45">
        <w:rPr>
          <w:rFonts w:ascii="Times New Roman" w:hAnsi="Times New Roman"/>
          <w:sz w:val="24"/>
          <w:lang w:val="en-GB"/>
        </w:rPr>
        <w:t>POA</w:t>
      </w:r>
      <w:r w:rsidR="00D30419" w:rsidRPr="00BA5A45">
        <w:rPr>
          <w:rFonts w:ascii="Times New Roman" w:hAnsi="Times New Roman"/>
          <w:sz w:val="24"/>
          <w:lang w:val="en-GB"/>
        </w:rPr>
        <w:t xml:space="preserve"> granted by the complainants was not truthful as it </w:t>
      </w:r>
      <w:r w:rsidR="00D30419" w:rsidRPr="00BA5A45">
        <w:rPr>
          <w:rFonts w:ascii="Times New Roman" w:hAnsi="Times New Roman"/>
          <w:sz w:val="24"/>
          <w:lang w:val="en-GB"/>
        </w:rPr>
        <w:lastRenderedPageBreak/>
        <w:t>portrayed them as debtors to N</w:t>
      </w:r>
      <w:r w:rsidR="00AC27FC" w:rsidRPr="00BA5A45">
        <w:rPr>
          <w:rFonts w:ascii="Times New Roman" w:hAnsi="Times New Roman"/>
          <w:sz w:val="24"/>
          <w:lang w:val="en-GB"/>
        </w:rPr>
        <w:t>FOL</w:t>
      </w:r>
      <w:r w:rsidR="00657121" w:rsidRPr="00BA5A45">
        <w:rPr>
          <w:rFonts w:ascii="Times New Roman" w:hAnsi="Times New Roman"/>
          <w:sz w:val="24"/>
          <w:lang w:val="en-GB"/>
        </w:rPr>
        <w:t xml:space="preserve"> when they were not</w:t>
      </w:r>
      <w:r w:rsidR="006D71F2" w:rsidRPr="00BA5A45">
        <w:rPr>
          <w:rFonts w:ascii="Times New Roman" w:hAnsi="Times New Roman"/>
          <w:sz w:val="24"/>
          <w:lang w:val="en-GB"/>
        </w:rPr>
        <w:t>. The</w:t>
      </w:r>
      <w:r w:rsidR="00970591" w:rsidRPr="00BA5A45">
        <w:rPr>
          <w:rFonts w:ascii="Times New Roman" w:hAnsi="Times New Roman"/>
          <w:sz w:val="24"/>
          <w:lang w:val="en-GB"/>
        </w:rPr>
        <w:t xml:space="preserve"> </w:t>
      </w:r>
      <w:r w:rsidR="006D71F2" w:rsidRPr="00BA5A45">
        <w:rPr>
          <w:rFonts w:ascii="Times New Roman" w:hAnsi="Times New Roman"/>
          <w:sz w:val="24"/>
          <w:lang w:val="en-GB"/>
        </w:rPr>
        <w:t>complainants were</w:t>
      </w:r>
      <w:r w:rsidR="00970591" w:rsidRPr="00BA5A45">
        <w:rPr>
          <w:rFonts w:ascii="Times New Roman" w:hAnsi="Times New Roman"/>
          <w:sz w:val="24"/>
          <w:lang w:val="en-GB"/>
        </w:rPr>
        <w:t xml:space="preserve"> sureties only and not co-principal </w:t>
      </w:r>
      <w:r w:rsidR="006D71F2" w:rsidRPr="00BA5A45">
        <w:rPr>
          <w:rFonts w:ascii="Times New Roman" w:hAnsi="Times New Roman"/>
          <w:sz w:val="24"/>
          <w:lang w:val="en-GB"/>
        </w:rPr>
        <w:t>debtors.</w:t>
      </w:r>
      <w:r w:rsidR="004A11AA" w:rsidRPr="00BA5A45">
        <w:rPr>
          <w:rFonts w:ascii="Times New Roman" w:hAnsi="Times New Roman"/>
          <w:sz w:val="24"/>
          <w:lang w:val="en-GB"/>
        </w:rPr>
        <w:t xml:space="preserve"> I</w:t>
      </w:r>
      <w:r w:rsidR="00D177BB" w:rsidRPr="00BA5A45">
        <w:rPr>
          <w:rFonts w:ascii="Times New Roman" w:hAnsi="Times New Roman"/>
          <w:sz w:val="24"/>
          <w:lang w:val="en-GB"/>
        </w:rPr>
        <w:t xml:space="preserve">t was never the appellant’s contention that </w:t>
      </w:r>
      <w:r w:rsidR="00F07FBC" w:rsidRPr="00BA5A45">
        <w:rPr>
          <w:rFonts w:ascii="Times New Roman" w:hAnsi="Times New Roman"/>
          <w:sz w:val="24"/>
          <w:lang w:val="en-GB"/>
        </w:rPr>
        <w:t xml:space="preserve">the </w:t>
      </w:r>
      <w:r w:rsidR="00D177BB" w:rsidRPr="00BA5A45">
        <w:rPr>
          <w:rFonts w:ascii="Times New Roman" w:hAnsi="Times New Roman"/>
          <w:sz w:val="24"/>
          <w:lang w:val="en-GB"/>
        </w:rPr>
        <w:t>complainants were co-principal debtors.</w:t>
      </w:r>
      <w:r w:rsidR="006D71F2" w:rsidRPr="00BA5A45">
        <w:rPr>
          <w:rFonts w:ascii="Times New Roman" w:hAnsi="Times New Roman"/>
          <w:sz w:val="24"/>
          <w:lang w:val="en-GB"/>
        </w:rPr>
        <w:t xml:space="preserve"> Any re</w:t>
      </w:r>
      <w:r w:rsidR="00657121" w:rsidRPr="00BA5A45">
        <w:rPr>
          <w:rFonts w:ascii="Times New Roman" w:hAnsi="Times New Roman"/>
          <w:sz w:val="24"/>
          <w:lang w:val="en-GB"/>
        </w:rPr>
        <w:t>ference to them as debtors was</w:t>
      </w:r>
      <w:r w:rsidR="006D71F2" w:rsidRPr="00BA5A45">
        <w:rPr>
          <w:rFonts w:ascii="Times New Roman" w:hAnsi="Times New Roman"/>
          <w:sz w:val="24"/>
          <w:lang w:val="en-GB"/>
        </w:rPr>
        <w:t xml:space="preserve"> thus wrong.</w:t>
      </w:r>
    </w:p>
    <w:p w14:paraId="1E3E5F5F" w14:textId="77777777" w:rsidR="00BA5A45" w:rsidRPr="00BA5A45" w:rsidRDefault="00BA5A45" w:rsidP="00F42946">
      <w:pPr>
        <w:spacing w:after="0" w:line="480" w:lineRule="auto"/>
        <w:ind w:firstLine="1134"/>
        <w:jc w:val="both"/>
        <w:rPr>
          <w:rFonts w:ascii="Times New Roman" w:hAnsi="Times New Roman"/>
          <w:sz w:val="24"/>
          <w:lang w:val="en-GB"/>
        </w:rPr>
      </w:pPr>
    </w:p>
    <w:p w14:paraId="5AC35AFC" w14:textId="4F7A089F" w:rsidR="00D30419" w:rsidRPr="00BA5A45" w:rsidRDefault="00D30419"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A</w:t>
      </w:r>
      <w:r w:rsidR="003725C7" w:rsidRPr="00BA5A45">
        <w:rPr>
          <w:rFonts w:ascii="Times New Roman" w:hAnsi="Times New Roman"/>
          <w:sz w:val="24"/>
          <w:lang w:val="en-GB"/>
        </w:rPr>
        <w:t xml:space="preserve">s aptly observed by the </w:t>
      </w:r>
      <w:r w:rsidR="00D177BB" w:rsidRPr="00BA5A45">
        <w:rPr>
          <w:rFonts w:ascii="Times New Roman" w:hAnsi="Times New Roman"/>
          <w:sz w:val="24"/>
          <w:lang w:val="en-GB"/>
        </w:rPr>
        <w:t>T</w:t>
      </w:r>
      <w:r w:rsidR="003725C7" w:rsidRPr="00BA5A45">
        <w:rPr>
          <w:rFonts w:ascii="Times New Roman" w:hAnsi="Times New Roman"/>
          <w:sz w:val="24"/>
          <w:lang w:val="en-GB"/>
        </w:rPr>
        <w:t xml:space="preserve">ribunal the </w:t>
      </w:r>
      <w:r w:rsidR="00651012" w:rsidRPr="00BA5A45">
        <w:rPr>
          <w:rFonts w:ascii="Times New Roman" w:hAnsi="Times New Roman"/>
          <w:sz w:val="24"/>
          <w:lang w:val="en-GB"/>
        </w:rPr>
        <w:t>POA granted</w:t>
      </w:r>
      <w:r w:rsidR="00B63A81" w:rsidRPr="00BA5A45">
        <w:rPr>
          <w:rFonts w:ascii="Times New Roman" w:hAnsi="Times New Roman"/>
          <w:sz w:val="24"/>
          <w:lang w:val="en-GB"/>
        </w:rPr>
        <w:t xml:space="preserve"> by the complainants is written in the singular </w:t>
      </w:r>
      <w:r w:rsidR="00651012" w:rsidRPr="00BA5A45">
        <w:rPr>
          <w:rFonts w:ascii="Times New Roman" w:hAnsi="Times New Roman"/>
          <w:sz w:val="24"/>
          <w:lang w:val="en-GB"/>
        </w:rPr>
        <w:t>first-person</w:t>
      </w:r>
      <w:r w:rsidR="00B63A81" w:rsidRPr="00BA5A45">
        <w:rPr>
          <w:rFonts w:ascii="Times New Roman" w:hAnsi="Times New Roman"/>
          <w:sz w:val="24"/>
          <w:lang w:val="en-GB"/>
        </w:rPr>
        <w:t xml:space="preserve"> pronoun whereas there are two people declaring themselves as sureties. This supports the contentio</w:t>
      </w:r>
      <w:r w:rsidR="00D37010" w:rsidRPr="00BA5A45">
        <w:rPr>
          <w:rFonts w:ascii="Times New Roman" w:hAnsi="Times New Roman"/>
          <w:sz w:val="24"/>
          <w:lang w:val="en-GB"/>
        </w:rPr>
        <w:t>n by the complainants that the power of a</w:t>
      </w:r>
      <w:r w:rsidR="00B63A81" w:rsidRPr="00BA5A45">
        <w:rPr>
          <w:rFonts w:ascii="Times New Roman" w:hAnsi="Times New Roman"/>
          <w:sz w:val="24"/>
          <w:lang w:val="en-GB"/>
        </w:rPr>
        <w:t xml:space="preserve">ttorney </w:t>
      </w:r>
      <w:r w:rsidR="00657121" w:rsidRPr="00BA5A45">
        <w:rPr>
          <w:rFonts w:ascii="Times New Roman" w:hAnsi="Times New Roman"/>
          <w:sz w:val="24"/>
          <w:lang w:val="en-GB"/>
        </w:rPr>
        <w:t xml:space="preserve">had been brought </w:t>
      </w:r>
      <w:r w:rsidR="00B05267" w:rsidRPr="00BA5A45">
        <w:rPr>
          <w:rFonts w:ascii="Times New Roman" w:hAnsi="Times New Roman"/>
          <w:sz w:val="24"/>
          <w:lang w:val="en-GB"/>
        </w:rPr>
        <w:t>by Nyatanga</w:t>
      </w:r>
      <w:r w:rsidR="006E75F1" w:rsidRPr="00BA5A45">
        <w:rPr>
          <w:rFonts w:ascii="Times New Roman" w:hAnsi="Times New Roman"/>
          <w:sz w:val="24"/>
          <w:lang w:val="en-GB"/>
        </w:rPr>
        <w:t xml:space="preserve"> who was representing Celgrim Bakeries for their signatures. In the circumstances, it cannot be </w:t>
      </w:r>
      <w:r w:rsidR="003725C7" w:rsidRPr="00BA5A45">
        <w:rPr>
          <w:rFonts w:ascii="Times New Roman" w:hAnsi="Times New Roman"/>
          <w:sz w:val="24"/>
          <w:lang w:val="en-GB"/>
        </w:rPr>
        <w:t>inferred</w:t>
      </w:r>
      <w:r w:rsidR="006E75F1" w:rsidRPr="00BA5A45">
        <w:rPr>
          <w:rFonts w:ascii="Times New Roman" w:hAnsi="Times New Roman"/>
          <w:sz w:val="24"/>
          <w:lang w:val="en-GB"/>
        </w:rPr>
        <w:t xml:space="preserve"> that the complainants intended to bind themselves as sureties and co-principal debtors to N</w:t>
      </w:r>
      <w:r w:rsidR="00D177BB" w:rsidRPr="00BA5A45">
        <w:rPr>
          <w:rFonts w:ascii="Times New Roman" w:hAnsi="Times New Roman"/>
          <w:sz w:val="24"/>
          <w:lang w:val="en-GB"/>
        </w:rPr>
        <w:t>FOL</w:t>
      </w:r>
      <w:r w:rsidR="006E75F1" w:rsidRPr="00BA5A45">
        <w:rPr>
          <w:rFonts w:ascii="Times New Roman" w:hAnsi="Times New Roman"/>
          <w:sz w:val="24"/>
          <w:lang w:val="en-GB"/>
        </w:rPr>
        <w:t xml:space="preserve">. </w:t>
      </w:r>
      <w:r w:rsidR="00512DF8" w:rsidRPr="00BA5A45">
        <w:rPr>
          <w:rFonts w:ascii="Times New Roman" w:hAnsi="Times New Roman"/>
          <w:sz w:val="24"/>
          <w:lang w:val="en-GB"/>
        </w:rPr>
        <w:t>It follows that they did not renounce the</w:t>
      </w:r>
      <w:r w:rsidR="003725C7" w:rsidRPr="00BA5A45">
        <w:rPr>
          <w:rFonts w:ascii="Times New Roman" w:hAnsi="Times New Roman"/>
          <w:sz w:val="24"/>
          <w:lang w:val="en-GB"/>
        </w:rPr>
        <w:t xml:space="preserve"> benefit</w:t>
      </w:r>
      <w:r w:rsidR="00512DF8" w:rsidRPr="00BA5A45">
        <w:rPr>
          <w:rFonts w:ascii="Times New Roman" w:hAnsi="Times New Roman"/>
          <w:sz w:val="24"/>
          <w:lang w:val="en-GB"/>
        </w:rPr>
        <w:t xml:space="preserve"> of </w:t>
      </w:r>
      <w:r w:rsidR="00A312D7" w:rsidRPr="00BA5A45">
        <w:rPr>
          <w:rFonts w:ascii="Times New Roman" w:hAnsi="Times New Roman"/>
          <w:i/>
          <w:iCs/>
          <w:sz w:val="24"/>
          <w:lang w:val="en-GB"/>
        </w:rPr>
        <w:t>ex</w:t>
      </w:r>
      <w:r w:rsidR="00D008AF" w:rsidRPr="00BA5A45">
        <w:rPr>
          <w:rFonts w:ascii="Times New Roman" w:hAnsi="Times New Roman"/>
          <w:i/>
          <w:iCs/>
          <w:sz w:val="24"/>
          <w:lang w:val="en-GB"/>
        </w:rPr>
        <w:t>cus</w:t>
      </w:r>
      <w:r w:rsidR="00A312D7" w:rsidRPr="00BA5A45">
        <w:rPr>
          <w:rFonts w:ascii="Times New Roman" w:hAnsi="Times New Roman"/>
          <w:i/>
          <w:iCs/>
          <w:sz w:val="24"/>
          <w:lang w:val="en-GB"/>
        </w:rPr>
        <w:t>sion</w:t>
      </w:r>
      <w:r w:rsidR="00512DF8" w:rsidRPr="00BA5A45">
        <w:rPr>
          <w:rFonts w:ascii="Times New Roman" w:hAnsi="Times New Roman"/>
          <w:sz w:val="24"/>
          <w:lang w:val="en-GB"/>
        </w:rPr>
        <w:t>. The appellant therefore ought to have sued the principal debtor, Celgrim Bakeries, before proceeding to sell the complainants’ property.</w:t>
      </w:r>
    </w:p>
    <w:p w14:paraId="270B9629" w14:textId="77777777" w:rsidR="00D81197" w:rsidRPr="00BA5A45" w:rsidRDefault="005E0B06" w:rsidP="00F42946">
      <w:pPr>
        <w:spacing w:after="0" w:line="480" w:lineRule="auto"/>
        <w:ind w:firstLine="720"/>
        <w:jc w:val="both"/>
        <w:rPr>
          <w:rFonts w:ascii="Times New Roman" w:hAnsi="Times New Roman"/>
          <w:sz w:val="24"/>
          <w:lang w:val="en-GB"/>
        </w:rPr>
      </w:pPr>
      <w:r w:rsidRPr="00BA5A45">
        <w:rPr>
          <w:rFonts w:ascii="Times New Roman" w:hAnsi="Times New Roman"/>
          <w:sz w:val="24"/>
          <w:lang w:val="en-GB"/>
        </w:rPr>
        <w:t xml:space="preserve"> </w:t>
      </w:r>
    </w:p>
    <w:p w14:paraId="13866F29" w14:textId="54CAA611" w:rsidR="00490075" w:rsidRPr="00BA5A45" w:rsidRDefault="003725C7"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W</w:t>
      </w:r>
      <w:r w:rsidR="005E0B06" w:rsidRPr="00BA5A45">
        <w:rPr>
          <w:rFonts w:ascii="Times New Roman" w:hAnsi="Times New Roman"/>
          <w:sz w:val="24"/>
          <w:lang w:val="en-GB"/>
        </w:rPr>
        <w:t>hilst</w:t>
      </w:r>
      <w:r w:rsidR="00512DF8" w:rsidRPr="00BA5A45">
        <w:rPr>
          <w:rFonts w:ascii="Times New Roman" w:hAnsi="Times New Roman"/>
          <w:sz w:val="24"/>
          <w:lang w:val="en-GB"/>
        </w:rPr>
        <w:t xml:space="preserve"> it </w:t>
      </w:r>
      <w:r w:rsidR="00EF7F42" w:rsidRPr="00BA5A45">
        <w:rPr>
          <w:rFonts w:ascii="Times New Roman" w:hAnsi="Times New Roman"/>
          <w:sz w:val="24"/>
          <w:lang w:val="en-GB"/>
        </w:rPr>
        <w:t>is true that the benefit of</w:t>
      </w:r>
      <w:r w:rsidR="00EF7F42" w:rsidRPr="00BA5A45">
        <w:rPr>
          <w:rFonts w:ascii="Times New Roman" w:hAnsi="Times New Roman"/>
          <w:i/>
          <w:iCs/>
          <w:sz w:val="24"/>
          <w:lang w:val="en-GB"/>
        </w:rPr>
        <w:t xml:space="preserve"> </w:t>
      </w:r>
      <w:r w:rsidR="004A11AA" w:rsidRPr="00BA5A45">
        <w:rPr>
          <w:rFonts w:ascii="Times New Roman" w:hAnsi="Times New Roman"/>
          <w:i/>
          <w:iCs/>
          <w:sz w:val="24"/>
          <w:lang w:val="en-GB"/>
        </w:rPr>
        <w:t>excus</w:t>
      </w:r>
      <w:r w:rsidR="00A312D7" w:rsidRPr="00BA5A45">
        <w:rPr>
          <w:rFonts w:ascii="Times New Roman" w:hAnsi="Times New Roman"/>
          <w:i/>
          <w:iCs/>
          <w:sz w:val="24"/>
          <w:lang w:val="en-GB"/>
        </w:rPr>
        <w:t>sion</w:t>
      </w:r>
      <w:r w:rsidR="00EF7F42" w:rsidRPr="00BA5A45">
        <w:rPr>
          <w:rFonts w:ascii="Times New Roman" w:hAnsi="Times New Roman"/>
          <w:sz w:val="24"/>
          <w:lang w:val="en-GB"/>
        </w:rPr>
        <w:t xml:space="preserve"> is a defence, it could only be </w:t>
      </w:r>
      <w:r w:rsidRPr="00BA5A45">
        <w:rPr>
          <w:rFonts w:ascii="Times New Roman" w:hAnsi="Times New Roman"/>
          <w:sz w:val="24"/>
          <w:lang w:val="en-GB"/>
        </w:rPr>
        <w:t>available</w:t>
      </w:r>
      <w:r w:rsidR="00EF7F42" w:rsidRPr="00BA5A45">
        <w:rPr>
          <w:rFonts w:ascii="Times New Roman" w:hAnsi="Times New Roman"/>
          <w:sz w:val="24"/>
          <w:lang w:val="en-GB"/>
        </w:rPr>
        <w:t xml:space="preserve"> where legal action is </w:t>
      </w:r>
      <w:r w:rsidR="00B05267" w:rsidRPr="00BA5A45">
        <w:rPr>
          <w:rFonts w:ascii="Times New Roman" w:hAnsi="Times New Roman"/>
          <w:sz w:val="24"/>
          <w:lang w:val="en-GB"/>
        </w:rPr>
        <w:t>t</w:t>
      </w:r>
      <w:r w:rsidR="00EF7F42" w:rsidRPr="00BA5A45">
        <w:rPr>
          <w:rFonts w:ascii="Times New Roman" w:hAnsi="Times New Roman"/>
          <w:sz w:val="24"/>
          <w:lang w:val="en-GB"/>
        </w:rPr>
        <w:t xml:space="preserve">aken </w:t>
      </w:r>
      <w:r w:rsidRPr="00BA5A45">
        <w:rPr>
          <w:rFonts w:ascii="Times New Roman" w:hAnsi="Times New Roman"/>
          <w:sz w:val="24"/>
          <w:lang w:val="en-GB"/>
        </w:rPr>
        <w:t>against</w:t>
      </w:r>
      <w:r w:rsidR="00EF7F42" w:rsidRPr="00BA5A45">
        <w:rPr>
          <w:rFonts w:ascii="Times New Roman" w:hAnsi="Times New Roman"/>
          <w:sz w:val="24"/>
          <w:lang w:val="en-GB"/>
        </w:rPr>
        <w:t xml:space="preserve"> the surety. In </w:t>
      </w:r>
      <w:r w:rsidR="00EF7F42" w:rsidRPr="00BA5A45">
        <w:rPr>
          <w:rFonts w:ascii="Times New Roman" w:hAnsi="Times New Roman"/>
          <w:i/>
          <w:iCs/>
          <w:sz w:val="24"/>
          <w:lang w:val="en-GB"/>
        </w:rPr>
        <w:t>casu</w:t>
      </w:r>
      <w:r w:rsidR="00EF7F42" w:rsidRPr="00BA5A45">
        <w:rPr>
          <w:rFonts w:ascii="Times New Roman" w:hAnsi="Times New Roman"/>
          <w:sz w:val="24"/>
          <w:lang w:val="en-GB"/>
        </w:rPr>
        <w:t xml:space="preserve">, no suit was taken </w:t>
      </w:r>
      <w:r w:rsidR="00B05267" w:rsidRPr="00BA5A45">
        <w:rPr>
          <w:rFonts w:ascii="Times New Roman" w:hAnsi="Times New Roman"/>
          <w:sz w:val="24"/>
          <w:lang w:val="en-GB"/>
        </w:rPr>
        <w:t>against</w:t>
      </w:r>
      <w:r w:rsidR="00EF7F42" w:rsidRPr="00BA5A45">
        <w:rPr>
          <w:rFonts w:ascii="Times New Roman" w:hAnsi="Times New Roman"/>
          <w:sz w:val="24"/>
          <w:lang w:val="en-GB"/>
        </w:rPr>
        <w:t xml:space="preserve"> them instead </w:t>
      </w:r>
      <w:r w:rsidR="00F07FBC" w:rsidRPr="00BA5A45">
        <w:rPr>
          <w:rFonts w:ascii="Times New Roman" w:hAnsi="Times New Roman"/>
          <w:sz w:val="24"/>
          <w:lang w:val="en-GB"/>
        </w:rPr>
        <w:t xml:space="preserve">the </w:t>
      </w:r>
      <w:r w:rsidR="00EF7F42" w:rsidRPr="00BA5A45">
        <w:rPr>
          <w:rFonts w:ascii="Times New Roman" w:hAnsi="Times New Roman"/>
          <w:sz w:val="24"/>
          <w:lang w:val="en-GB"/>
        </w:rPr>
        <w:t xml:space="preserve">appellant </w:t>
      </w:r>
      <w:r w:rsidR="00F07FBC" w:rsidRPr="00BA5A45">
        <w:rPr>
          <w:rFonts w:ascii="Times New Roman" w:hAnsi="Times New Roman"/>
          <w:sz w:val="24"/>
          <w:lang w:val="en-GB"/>
        </w:rPr>
        <w:t>just</w:t>
      </w:r>
      <w:r w:rsidRPr="00BA5A45">
        <w:rPr>
          <w:rFonts w:ascii="Times New Roman" w:hAnsi="Times New Roman"/>
          <w:sz w:val="24"/>
          <w:lang w:val="en-GB"/>
        </w:rPr>
        <w:t xml:space="preserve"> </w:t>
      </w:r>
      <w:r w:rsidR="00EF7F42" w:rsidRPr="00BA5A45">
        <w:rPr>
          <w:rFonts w:ascii="Times New Roman" w:hAnsi="Times New Roman"/>
          <w:sz w:val="24"/>
          <w:lang w:val="en-GB"/>
        </w:rPr>
        <w:t xml:space="preserve">proceeded to sell the property despite a </w:t>
      </w:r>
      <w:r w:rsidR="00B05267" w:rsidRPr="00BA5A45">
        <w:rPr>
          <w:rFonts w:ascii="Times New Roman" w:hAnsi="Times New Roman"/>
          <w:sz w:val="24"/>
          <w:lang w:val="en-GB"/>
        </w:rPr>
        <w:t>flurry</w:t>
      </w:r>
      <w:r w:rsidR="00EF7F42" w:rsidRPr="00BA5A45">
        <w:rPr>
          <w:rFonts w:ascii="Times New Roman" w:hAnsi="Times New Roman"/>
          <w:sz w:val="24"/>
          <w:lang w:val="en-GB"/>
        </w:rPr>
        <w:t xml:space="preserve"> of correspondence between and amongst the parties involved showing that the </w:t>
      </w:r>
      <w:r w:rsidR="00B05267" w:rsidRPr="00BA5A45">
        <w:rPr>
          <w:rFonts w:ascii="Times New Roman" w:hAnsi="Times New Roman"/>
          <w:sz w:val="24"/>
          <w:lang w:val="en-GB"/>
        </w:rPr>
        <w:t>complainants</w:t>
      </w:r>
      <w:r w:rsidR="00EF7F42" w:rsidRPr="00BA5A45">
        <w:rPr>
          <w:rFonts w:ascii="Times New Roman" w:hAnsi="Times New Roman"/>
          <w:sz w:val="24"/>
          <w:lang w:val="en-GB"/>
        </w:rPr>
        <w:t xml:space="preserve"> were not consenting to the disposal of their property</w:t>
      </w:r>
      <w:r w:rsidR="00D177BB" w:rsidRPr="00BA5A45">
        <w:rPr>
          <w:rFonts w:ascii="Times New Roman" w:hAnsi="Times New Roman"/>
          <w:sz w:val="24"/>
          <w:lang w:val="en-GB"/>
        </w:rPr>
        <w:t xml:space="preserve">. </w:t>
      </w:r>
      <w:r w:rsidR="00F07FBC" w:rsidRPr="00BA5A45">
        <w:rPr>
          <w:rFonts w:ascii="Times New Roman" w:hAnsi="Times New Roman"/>
          <w:sz w:val="24"/>
          <w:lang w:val="en-GB"/>
        </w:rPr>
        <w:t>T</w:t>
      </w:r>
      <w:r w:rsidR="00D177BB" w:rsidRPr="00BA5A45">
        <w:rPr>
          <w:rFonts w:ascii="Times New Roman" w:hAnsi="Times New Roman"/>
          <w:sz w:val="24"/>
          <w:lang w:val="en-GB"/>
        </w:rPr>
        <w:t>he correspondence also shows that</w:t>
      </w:r>
      <w:r w:rsidR="00EF7F42" w:rsidRPr="00BA5A45">
        <w:rPr>
          <w:rFonts w:ascii="Times New Roman" w:hAnsi="Times New Roman"/>
          <w:sz w:val="24"/>
          <w:lang w:val="en-GB"/>
        </w:rPr>
        <w:t xml:space="preserve"> the debtor had put some assets at the disposal of </w:t>
      </w:r>
      <w:r w:rsidR="00B05267" w:rsidRPr="00BA5A45">
        <w:rPr>
          <w:rFonts w:ascii="Times New Roman" w:hAnsi="Times New Roman"/>
          <w:sz w:val="24"/>
          <w:lang w:val="en-GB"/>
        </w:rPr>
        <w:t>the creditor which would have liquidated</w:t>
      </w:r>
      <w:r w:rsidR="00EF7F42" w:rsidRPr="00BA5A45">
        <w:rPr>
          <w:rFonts w:ascii="Times New Roman" w:hAnsi="Times New Roman"/>
          <w:sz w:val="24"/>
          <w:lang w:val="en-GB"/>
        </w:rPr>
        <w:t xml:space="preserve"> the debt or at the very least reduced the </w:t>
      </w:r>
      <w:r w:rsidR="00B05267" w:rsidRPr="00BA5A45">
        <w:rPr>
          <w:rFonts w:ascii="Times New Roman" w:hAnsi="Times New Roman"/>
          <w:sz w:val="24"/>
          <w:lang w:val="en-GB"/>
        </w:rPr>
        <w:t>in</w:t>
      </w:r>
      <w:r w:rsidR="00EF7F42" w:rsidRPr="00BA5A45">
        <w:rPr>
          <w:rFonts w:ascii="Times New Roman" w:hAnsi="Times New Roman"/>
          <w:sz w:val="24"/>
          <w:lang w:val="en-GB"/>
        </w:rPr>
        <w:t>debt</w:t>
      </w:r>
      <w:r w:rsidR="00B05267" w:rsidRPr="00BA5A45">
        <w:rPr>
          <w:rFonts w:ascii="Times New Roman" w:hAnsi="Times New Roman"/>
          <w:sz w:val="24"/>
          <w:lang w:val="en-GB"/>
        </w:rPr>
        <w:t xml:space="preserve">ness. </w:t>
      </w:r>
      <w:r w:rsidR="004A11AA" w:rsidRPr="00BA5A45">
        <w:rPr>
          <w:rFonts w:ascii="Times New Roman" w:hAnsi="Times New Roman"/>
          <w:sz w:val="24"/>
          <w:lang w:val="en-GB"/>
        </w:rPr>
        <w:t>The T</w:t>
      </w:r>
      <w:r w:rsidR="00851DA3">
        <w:rPr>
          <w:rFonts w:ascii="Times New Roman" w:hAnsi="Times New Roman"/>
          <w:sz w:val="24"/>
          <w:lang w:val="en-GB"/>
        </w:rPr>
        <w:t>ribunal correctly</w:t>
      </w:r>
      <w:r w:rsidR="00F07FBC" w:rsidRPr="00BA5A45">
        <w:rPr>
          <w:rFonts w:ascii="Times New Roman" w:hAnsi="Times New Roman"/>
          <w:sz w:val="24"/>
          <w:lang w:val="en-GB"/>
        </w:rPr>
        <w:t xml:space="preserve"> held that i</w:t>
      </w:r>
      <w:r w:rsidR="00B05267" w:rsidRPr="00BA5A45">
        <w:rPr>
          <w:rFonts w:ascii="Times New Roman" w:hAnsi="Times New Roman"/>
          <w:sz w:val="24"/>
          <w:lang w:val="en-GB"/>
        </w:rPr>
        <w:t>n the circumstances it</w:t>
      </w:r>
      <w:r w:rsidR="00EF7F42" w:rsidRPr="00BA5A45">
        <w:rPr>
          <w:rFonts w:ascii="Times New Roman" w:hAnsi="Times New Roman"/>
          <w:sz w:val="24"/>
          <w:lang w:val="en-GB"/>
        </w:rPr>
        <w:t xml:space="preserve"> was </w:t>
      </w:r>
      <w:r w:rsidR="00E93317" w:rsidRPr="00BA5A45">
        <w:rPr>
          <w:rFonts w:ascii="Times New Roman" w:hAnsi="Times New Roman"/>
          <w:sz w:val="24"/>
          <w:lang w:val="en-GB"/>
        </w:rPr>
        <w:t xml:space="preserve">highly </w:t>
      </w:r>
      <w:r w:rsidR="00B05267" w:rsidRPr="00BA5A45">
        <w:rPr>
          <w:rFonts w:ascii="Times New Roman" w:hAnsi="Times New Roman"/>
          <w:sz w:val="24"/>
          <w:lang w:val="en-GB"/>
        </w:rPr>
        <w:t>improper for</w:t>
      </w:r>
      <w:r w:rsidR="00512DF8" w:rsidRPr="00BA5A45">
        <w:rPr>
          <w:rFonts w:ascii="Times New Roman" w:hAnsi="Times New Roman"/>
          <w:sz w:val="24"/>
          <w:lang w:val="en-GB"/>
        </w:rPr>
        <w:t xml:space="preserve"> the appellant to </w:t>
      </w:r>
      <w:r w:rsidR="00D177BB" w:rsidRPr="00BA5A45">
        <w:rPr>
          <w:rFonts w:ascii="Times New Roman" w:hAnsi="Times New Roman"/>
          <w:sz w:val="24"/>
          <w:lang w:val="en-GB"/>
        </w:rPr>
        <w:t>decline to accept the equipment tendered by the debtor in settlement o</w:t>
      </w:r>
      <w:r w:rsidR="00851DA3">
        <w:rPr>
          <w:rFonts w:ascii="Times New Roman" w:hAnsi="Times New Roman"/>
          <w:sz w:val="24"/>
          <w:lang w:val="en-GB"/>
        </w:rPr>
        <w:t>f the debt and instead insisted</w:t>
      </w:r>
      <w:r w:rsidR="00D177BB" w:rsidRPr="00BA5A45">
        <w:rPr>
          <w:rFonts w:ascii="Times New Roman" w:hAnsi="Times New Roman"/>
          <w:sz w:val="24"/>
          <w:lang w:val="en-GB"/>
        </w:rPr>
        <w:t xml:space="preserve"> on </w:t>
      </w:r>
      <w:r w:rsidR="00512DF8" w:rsidRPr="00BA5A45">
        <w:rPr>
          <w:rFonts w:ascii="Times New Roman" w:hAnsi="Times New Roman"/>
          <w:sz w:val="24"/>
          <w:lang w:val="en-GB"/>
        </w:rPr>
        <w:t>sell</w:t>
      </w:r>
      <w:r w:rsidR="00D177BB" w:rsidRPr="00BA5A45">
        <w:rPr>
          <w:rFonts w:ascii="Times New Roman" w:hAnsi="Times New Roman"/>
          <w:sz w:val="24"/>
          <w:lang w:val="en-GB"/>
        </w:rPr>
        <w:t>ing</w:t>
      </w:r>
      <w:r w:rsidR="00512DF8" w:rsidRPr="00BA5A45">
        <w:rPr>
          <w:rFonts w:ascii="Times New Roman" w:hAnsi="Times New Roman"/>
          <w:sz w:val="24"/>
          <w:lang w:val="en-GB"/>
        </w:rPr>
        <w:t xml:space="preserve"> the </w:t>
      </w:r>
      <w:r w:rsidR="00D177BB" w:rsidRPr="00BA5A45">
        <w:rPr>
          <w:rFonts w:ascii="Times New Roman" w:hAnsi="Times New Roman"/>
          <w:sz w:val="24"/>
          <w:lang w:val="en-GB"/>
        </w:rPr>
        <w:t>sureties</w:t>
      </w:r>
      <w:r w:rsidR="00476D4D" w:rsidRPr="00BA5A45">
        <w:rPr>
          <w:rFonts w:ascii="Times New Roman" w:hAnsi="Times New Roman"/>
          <w:sz w:val="24"/>
          <w:lang w:val="en-GB"/>
        </w:rPr>
        <w:t>’</w:t>
      </w:r>
      <w:r w:rsidR="004A11AA" w:rsidRPr="00BA5A45">
        <w:rPr>
          <w:rFonts w:ascii="Times New Roman" w:hAnsi="Times New Roman"/>
          <w:sz w:val="24"/>
          <w:lang w:val="en-GB"/>
        </w:rPr>
        <w:t xml:space="preserve"> property without suing</w:t>
      </w:r>
      <w:r w:rsidR="00512DF8" w:rsidRPr="00BA5A45">
        <w:rPr>
          <w:rFonts w:ascii="Times New Roman" w:hAnsi="Times New Roman"/>
          <w:sz w:val="24"/>
          <w:lang w:val="en-GB"/>
        </w:rPr>
        <w:t xml:space="preserve"> the principal debtor first.  There </w:t>
      </w:r>
      <w:r w:rsidR="00476D4D" w:rsidRPr="00BA5A45">
        <w:rPr>
          <w:rFonts w:ascii="Times New Roman" w:hAnsi="Times New Roman"/>
          <w:sz w:val="24"/>
          <w:lang w:val="en-GB"/>
        </w:rPr>
        <w:t>was</w:t>
      </w:r>
      <w:r w:rsidR="00512DF8" w:rsidRPr="00BA5A45">
        <w:rPr>
          <w:rFonts w:ascii="Times New Roman" w:hAnsi="Times New Roman"/>
          <w:sz w:val="24"/>
          <w:lang w:val="en-GB"/>
        </w:rPr>
        <w:t xml:space="preserve"> no justification for the appellant’s refusal to accept the offer by </w:t>
      </w:r>
      <w:r w:rsidR="00500D46" w:rsidRPr="00BA5A45">
        <w:rPr>
          <w:rFonts w:ascii="Times New Roman" w:hAnsi="Times New Roman"/>
          <w:sz w:val="24"/>
          <w:lang w:val="en-GB"/>
        </w:rPr>
        <w:t xml:space="preserve">Celgrim Bakeries, whose duty it was to settle the </w:t>
      </w:r>
      <w:r w:rsidR="00500D46" w:rsidRPr="00BA5A45">
        <w:rPr>
          <w:rFonts w:ascii="Times New Roman" w:hAnsi="Times New Roman"/>
          <w:sz w:val="24"/>
          <w:lang w:val="en-GB"/>
        </w:rPr>
        <w:lastRenderedPageBreak/>
        <w:t xml:space="preserve">debt </w:t>
      </w:r>
      <w:r w:rsidR="004A11AA" w:rsidRPr="00BA5A45">
        <w:rPr>
          <w:rFonts w:ascii="Times New Roman" w:hAnsi="Times New Roman"/>
          <w:sz w:val="24"/>
          <w:lang w:val="en-GB"/>
        </w:rPr>
        <w:t>as the principal debtor.</w:t>
      </w:r>
      <w:r w:rsidR="00500D46" w:rsidRPr="00BA5A45">
        <w:rPr>
          <w:rFonts w:ascii="Times New Roman" w:hAnsi="Times New Roman"/>
          <w:sz w:val="24"/>
          <w:lang w:val="en-GB"/>
        </w:rPr>
        <w:t xml:space="preserve"> </w:t>
      </w:r>
      <w:r w:rsidR="00B05267" w:rsidRPr="00BA5A45">
        <w:rPr>
          <w:rFonts w:ascii="Times New Roman" w:hAnsi="Times New Roman"/>
          <w:sz w:val="24"/>
          <w:lang w:val="en-GB"/>
        </w:rPr>
        <w:t xml:space="preserve"> </w:t>
      </w:r>
      <w:r w:rsidR="009C0DF4" w:rsidRPr="00BA5A45">
        <w:rPr>
          <w:rFonts w:ascii="Times New Roman" w:hAnsi="Times New Roman"/>
          <w:sz w:val="24"/>
          <w:lang w:val="en-GB"/>
        </w:rPr>
        <w:t>Unfortunately,</w:t>
      </w:r>
      <w:r w:rsidR="00B05267" w:rsidRPr="00BA5A45">
        <w:rPr>
          <w:rFonts w:ascii="Times New Roman" w:hAnsi="Times New Roman"/>
          <w:sz w:val="24"/>
          <w:lang w:val="en-GB"/>
        </w:rPr>
        <w:t xml:space="preserve"> the appellant</w:t>
      </w:r>
      <w:r w:rsidR="0021782F" w:rsidRPr="00BA5A45">
        <w:rPr>
          <w:rFonts w:ascii="Times New Roman" w:hAnsi="Times New Roman"/>
          <w:sz w:val="24"/>
          <w:lang w:val="en-GB"/>
        </w:rPr>
        <w:t>,</w:t>
      </w:r>
      <w:r w:rsidR="00B05267" w:rsidRPr="00BA5A45">
        <w:rPr>
          <w:rFonts w:ascii="Times New Roman" w:hAnsi="Times New Roman"/>
          <w:sz w:val="24"/>
          <w:lang w:val="en-GB"/>
        </w:rPr>
        <w:t xml:space="preserve"> in haste to satisfy the needs of his more affluent principal</w:t>
      </w:r>
      <w:r w:rsidR="0021782F" w:rsidRPr="00BA5A45">
        <w:rPr>
          <w:rFonts w:ascii="Times New Roman" w:hAnsi="Times New Roman"/>
          <w:sz w:val="24"/>
          <w:lang w:val="en-GB"/>
        </w:rPr>
        <w:t>,</w:t>
      </w:r>
      <w:r w:rsidR="00B05267" w:rsidRPr="00BA5A45">
        <w:rPr>
          <w:rFonts w:ascii="Times New Roman" w:hAnsi="Times New Roman"/>
          <w:sz w:val="24"/>
          <w:lang w:val="en-GB"/>
        </w:rPr>
        <w:t xml:space="preserve"> opted to prejudice the vulnerable principal</w:t>
      </w:r>
      <w:r w:rsidR="009C0DF4" w:rsidRPr="00BA5A45">
        <w:rPr>
          <w:rFonts w:ascii="Times New Roman" w:hAnsi="Times New Roman"/>
          <w:sz w:val="24"/>
          <w:lang w:val="en-GB"/>
        </w:rPr>
        <w:t>s</w:t>
      </w:r>
      <w:r w:rsidR="00B05267" w:rsidRPr="00BA5A45">
        <w:rPr>
          <w:rFonts w:ascii="Times New Roman" w:hAnsi="Times New Roman"/>
          <w:sz w:val="24"/>
          <w:lang w:val="en-GB"/>
        </w:rPr>
        <w:t xml:space="preserve"> by selling their property without their consent or a court </w:t>
      </w:r>
      <w:r w:rsidR="009C0DF4" w:rsidRPr="00BA5A45">
        <w:rPr>
          <w:rFonts w:ascii="Times New Roman" w:hAnsi="Times New Roman"/>
          <w:sz w:val="24"/>
          <w:lang w:val="en-GB"/>
        </w:rPr>
        <w:t xml:space="preserve">order. The finding by the </w:t>
      </w:r>
      <w:r w:rsidR="00476D4D" w:rsidRPr="00BA5A45">
        <w:rPr>
          <w:rFonts w:ascii="Times New Roman" w:hAnsi="Times New Roman"/>
          <w:sz w:val="24"/>
          <w:lang w:val="en-GB"/>
        </w:rPr>
        <w:t>T</w:t>
      </w:r>
      <w:r w:rsidR="009C0DF4" w:rsidRPr="00BA5A45">
        <w:rPr>
          <w:rFonts w:ascii="Times New Roman" w:hAnsi="Times New Roman"/>
          <w:sz w:val="24"/>
          <w:lang w:val="en-GB"/>
        </w:rPr>
        <w:t>ribunal on this aspect cannot be faulted.</w:t>
      </w:r>
    </w:p>
    <w:p w14:paraId="605E03B4" w14:textId="77777777" w:rsidR="00D81197" w:rsidRPr="00BA5A45" w:rsidRDefault="00B05267" w:rsidP="00F42946">
      <w:pPr>
        <w:spacing w:after="0" w:line="480" w:lineRule="auto"/>
        <w:jc w:val="both"/>
        <w:rPr>
          <w:rFonts w:ascii="Times New Roman" w:hAnsi="Times New Roman"/>
          <w:b/>
          <w:sz w:val="24"/>
        </w:rPr>
      </w:pPr>
      <w:r w:rsidRPr="00BA5A45">
        <w:rPr>
          <w:rFonts w:ascii="Times New Roman" w:hAnsi="Times New Roman"/>
          <w:b/>
          <w:sz w:val="24"/>
        </w:rPr>
        <w:t xml:space="preserve"> </w:t>
      </w:r>
    </w:p>
    <w:p w14:paraId="276323CE" w14:textId="11C0F83F" w:rsidR="00E97E9E" w:rsidRPr="00BA5A45" w:rsidRDefault="00500D46" w:rsidP="00F42946">
      <w:pPr>
        <w:spacing w:after="0" w:line="480" w:lineRule="auto"/>
        <w:jc w:val="both"/>
        <w:rPr>
          <w:rFonts w:ascii="Times New Roman" w:hAnsi="Times New Roman"/>
          <w:b/>
          <w:sz w:val="24"/>
        </w:rPr>
      </w:pPr>
      <w:r w:rsidRPr="00BA5A45">
        <w:rPr>
          <w:rFonts w:ascii="Times New Roman" w:hAnsi="Times New Roman"/>
          <w:b/>
          <w:sz w:val="24"/>
        </w:rPr>
        <w:t>Whether there was need for the complainants’ consent or a court order before selling their property.</w:t>
      </w:r>
    </w:p>
    <w:p w14:paraId="3A95D3C2" w14:textId="23502058" w:rsidR="00476D4D" w:rsidRPr="00BA5A45" w:rsidRDefault="00500D46" w:rsidP="00F42946">
      <w:pPr>
        <w:spacing w:after="0" w:line="480" w:lineRule="auto"/>
        <w:jc w:val="both"/>
        <w:rPr>
          <w:rFonts w:ascii="Times New Roman" w:hAnsi="Times New Roman"/>
          <w:sz w:val="24"/>
        </w:rPr>
      </w:pPr>
      <w:r w:rsidRPr="00BA5A45">
        <w:rPr>
          <w:rFonts w:ascii="Times New Roman" w:hAnsi="Times New Roman"/>
          <w:b/>
          <w:sz w:val="24"/>
        </w:rPr>
        <w:tab/>
      </w:r>
      <w:r w:rsidR="007F64B5" w:rsidRPr="00BA5A45">
        <w:rPr>
          <w:rFonts w:ascii="Times New Roman" w:hAnsi="Times New Roman"/>
          <w:b/>
          <w:sz w:val="24"/>
        </w:rPr>
        <w:tab/>
      </w:r>
      <w:r w:rsidR="009C0DF4" w:rsidRPr="00BA5A45">
        <w:rPr>
          <w:rFonts w:ascii="Times New Roman" w:hAnsi="Times New Roman"/>
          <w:iCs/>
          <w:sz w:val="24"/>
        </w:rPr>
        <w:t>Mr</w:t>
      </w:r>
      <w:r w:rsidR="009C0DF4" w:rsidRPr="00BA5A45">
        <w:rPr>
          <w:rFonts w:ascii="Times New Roman" w:hAnsi="Times New Roman"/>
          <w:i/>
          <w:iCs/>
          <w:sz w:val="24"/>
        </w:rPr>
        <w:t xml:space="preserve"> Girach</w:t>
      </w:r>
      <w:r w:rsidRPr="00BA5A45">
        <w:rPr>
          <w:rFonts w:ascii="Times New Roman" w:hAnsi="Times New Roman"/>
          <w:sz w:val="24"/>
        </w:rPr>
        <w:t xml:space="preserve"> submit</w:t>
      </w:r>
      <w:r w:rsidR="009C0DF4" w:rsidRPr="00BA5A45">
        <w:rPr>
          <w:rFonts w:ascii="Times New Roman" w:hAnsi="Times New Roman"/>
          <w:sz w:val="24"/>
        </w:rPr>
        <w:t>ted</w:t>
      </w:r>
      <w:r w:rsidRPr="00BA5A45">
        <w:rPr>
          <w:rFonts w:ascii="Times New Roman" w:hAnsi="Times New Roman"/>
          <w:sz w:val="24"/>
        </w:rPr>
        <w:t xml:space="preserve"> that </w:t>
      </w:r>
      <w:r w:rsidR="009C0DF4" w:rsidRPr="00BA5A45">
        <w:rPr>
          <w:rFonts w:ascii="Times New Roman" w:hAnsi="Times New Roman"/>
          <w:sz w:val="24"/>
        </w:rPr>
        <w:t>the appellant</w:t>
      </w:r>
      <w:r w:rsidRPr="00BA5A45">
        <w:rPr>
          <w:rFonts w:ascii="Times New Roman" w:hAnsi="Times New Roman"/>
          <w:sz w:val="24"/>
        </w:rPr>
        <w:t xml:space="preserve"> sold the complainants’ property with the</w:t>
      </w:r>
      <w:r w:rsidR="00D37010" w:rsidRPr="00BA5A45">
        <w:rPr>
          <w:rFonts w:ascii="Times New Roman" w:hAnsi="Times New Roman"/>
          <w:sz w:val="24"/>
        </w:rPr>
        <w:t xml:space="preserve">ir consent as expressed in the </w:t>
      </w:r>
      <w:r w:rsidR="00F07FBC" w:rsidRPr="00BA5A45">
        <w:rPr>
          <w:rFonts w:ascii="Times New Roman" w:hAnsi="Times New Roman"/>
          <w:sz w:val="24"/>
        </w:rPr>
        <w:t>POA</w:t>
      </w:r>
      <w:r w:rsidRPr="00BA5A45">
        <w:rPr>
          <w:rFonts w:ascii="Times New Roman" w:hAnsi="Times New Roman"/>
          <w:sz w:val="24"/>
        </w:rPr>
        <w:t xml:space="preserve"> </w:t>
      </w:r>
      <w:r w:rsidR="00A37F22" w:rsidRPr="00BA5A45">
        <w:rPr>
          <w:rFonts w:ascii="Times New Roman" w:hAnsi="Times New Roman"/>
          <w:sz w:val="24"/>
        </w:rPr>
        <w:t xml:space="preserve">and the letter of 11 </w:t>
      </w:r>
      <w:r w:rsidR="00651012" w:rsidRPr="00BA5A45">
        <w:rPr>
          <w:rFonts w:ascii="Times New Roman" w:hAnsi="Times New Roman"/>
          <w:sz w:val="24"/>
        </w:rPr>
        <w:t>February</w:t>
      </w:r>
      <w:r w:rsidR="00A37F22" w:rsidRPr="00BA5A45">
        <w:rPr>
          <w:rFonts w:ascii="Times New Roman" w:hAnsi="Times New Roman"/>
          <w:sz w:val="24"/>
        </w:rPr>
        <w:t xml:space="preserve"> 2014 by the appellant </w:t>
      </w:r>
      <w:r w:rsidRPr="00BA5A45">
        <w:rPr>
          <w:rFonts w:ascii="Times New Roman" w:hAnsi="Times New Roman"/>
          <w:sz w:val="24"/>
        </w:rPr>
        <w:t xml:space="preserve">hence there was no need for him to obtain a court order first. </w:t>
      </w:r>
    </w:p>
    <w:p w14:paraId="32AF9C68" w14:textId="77777777" w:rsidR="007F64B5" w:rsidRPr="00BA5A45" w:rsidRDefault="007F64B5" w:rsidP="00F42946">
      <w:pPr>
        <w:spacing w:after="0" w:line="480" w:lineRule="auto"/>
        <w:ind w:firstLine="1134"/>
        <w:jc w:val="both"/>
        <w:rPr>
          <w:rFonts w:ascii="Times New Roman" w:hAnsi="Times New Roman"/>
          <w:iCs/>
          <w:sz w:val="24"/>
        </w:rPr>
      </w:pPr>
    </w:p>
    <w:p w14:paraId="21615A3F" w14:textId="227C83F6" w:rsidR="00500D46" w:rsidRPr="00BA5A45" w:rsidRDefault="00A93DFF" w:rsidP="00F42946">
      <w:pPr>
        <w:spacing w:after="0" w:line="480" w:lineRule="auto"/>
        <w:ind w:firstLine="1134"/>
        <w:jc w:val="both"/>
        <w:rPr>
          <w:rFonts w:ascii="Times New Roman" w:hAnsi="Times New Roman"/>
          <w:sz w:val="24"/>
        </w:rPr>
      </w:pPr>
      <w:r w:rsidRPr="00BA5A45">
        <w:rPr>
          <w:rFonts w:ascii="Times New Roman" w:hAnsi="Times New Roman"/>
          <w:iCs/>
          <w:sz w:val="24"/>
        </w:rPr>
        <w:t>Mr</w:t>
      </w:r>
      <w:r w:rsidRPr="00BA5A45">
        <w:rPr>
          <w:rFonts w:ascii="Times New Roman" w:hAnsi="Times New Roman"/>
          <w:i/>
          <w:iCs/>
          <w:sz w:val="24"/>
        </w:rPr>
        <w:t xml:space="preserve"> Gahadzikwa</w:t>
      </w:r>
      <w:r w:rsidR="00476D4D" w:rsidRPr="00BA5A45">
        <w:rPr>
          <w:rFonts w:ascii="Times New Roman" w:hAnsi="Times New Roman"/>
          <w:sz w:val="24"/>
        </w:rPr>
        <w:t>, on the other hand,</w:t>
      </w:r>
      <w:r w:rsidRPr="00BA5A45">
        <w:rPr>
          <w:rFonts w:ascii="Times New Roman" w:hAnsi="Times New Roman"/>
          <w:sz w:val="24"/>
        </w:rPr>
        <w:t xml:space="preserve"> submitted that</w:t>
      </w:r>
      <w:r w:rsidR="00D37010" w:rsidRPr="00BA5A45">
        <w:rPr>
          <w:rFonts w:ascii="Times New Roman" w:hAnsi="Times New Roman"/>
          <w:sz w:val="24"/>
        </w:rPr>
        <w:t xml:space="preserve"> the complainants</w:t>
      </w:r>
      <w:r w:rsidR="00500D46" w:rsidRPr="00BA5A45">
        <w:rPr>
          <w:rFonts w:ascii="Times New Roman" w:hAnsi="Times New Roman"/>
          <w:sz w:val="24"/>
        </w:rPr>
        <w:t xml:space="preserve"> had not consente</w:t>
      </w:r>
      <w:r w:rsidR="005E4640" w:rsidRPr="00BA5A45">
        <w:rPr>
          <w:rFonts w:ascii="Times New Roman" w:hAnsi="Times New Roman"/>
          <w:sz w:val="24"/>
        </w:rPr>
        <w:t xml:space="preserve">d to the </w:t>
      </w:r>
      <w:r w:rsidR="00D278ED" w:rsidRPr="00BA5A45">
        <w:rPr>
          <w:rFonts w:ascii="Times New Roman" w:hAnsi="Times New Roman"/>
          <w:sz w:val="24"/>
        </w:rPr>
        <w:t>sale of their property.</w:t>
      </w:r>
      <w:r w:rsidR="004A11AA" w:rsidRPr="00BA5A45">
        <w:rPr>
          <w:rFonts w:ascii="Times New Roman" w:hAnsi="Times New Roman"/>
          <w:sz w:val="24"/>
        </w:rPr>
        <w:t xml:space="preserve"> Perkins</w:t>
      </w:r>
      <w:r w:rsidR="00A37F22" w:rsidRPr="00BA5A45">
        <w:rPr>
          <w:rFonts w:ascii="Times New Roman" w:hAnsi="Times New Roman"/>
          <w:sz w:val="24"/>
        </w:rPr>
        <w:t xml:space="preserve"> refuted the allegation that he had consented to the sale in his communication with appellant’s law firm leading to appellant’s letter of 11 February. That denial was buttressed by subsequent events which showed that the complainants were not consenting to the sale.</w:t>
      </w:r>
      <w:r w:rsidR="00D278ED" w:rsidRPr="00BA5A45">
        <w:rPr>
          <w:rFonts w:ascii="Times New Roman" w:hAnsi="Times New Roman"/>
          <w:sz w:val="24"/>
        </w:rPr>
        <w:t xml:space="preserve"> </w:t>
      </w:r>
      <w:r w:rsidRPr="00BA5A45">
        <w:rPr>
          <w:rFonts w:ascii="Times New Roman" w:hAnsi="Times New Roman"/>
          <w:sz w:val="24"/>
        </w:rPr>
        <w:t>Counsel</w:t>
      </w:r>
      <w:r w:rsidR="00D278ED" w:rsidRPr="00BA5A45">
        <w:rPr>
          <w:rFonts w:ascii="Times New Roman" w:hAnsi="Times New Roman"/>
          <w:sz w:val="24"/>
        </w:rPr>
        <w:t xml:space="preserve"> submitted that </w:t>
      </w:r>
      <w:r w:rsidR="00970591" w:rsidRPr="00BA5A45">
        <w:rPr>
          <w:rFonts w:ascii="Times New Roman" w:hAnsi="Times New Roman"/>
          <w:sz w:val="24"/>
        </w:rPr>
        <w:t xml:space="preserve">further evidence of lack of consent was </w:t>
      </w:r>
      <w:r w:rsidR="00735EF6" w:rsidRPr="00BA5A45">
        <w:rPr>
          <w:rFonts w:ascii="Times New Roman" w:hAnsi="Times New Roman"/>
          <w:sz w:val="24"/>
        </w:rPr>
        <w:t xml:space="preserve">the absence of </w:t>
      </w:r>
      <w:r w:rsidR="004A11AA" w:rsidRPr="00BA5A45">
        <w:rPr>
          <w:rFonts w:ascii="Times New Roman" w:hAnsi="Times New Roman"/>
          <w:sz w:val="24"/>
        </w:rPr>
        <w:t>the sellers’ declaration and a</w:t>
      </w:r>
      <w:r w:rsidR="00735EF6" w:rsidRPr="00BA5A45">
        <w:rPr>
          <w:rFonts w:ascii="Times New Roman" w:hAnsi="Times New Roman"/>
          <w:sz w:val="24"/>
        </w:rPr>
        <w:t xml:space="preserve"> power of attorney to pass transfer duly signed </w:t>
      </w:r>
      <w:r w:rsidR="00970591" w:rsidRPr="00BA5A45">
        <w:rPr>
          <w:rFonts w:ascii="Times New Roman" w:hAnsi="Times New Roman"/>
          <w:sz w:val="24"/>
        </w:rPr>
        <w:t>by the complainants</w:t>
      </w:r>
      <w:r w:rsidR="00735EF6" w:rsidRPr="00BA5A45">
        <w:rPr>
          <w:rFonts w:ascii="Times New Roman" w:hAnsi="Times New Roman"/>
          <w:sz w:val="24"/>
        </w:rPr>
        <w:t>.</w:t>
      </w:r>
      <w:r w:rsidR="00612359" w:rsidRPr="00BA5A45">
        <w:rPr>
          <w:rFonts w:ascii="Times New Roman" w:hAnsi="Times New Roman"/>
          <w:sz w:val="24"/>
        </w:rPr>
        <w:t xml:space="preserve"> </w:t>
      </w:r>
      <w:r w:rsidR="00476D4D" w:rsidRPr="00BA5A45">
        <w:rPr>
          <w:rFonts w:ascii="Times New Roman" w:hAnsi="Times New Roman"/>
          <w:sz w:val="24"/>
        </w:rPr>
        <w:t>It is pertinent to note that b</w:t>
      </w:r>
      <w:r w:rsidR="00612359" w:rsidRPr="00BA5A45">
        <w:rPr>
          <w:rFonts w:ascii="Times New Roman" w:hAnsi="Times New Roman"/>
          <w:sz w:val="24"/>
        </w:rPr>
        <w:t>efore</w:t>
      </w:r>
      <w:r w:rsidR="00970591" w:rsidRPr="00BA5A45">
        <w:rPr>
          <w:rFonts w:ascii="Times New Roman" w:hAnsi="Times New Roman"/>
          <w:sz w:val="24"/>
        </w:rPr>
        <w:t xml:space="preserve"> the </w:t>
      </w:r>
      <w:r w:rsidR="00F07FBC" w:rsidRPr="00BA5A45">
        <w:rPr>
          <w:rFonts w:ascii="Times New Roman" w:hAnsi="Times New Roman"/>
          <w:sz w:val="24"/>
        </w:rPr>
        <w:t>T</w:t>
      </w:r>
      <w:r w:rsidR="00970591" w:rsidRPr="00BA5A45">
        <w:rPr>
          <w:rFonts w:ascii="Times New Roman" w:hAnsi="Times New Roman"/>
          <w:sz w:val="24"/>
        </w:rPr>
        <w:t>ribunal</w:t>
      </w:r>
      <w:r w:rsidR="009C0DF4" w:rsidRPr="00BA5A45">
        <w:rPr>
          <w:rFonts w:ascii="Times New Roman" w:hAnsi="Times New Roman"/>
          <w:sz w:val="24"/>
        </w:rPr>
        <w:t xml:space="preserve">, and even before this court, </w:t>
      </w:r>
      <w:r w:rsidR="009C0DF4" w:rsidRPr="00BA5A45">
        <w:rPr>
          <w:rFonts w:ascii="Times New Roman" w:hAnsi="Times New Roman"/>
          <w:iCs/>
          <w:sz w:val="24"/>
        </w:rPr>
        <w:t>Mr</w:t>
      </w:r>
      <w:r w:rsidR="00BA5A45">
        <w:rPr>
          <w:rFonts w:ascii="Times New Roman" w:hAnsi="Times New Roman"/>
          <w:i/>
          <w:iCs/>
          <w:sz w:val="24"/>
        </w:rPr>
        <w:t> </w:t>
      </w:r>
      <w:r w:rsidR="00A37F22" w:rsidRPr="00BA5A45">
        <w:rPr>
          <w:rFonts w:ascii="Times New Roman" w:hAnsi="Times New Roman"/>
          <w:i/>
          <w:iCs/>
          <w:sz w:val="24"/>
        </w:rPr>
        <w:t>Girach</w:t>
      </w:r>
      <w:r w:rsidR="00A37F22" w:rsidRPr="00BA5A45">
        <w:rPr>
          <w:rFonts w:ascii="Times New Roman" w:hAnsi="Times New Roman"/>
          <w:sz w:val="24"/>
        </w:rPr>
        <w:t xml:space="preserve"> could</w:t>
      </w:r>
      <w:r w:rsidR="00970591" w:rsidRPr="00BA5A45">
        <w:rPr>
          <w:rFonts w:ascii="Times New Roman" w:hAnsi="Times New Roman"/>
          <w:sz w:val="24"/>
        </w:rPr>
        <w:t xml:space="preserve"> no</w:t>
      </w:r>
      <w:r w:rsidR="009C0DF4" w:rsidRPr="00BA5A45">
        <w:rPr>
          <w:rFonts w:ascii="Times New Roman" w:hAnsi="Times New Roman"/>
          <w:sz w:val="24"/>
        </w:rPr>
        <w:t>t</w:t>
      </w:r>
      <w:r w:rsidR="00970591" w:rsidRPr="00BA5A45">
        <w:rPr>
          <w:rFonts w:ascii="Times New Roman" w:hAnsi="Times New Roman"/>
          <w:sz w:val="24"/>
        </w:rPr>
        <w:t xml:space="preserve"> </w:t>
      </w:r>
      <w:r w:rsidR="00612359" w:rsidRPr="00BA5A45">
        <w:rPr>
          <w:rFonts w:ascii="Times New Roman" w:hAnsi="Times New Roman"/>
          <w:sz w:val="24"/>
        </w:rPr>
        <w:t>explain</w:t>
      </w:r>
      <w:r w:rsidR="00970591" w:rsidRPr="00BA5A45">
        <w:rPr>
          <w:rFonts w:ascii="Times New Roman" w:hAnsi="Times New Roman"/>
          <w:sz w:val="24"/>
        </w:rPr>
        <w:t xml:space="preserve"> the absence of such </w:t>
      </w:r>
      <w:r w:rsidR="00612359" w:rsidRPr="00BA5A45">
        <w:rPr>
          <w:rFonts w:ascii="Times New Roman" w:hAnsi="Times New Roman"/>
          <w:sz w:val="24"/>
        </w:rPr>
        <w:t>documents</w:t>
      </w:r>
      <w:r w:rsidR="00970591" w:rsidRPr="00BA5A45">
        <w:rPr>
          <w:rFonts w:ascii="Times New Roman" w:hAnsi="Times New Roman"/>
          <w:sz w:val="24"/>
        </w:rPr>
        <w:t xml:space="preserve"> for the </w:t>
      </w:r>
      <w:r w:rsidR="00612359" w:rsidRPr="00BA5A45">
        <w:rPr>
          <w:rFonts w:ascii="Times New Roman" w:hAnsi="Times New Roman"/>
          <w:sz w:val="24"/>
        </w:rPr>
        <w:t>transfer</w:t>
      </w:r>
      <w:r w:rsidR="00970591" w:rsidRPr="00BA5A45">
        <w:rPr>
          <w:rFonts w:ascii="Times New Roman" w:hAnsi="Times New Roman"/>
          <w:sz w:val="24"/>
        </w:rPr>
        <w:t xml:space="preserve"> to be effected</w:t>
      </w:r>
      <w:r w:rsidR="009C0DF4" w:rsidRPr="00BA5A45">
        <w:rPr>
          <w:rFonts w:ascii="Times New Roman" w:hAnsi="Times New Roman"/>
          <w:sz w:val="24"/>
        </w:rPr>
        <w:t xml:space="preserve"> or even state who had signed those documents on behalf of the sellers.</w:t>
      </w:r>
    </w:p>
    <w:p w14:paraId="330049ED" w14:textId="77777777" w:rsidR="00D81197" w:rsidRPr="00BA5A45" w:rsidRDefault="00D81197" w:rsidP="00F42946">
      <w:pPr>
        <w:spacing w:after="0" w:line="480" w:lineRule="auto"/>
        <w:ind w:firstLine="720"/>
        <w:jc w:val="both"/>
        <w:rPr>
          <w:rFonts w:ascii="Times New Roman" w:hAnsi="Times New Roman"/>
          <w:sz w:val="24"/>
        </w:rPr>
      </w:pPr>
    </w:p>
    <w:p w14:paraId="2ECFF682" w14:textId="363E354A" w:rsidR="00735EF6" w:rsidRPr="00BA5A45" w:rsidRDefault="00FD6907" w:rsidP="00F42946">
      <w:pPr>
        <w:spacing w:after="0" w:line="480" w:lineRule="auto"/>
        <w:ind w:firstLine="1134"/>
        <w:jc w:val="both"/>
        <w:rPr>
          <w:rFonts w:ascii="Times New Roman" w:hAnsi="Times New Roman"/>
          <w:sz w:val="24"/>
        </w:rPr>
      </w:pPr>
      <w:r w:rsidRPr="00BA5A45">
        <w:rPr>
          <w:rFonts w:ascii="Times New Roman" w:hAnsi="Times New Roman"/>
          <w:sz w:val="24"/>
        </w:rPr>
        <w:t xml:space="preserve">It is trite that in order to pass transfer of an immovable property, one has to </w:t>
      </w:r>
      <w:r w:rsidR="00E84EA8" w:rsidRPr="00BA5A45">
        <w:rPr>
          <w:rFonts w:ascii="Times New Roman" w:hAnsi="Times New Roman"/>
          <w:sz w:val="24"/>
        </w:rPr>
        <w:t>have a power of attorney to pass</w:t>
      </w:r>
      <w:r w:rsidRPr="00BA5A45">
        <w:rPr>
          <w:rFonts w:ascii="Times New Roman" w:hAnsi="Times New Roman"/>
          <w:sz w:val="24"/>
        </w:rPr>
        <w:t xml:space="preserve"> transfer </w:t>
      </w:r>
      <w:r w:rsidR="00AE6049" w:rsidRPr="00BA5A45">
        <w:rPr>
          <w:rFonts w:ascii="Times New Roman" w:hAnsi="Times New Roman"/>
          <w:sz w:val="24"/>
        </w:rPr>
        <w:t xml:space="preserve">signed by the seller </w:t>
      </w:r>
      <w:r w:rsidRPr="00BA5A45">
        <w:rPr>
          <w:rFonts w:ascii="Times New Roman" w:hAnsi="Times New Roman"/>
          <w:sz w:val="24"/>
        </w:rPr>
        <w:t>as well as a declaration by the seller.</w:t>
      </w:r>
      <w:r w:rsidR="00140D57" w:rsidRPr="00BA5A45">
        <w:rPr>
          <w:rFonts w:ascii="Times New Roman" w:hAnsi="Times New Roman"/>
          <w:sz w:val="24"/>
        </w:rPr>
        <w:t xml:space="preserve"> See M.L</w:t>
      </w:r>
      <w:r w:rsidR="00A312D7" w:rsidRPr="00BA5A45">
        <w:rPr>
          <w:rFonts w:ascii="Times New Roman" w:hAnsi="Times New Roman"/>
          <w:sz w:val="24"/>
        </w:rPr>
        <w:t>.</w:t>
      </w:r>
      <w:r w:rsidR="00140D57" w:rsidRPr="00BA5A45">
        <w:rPr>
          <w:rFonts w:ascii="Times New Roman" w:hAnsi="Times New Roman"/>
          <w:sz w:val="24"/>
        </w:rPr>
        <w:t xml:space="preserve"> Mhishi, </w:t>
      </w:r>
      <w:r w:rsidR="00140D57" w:rsidRPr="00BA5A45">
        <w:rPr>
          <w:rFonts w:ascii="Times New Roman" w:hAnsi="Times New Roman"/>
          <w:i/>
          <w:sz w:val="24"/>
        </w:rPr>
        <w:t>The Law and Practice of Conveyancing in Zimbabwe</w:t>
      </w:r>
      <w:r w:rsidR="00140D57" w:rsidRPr="00BA5A45">
        <w:rPr>
          <w:rFonts w:ascii="Times New Roman" w:hAnsi="Times New Roman"/>
          <w:sz w:val="24"/>
        </w:rPr>
        <w:t xml:space="preserve">, 2004 at pages 35-36. </w:t>
      </w:r>
      <w:r w:rsidR="00AE6049" w:rsidRPr="00BA5A45">
        <w:rPr>
          <w:rFonts w:ascii="Times New Roman" w:hAnsi="Times New Roman"/>
          <w:sz w:val="24"/>
        </w:rPr>
        <w:t xml:space="preserve">I agree </w:t>
      </w:r>
      <w:r w:rsidR="00AE6049" w:rsidRPr="00BA5A45">
        <w:rPr>
          <w:rFonts w:ascii="Times New Roman" w:hAnsi="Times New Roman"/>
          <w:sz w:val="24"/>
        </w:rPr>
        <w:lastRenderedPageBreak/>
        <w:t xml:space="preserve">with </w:t>
      </w:r>
      <w:r w:rsidR="00A312D7" w:rsidRPr="00BA5A45">
        <w:rPr>
          <w:rFonts w:ascii="Times New Roman" w:hAnsi="Times New Roman"/>
          <w:sz w:val="24"/>
        </w:rPr>
        <w:t>Mr</w:t>
      </w:r>
      <w:r w:rsidR="00AE6049" w:rsidRPr="00BA5A45">
        <w:rPr>
          <w:rFonts w:ascii="Times New Roman" w:hAnsi="Times New Roman"/>
          <w:i/>
          <w:sz w:val="24"/>
        </w:rPr>
        <w:t xml:space="preserve"> Gahadzikwa</w:t>
      </w:r>
      <w:r w:rsidR="00AE6049" w:rsidRPr="00BA5A45">
        <w:rPr>
          <w:rFonts w:ascii="Times New Roman" w:hAnsi="Times New Roman"/>
          <w:sz w:val="24"/>
        </w:rPr>
        <w:t xml:space="preserve"> that the absence of such documents in the transfer of the complainants’ property is a clear indication that they had not consented to the sale.</w:t>
      </w:r>
    </w:p>
    <w:p w14:paraId="6EA60323" w14:textId="77777777" w:rsidR="007F64B5" w:rsidRPr="00BA5A45" w:rsidRDefault="007F64B5" w:rsidP="00F42946">
      <w:pPr>
        <w:spacing w:after="0" w:line="480" w:lineRule="auto"/>
        <w:ind w:firstLine="720"/>
        <w:jc w:val="both"/>
        <w:rPr>
          <w:rFonts w:ascii="Times New Roman" w:hAnsi="Times New Roman"/>
          <w:sz w:val="24"/>
          <w:lang w:val="en-GB"/>
        </w:rPr>
      </w:pPr>
    </w:p>
    <w:p w14:paraId="14A8F7FE" w14:textId="4A4CAA25" w:rsidR="00ED574F" w:rsidRPr="00BA5A45" w:rsidRDefault="00AE6049"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Thus</w:t>
      </w:r>
      <w:r w:rsidR="0021782F" w:rsidRPr="00BA5A45">
        <w:rPr>
          <w:rFonts w:ascii="Times New Roman" w:hAnsi="Times New Roman"/>
          <w:sz w:val="24"/>
          <w:lang w:val="en-GB"/>
        </w:rPr>
        <w:t>,</w:t>
      </w:r>
      <w:r w:rsidRPr="00BA5A45">
        <w:rPr>
          <w:rFonts w:ascii="Times New Roman" w:hAnsi="Times New Roman"/>
          <w:sz w:val="24"/>
          <w:lang w:val="en-GB"/>
        </w:rPr>
        <w:t xml:space="preserve"> in the absence of consent from the complainants to sell their property, the appellant ought to have approached a court of law, seeking an order for the sale of the property in order to settle the debt. </w:t>
      </w:r>
      <w:r w:rsidR="006B2309" w:rsidRPr="00BA5A45">
        <w:rPr>
          <w:rFonts w:ascii="Times New Roman" w:hAnsi="Times New Roman"/>
          <w:sz w:val="24"/>
          <w:lang w:val="en-GB"/>
        </w:rPr>
        <w:t>It is a settled principle</w:t>
      </w:r>
      <w:r w:rsidR="004F2393" w:rsidRPr="00BA5A45">
        <w:rPr>
          <w:rFonts w:ascii="Times New Roman" w:hAnsi="Times New Roman"/>
          <w:sz w:val="24"/>
          <w:lang w:val="en-GB"/>
        </w:rPr>
        <w:t xml:space="preserve"> in our jurisdiction </w:t>
      </w:r>
      <w:r w:rsidR="006B2309" w:rsidRPr="00BA5A45">
        <w:rPr>
          <w:rFonts w:ascii="Times New Roman" w:hAnsi="Times New Roman"/>
          <w:sz w:val="24"/>
          <w:lang w:val="en-GB"/>
        </w:rPr>
        <w:t xml:space="preserve">that individuals are not to resort to self-help in solving legal problems. </w:t>
      </w:r>
    </w:p>
    <w:p w14:paraId="2D20D60D" w14:textId="77777777" w:rsidR="00D81197" w:rsidRPr="00BA5A45" w:rsidRDefault="00D81197" w:rsidP="00F42946">
      <w:pPr>
        <w:spacing w:after="0" w:line="480" w:lineRule="auto"/>
        <w:ind w:firstLine="360"/>
        <w:jc w:val="both"/>
        <w:rPr>
          <w:rFonts w:ascii="Times New Roman" w:hAnsi="Times New Roman"/>
          <w:sz w:val="24"/>
          <w:lang w:val="en-GB"/>
        </w:rPr>
      </w:pPr>
    </w:p>
    <w:p w14:paraId="313E7A8E" w14:textId="77777777" w:rsidR="00E97E9E" w:rsidRPr="00BA5A45" w:rsidRDefault="00AE6049"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The</w:t>
      </w:r>
      <w:r w:rsidR="004F2393" w:rsidRPr="00BA5A45">
        <w:rPr>
          <w:rFonts w:ascii="Times New Roman" w:hAnsi="Times New Roman"/>
          <w:sz w:val="24"/>
          <w:lang w:val="en-GB"/>
        </w:rPr>
        <w:t>refore, it was wrong for the</w:t>
      </w:r>
      <w:r w:rsidRPr="00BA5A45">
        <w:rPr>
          <w:rFonts w:ascii="Times New Roman" w:hAnsi="Times New Roman"/>
          <w:sz w:val="24"/>
          <w:lang w:val="en-GB"/>
        </w:rPr>
        <w:t xml:space="preserve"> appellant </w:t>
      </w:r>
      <w:r w:rsidR="004F2393" w:rsidRPr="00BA5A45">
        <w:rPr>
          <w:rFonts w:ascii="Times New Roman" w:hAnsi="Times New Roman"/>
          <w:sz w:val="24"/>
          <w:lang w:val="en-GB"/>
        </w:rPr>
        <w:t>to resort</w:t>
      </w:r>
      <w:r w:rsidRPr="00BA5A45">
        <w:rPr>
          <w:rFonts w:ascii="Times New Roman" w:hAnsi="Times New Roman"/>
          <w:sz w:val="24"/>
          <w:lang w:val="en-GB"/>
        </w:rPr>
        <w:t xml:space="preserve"> to self-help by selling the property of his own volition, without a court order. </w:t>
      </w:r>
    </w:p>
    <w:p w14:paraId="5FC0791A" w14:textId="77777777" w:rsidR="00D81197" w:rsidRPr="00BA5A45" w:rsidRDefault="004F2393" w:rsidP="00F42946">
      <w:pPr>
        <w:spacing w:after="0" w:line="480" w:lineRule="auto"/>
        <w:ind w:firstLine="720"/>
        <w:jc w:val="both"/>
        <w:rPr>
          <w:rFonts w:ascii="Times New Roman" w:hAnsi="Times New Roman"/>
          <w:sz w:val="24"/>
          <w:lang w:val="en-GB"/>
        </w:rPr>
      </w:pPr>
      <w:r w:rsidRPr="00BA5A45">
        <w:rPr>
          <w:rFonts w:ascii="Times New Roman" w:hAnsi="Times New Roman"/>
          <w:sz w:val="24"/>
          <w:lang w:val="en-GB"/>
        </w:rPr>
        <w:t xml:space="preserve"> </w:t>
      </w:r>
      <w:r w:rsidR="009B6187" w:rsidRPr="00BA5A45">
        <w:rPr>
          <w:rFonts w:ascii="Times New Roman" w:hAnsi="Times New Roman"/>
          <w:sz w:val="24"/>
          <w:lang w:val="en-GB"/>
        </w:rPr>
        <w:t xml:space="preserve"> </w:t>
      </w:r>
    </w:p>
    <w:p w14:paraId="44F064AA" w14:textId="44F33516" w:rsidR="004F2393" w:rsidRPr="00BA5A45" w:rsidRDefault="00476D4D"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T</w:t>
      </w:r>
      <w:r w:rsidR="009B6187" w:rsidRPr="00BA5A45">
        <w:rPr>
          <w:rFonts w:ascii="Times New Roman" w:hAnsi="Times New Roman"/>
          <w:sz w:val="24"/>
          <w:lang w:val="en-GB"/>
        </w:rPr>
        <w:t xml:space="preserve">he appellant’s </w:t>
      </w:r>
      <w:r w:rsidR="00EA7B75" w:rsidRPr="00BA5A45">
        <w:rPr>
          <w:rFonts w:ascii="Times New Roman" w:hAnsi="Times New Roman"/>
          <w:sz w:val="24"/>
          <w:lang w:val="en-GB"/>
        </w:rPr>
        <w:t>insistence</w:t>
      </w:r>
      <w:r w:rsidR="009B6187" w:rsidRPr="00BA5A45">
        <w:rPr>
          <w:rFonts w:ascii="Times New Roman" w:hAnsi="Times New Roman"/>
          <w:sz w:val="24"/>
          <w:lang w:val="en-GB"/>
        </w:rPr>
        <w:t xml:space="preserve"> that the property was sold because of a failure by the debtor to pay the debt</w:t>
      </w:r>
      <w:r w:rsidR="00EA7B75" w:rsidRPr="00BA5A45">
        <w:rPr>
          <w:rFonts w:ascii="Times New Roman" w:hAnsi="Times New Roman"/>
          <w:sz w:val="24"/>
          <w:lang w:val="en-GB"/>
        </w:rPr>
        <w:t xml:space="preserve"> would still not save him.</w:t>
      </w:r>
      <w:r w:rsidR="009B6187" w:rsidRPr="00BA5A45">
        <w:rPr>
          <w:rFonts w:ascii="Times New Roman" w:hAnsi="Times New Roman"/>
          <w:sz w:val="24"/>
          <w:lang w:val="en-GB"/>
        </w:rPr>
        <w:t xml:space="preserve"> </w:t>
      </w:r>
      <w:r w:rsidR="004F2393" w:rsidRPr="00BA5A45">
        <w:rPr>
          <w:rFonts w:ascii="Times New Roman" w:hAnsi="Times New Roman"/>
          <w:sz w:val="24"/>
          <w:lang w:val="en-GB"/>
        </w:rPr>
        <w:t xml:space="preserve">I find merit in the submission by Mr </w:t>
      </w:r>
      <w:r w:rsidR="004F2393" w:rsidRPr="00BA5A45">
        <w:rPr>
          <w:rFonts w:ascii="Times New Roman" w:hAnsi="Times New Roman"/>
          <w:i/>
          <w:sz w:val="24"/>
          <w:lang w:val="en-GB"/>
        </w:rPr>
        <w:t>Gahadzikwa</w:t>
      </w:r>
      <w:r w:rsidR="004F2393" w:rsidRPr="00BA5A45">
        <w:rPr>
          <w:rFonts w:ascii="Times New Roman" w:hAnsi="Times New Roman"/>
          <w:sz w:val="24"/>
          <w:lang w:val="en-GB"/>
        </w:rPr>
        <w:t xml:space="preserve"> that</w:t>
      </w:r>
      <w:r w:rsidR="00210B7B">
        <w:rPr>
          <w:rFonts w:ascii="Times New Roman" w:hAnsi="Times New Roman"/>
          <w:sz w:val="24"/>
          <w:lang w:val="en-GB"/>
        </w:rPr>
        <w:t>,</w:t>
      </w:r>
      <w:r w:rsidR="004F2393" w:rsidRPr="00BA5A45">
        <w:rPr>
          <w:rFonts w:ascii="Times New Roman" w:hAnsi="Times New Roman"/>
          <w:sz w:val="24"/>
          <w:lang w:val="en-GB"/>
        </w:rPr>
        <w:t xml:space="preserve"> </w:t>
      </w:r>
      <w:r w:rsidR="00CE2F29" w:rsidRPr="00BA5A45">
        <w:rPr>
          <w:rFonts w:ascii="Times New Roman" w:hAnsi="Times New Roman"/>
          <w:sz w:val="24"/>
          <w:lang w:val="en-GB"/>
        </w:rPr>
        <w:t>in that case</w:t>
      </w:r>
      <w:r w:rsidR="00210B7B">
        <w:rPr>
          <w:rFonts w:ascii="Times New Roman" w:hAnsi="Times New Roman"/>
          <w:sz w:val="24"/>
          <w:lang w:val="en-GB"/>
        </w:rPr>
        <w:t>,</w:t>
      </w:r>
      <w:r w:rsidR="00CE2F29" w:rsidRPr="00BA5A45">
        <w:rPr>
          <w:rFonts w:ascii="Times New Roman" w:hAnsi="Times New Roman"/>
          <w:sz w:val="24"/>
          <w:lang w:val="en-GB"/>
        </w:rPr>
        <w:t xml:space="preserve"> </w:t>
      </w:r>
      <w:r w:rsidR="004F2393" w:rsidRPr="00BA5A45">
        <w:rPr>
          <w:rFonts w:ascii="Times New Roman" w:hAnsi="Times New Roman"/>
          <w:sz w:val="24"/>
          <w:lang w:val="en-GB"/>
        </w:rPr>
        <w:t xml:space="preserve">the sale of the complainants’ property without their consent or a court order was </w:t>
      </w:r>
      <w:r w:rsidR="009B6187" w:rsidRPr="00BA5A45">
        <w:rPr>
          <w:rFonts w:ascii="Times New Roman" w:hAnsi="Times New Roman"/>
          <w:sz w:val="24"/>
          <w:lang w:val="en-GB"/>
        </w:rPr>
        <w:t xml:space="preserve">therefore </w:t>
      </w:r>
      <w:r w:rsidR="004F2393" w:rsidRPr="00BA5A45">
        <w:rPr>
          <w:rFonts w:ascii="Times New Roman" w:hAnsi="Times New Roman"/>
          <w:sz w:val="24"/>
          <w:lang w:val="en-GB"/>
        </w:rPr>
        <w:t>done in contravention of s 4</w:t>
      </w:r>
      <w:r w:rsidR="005E3F8F" w:rsidRPr="00BA5A45">
        <w:rPr>
          <w:rFonts w:ascii="Times New Roman" w:hAnsi="Times New Roman"/>
          <w:sz w:val="24"/>
          <w:lang w:val="en-GB"/>
        </w:rPr>
        <w:t xml:space="preserve">(1) </w:t>
      </w:r>
      <w:r w:rsidR="004F2393" w:rsidRPr="00BA5A45">
        <w:rPr>
          <w:rFonts w:ascii="Times New Roman" w:hAnsi="Times New Roman"/>
          <w:sz w:val="24"/>
          <w:lang w:val="en-GB"/>
        </w:rPr>
        <w:t>of the Contractual Penalties Act [</w:t>
      </w:r>
      <w:r w:rsidR="004F2393" w:rsidRPr="00BA5A45">
        <w:rPr>
          <w:rFonts w:ascii="Times New Roman" w:hAnsi="Times New Roman"/>
          <w:i/>
          <w:sz w:val="24"/>
          <w:lang w:val="en-GB"/>
        </w:rPr>
        <w:t>Chapter 8:04</w:t>
      </w:r>
      <w:r w:rsidR="004F2393" w:rsidRPr="00BA5A45">
        <w:rPr>
          <w:rFonts w:ascii="Times New Roman" w:hAnsi="Times New Roman"/>
          <w:sz w:val="24"/>
          <w:lang w:val="en-GB"/>
        </w:rPr>
        <w:t>]</w:t>
      </w:r>
      <w:r w:rsidR="005E3F8F" w:rsidRPr="00BA5A45">
        <w:rPr>
          <w:rFonts w:ascii="Times New Roman" w:hAnsi="Times New Roman"/>
          <w:sz w:val="24"/>
          <w:lang w:val="en-GB"/>
        </w:rPr>
        <w:t>, which provides that a penalty stipulation shall be enforceable in any competent court</w:t>
      </w:r>
      <w:r w:rsidR="009B6187" w:rsidRPr="00BA5A45">
        <w:rPr>
          <w:rFonts w:ascii="Times New Roman" w:hAnsi="Times New Roman"/>
          <w:sz w:val="24"/>
          <w:lang w:val="en-GB"/>
        </w:rPr>
        <w:t xml:space="preserve">. The </w:t>
      </w:r>
      <w:r w:rsidR="00B53BF6" w:rsidRPr="00BA5A45">
        <w:rPr>
          <w:rFonts w:ascii="Times New Roman" w:hAnsi="Times New Roman"/>
          <w:sz w:val="24"/>
          <w:lang w:val="en-GB"/>
        </w:rPr>
        <w:t xml:space="preserve">complainants’ property was sold due to the failure by </w:t>
      </w:r>
      <w:r w:rsidR="000526D2" w:rsidRPr="00BA5A45">
        <w:rPr>
          <w:rFonts w:ascii="Times New Roman" w:hAnsi="Times New Roman"/>
          <w:sz w:val="24"/>
          <w:lang w:val="en-GB"/>
        </w:rPr>
        <w:t>the debtor</w:t>
      </w:r>
      <w:r w:rsidR="00B53BF6" w:rsidRPr="00BA5A45">
        <w:rPr>
          <w:rFonts w:ascii="Times New Roman" w:hAnsi="Times New Roman"/>
          <w:sz w:val="24"/>
          <w:lang w:val="en-GB"/>
        </w:rPr>
        <w:t xml:space="preserve"> to pay the debt owing to National Foods</w:t>
      </w:r>
      <w:r w:rsidR="00D37010" w:rsidRPr="00BA5A45">
        <w:rPr>
          <w:rFonts w:ascii="Times New Roman" w:hAnsi="Times New Roman"/>
          <w:sz w:val="24"/>
          <w:lang w:val="en-GB"/>
        </w:rPr>
        <w:t xml:space="preserve"> Limited</w:t>
      </w:r>
      <w:r w:rsidR="00B53BF6" w:rsidRPr="00BA5A45">
        <w:rPr>
          <w:rFonts w:ascii="Times New Roman" w:hAnsi="Times New Roman"/>
          <w:sz w:val="24"/>
          <w:lang w:val="en-GB"/>
        </w:rPr>
        <w:t xml:space="preserve">, the sale was </w:t>
      </w:r>
      <w:r w:rsidR="00A37F22" w:rsidRPr="00BA5A45">
        <w:rPr>
          <w:rFonts w:ascii="Times New Roman" w:hAnsi="Times New Roman"/>
          <w:sz w:val="24"/>
          <w:lang w:val="en-GB"/>
        </w:rPr>
        <w:t xml:space="preserve">therefore </w:t>
      </w:r>
      <w:r w:rsidR="00B53BF6" w:rsidRPr="00BA5A45">
        <w:rPr>
          <w:rFonts w:ascii="Times New Roman" w:hAnsi="Times New Roman"/>
          <w:sz w:val="24"/>
          <w:lang w:val="en-GB"/>
        </w:rPr>
        <w:t xml:space="preserve">done in fulfilment of </w:t>
      </w:r>
      <w:r w:rsidR="005E3F8F" w:rsidRPr="00BA5A45">
        <w:rPr>
          <w:rFonts w:ascii="Times New Roman" w:hAnsi="Times New Roman"/>
          <w:sz w:val="24"/>
          <w:lang w:val="en-GB"/>
        </w:rPr>
        <w:t>a penalty stipulation. A penalty stipulation is defined in s 2 of the Contractual Penalties Ac</w:t>
      </w:r>
      <w:r w:rsidR="006B2121" w:rsidRPr="00BA5A45">
        <w:rPr>
          <w:rFonts w:ascii="Times New Roman" w:hAnsi="Times New Roman"/>
          <w:sz w:val="24"/>
          <w:lang w:val="en-GB"/>
        </w:rPr>
        <w:t xml:space="preserve">t </w:t>
      </w:r>
      <w:r w:rsidR="00A37F22" w:rsidRPr="00BA5A45">
        <w:rPr>
          <w:rFonts w:ascii="Times New Roman" w:hAnsi="Times New Roman"/>
          <w:sz w:val="24"/>
          <w:lang w:val="en-GB"/>
        </w:rPr>
        <w:t>as:</w:t>
      </w:r>
    </w:p>
    <w:p w14:paraId="5552A7BF" w14:textId="684B4344" w:rsidR="005E3F8F" w:rsidRPr="00BA5A45" w:rsidRDefault="005E3F8F" w:rsidP="00F42946">
      <w:pPr>
        <w:spacing w:after="0" w:line="240" w:lineRule="auto"/>
        <w:ind w:left="567"/>
        <w:jc w:val="both"/>
        <w:rPr>
          <w:rFonts w:ascii="Times New Roman" w:hAnsi="Times New Roman"/>
          <w:sz w:val="24"/>
        </w:rPr>
      </w:pPr>
      <w:r w:rsidRPr="00BA5A45">
        <w:rPr>
          <w:rFonts w:ascii="Times New Roman" w:hAnsi="Times New Roman"/>
          <w:sz w:val="24"/>
          <w:lang w:val="en-GB"/>
        </w:rPr>
        <w:t>“…</w:t>
      </w:r>
      <w:r w:rsidRPr="00BA5A45">
        <w:rPr>
          <w:rFonts w:ascii="Times New Roman" w:hAnsi="Times New Roman"/>
          <w:sz w:val="24"/>
        </w:rPr>
        <w:t>a contract or provision in a contract under which a person is liable—</w:t>
      </w:r>
    </w:p>
    <w:p w14:paraId="5EFA29FE" w14:textId="77777777" w:rsidR="005E3F8F" w:rsidRPr="00BA5A45" w:rsidRDefault="005E3F8F" w:rsidP="00F42946">
      <w:pPr>
        <w:spacing w:after="0" w:line="240" w:lineRule="auto"/>
        <w:ind w:firstLine="360"/>
        <w:jc w:val="both"/>
        <w:rPr>
          <w:rFonts w:ascii="Times New Roman" w:hAnsi="Times New Roman"/>
          <w:sz w:val="24"/>
        </w:rPr>
      </w:pPr>
      <w:r w:rsidRPr="00BA5A45">
        <w:rPr>
          <w:rFonts w:ascii="Times New Roman" w:hAnsi="Times New Roman"/>
          <w:sz w:val="24"/>
        </w:rPr>
        <w:tab/>
        <w:t>(a)</w:t>
      </w:r>
      <w:r w:rsidRPr="00BA5A45">
        <w:rPr>
          <w:rFonts w:ascii="Times New Roman" w:hAnsi="Times New Roman"/>
          <w:sz w:val="24"/>
        </w:rPr>
        <w:tab/>
        <w:t>to pay any money; or</w:t>
      </w:r>
    </w:p>
    <w:p w14:paraId="3E29ECC9" w14:textId="77777777" w:rsidR="005E3F8F" w:rsidRPr="00BA5A45" w:rsidRDefault="005E3F8F" w:rsidP="00F42946">
      <w:pPr>
        <w:spacing w:after="0" w:line="240" w:lineRule="auto"/>
        <w:ind w:firstLine="360"/>
        <w:jc w:val="both"/>
        <w:rPr>
          <w:rFonts w:ascii="Times New Roman" w:hAnsi="Times New Roman"/>
          <w:sz w:val="24"/>
        </w:rPr>
      </w:pPr>
      <w:r w:rsidRPr="00BA5A45">
        <w:rPr>
          <w:rFonts w:ascii="Times New Roman" w:hAnsi="Times New Roman"/>
          <w:sz w:val="24"/>
        </w:rPr>
        <w:tab/>
        <w:t>(b)</w:t>
      </w:r>
      <w:r w:rsidRPr="00BA5A45">
        <w:rPr>
          <w:rFonts w:ascii="Times New Roman" w:hAnsi="Times New Roman"/>
          <w:sz w:val="24"/>
        </w:rPr>
        <w:tab/>
        <w:t>to do or perform anything; or</w:t>
      </w:r>
    </w:p>
    <w:p w14:paraId="696DA9FE" w14:textId="77777777" w:rsidR="005E3F8F" w:rsidRPr="00BA5A45" w:rsidRDefault="005E3F8F" w:rsidP="00F42946">
      <w:pPr>
        <w:spacing w:after="0" w:line="240" w:lineRule="auto"/>
        <w:ind w:firstLine="360"/>
        <w:jc w:val="both"/>
        <w:rPr>
          <w:rFonts w:ascii="Times New Roman" w:hAnsi="Times New Roman"/>
          <w:sz w:val="24"/>
        </w:rPr>
      </w:pPr>
      <w:r w:rsidRPr="00BA5A45">
        <w:rPr>
          <w:rFonts w:ascii="Times New Roman" w:hAnsi="Times New Roman"/>
          <w:sz w:val="24"/>
        </w:rPr>
        <w:tab/>
        <w:t>(c)</w:t>
      </w:r>
      <w:r w:rsidRPr="00BA5A45">
        <w:rPr>
          <w:rFonts w:ascii="Times New Roman" w:hAnsi="Times New Roman"/>
          <w:sz w:val="24"/>
        </w:rPr>
        <w:tab/>
        <w:t>to forfeit any money, right, benefit or thing;</w:t>
      </w:r>
    </w:p>
    <w:p w14:paraId="2F1F6059" w14:textId="2A608044" w:rsidR="005E3F8F" w:rsidRPr="00BA5A45" w:rsidRDefault="005E3F8F" w:rsidP="00F42946">
      <w:pPr>
        <w:spacing w:after="0" w:line="240" w:lineRule="auto"/>
        <w:ind w:firstLine="360"/>
        <w:jc w:val="both"/>
        <w:rPr>
          <w:rFonts w:ascii="Times New Roman" w:hAnsi="Times New Roman"/>
          <w:sz w:val="24"/>
        </w:rPr>
      </w:pPr>
      <w:r w:rsidRPr="00BA5A45">
        <w:rPr>
          <w:rFonts w:ascii="Times New Roman" w:hAnsi="Times New Roman"/>
          <w:sz w:val="24"/>
        </w:rPr>
        <w:tab/>
      </w:r>
      <w:r w:rsidR="007F64B5" w:rsidRPr="00BA5A45">
        <w:rPr>
          <w:rFonts w:ascii="Times New Roman" w:hAnsi="Times New Roman"/>
          <w:sz w:val="24"/>
        </w:rPr>
        <w:tab/>
      </w:r>
      <w:r w:rsidRPr="00BA5A45">
        <w:rPr>
          <w:rFonts w:ascii="Times New Roman" w:hAnsi="Times New Roman"/>
          <w:sz w:val="24"/>
        </w:rPr>
        <w:t xml:space="preserve">as a </w:t>
      </w:r>
      <w:r w:rsidR="00BF5D8D" w:rsidRPr="00BA5A45">
        <w:rPr>
          <w:rFonts w:ascii="Times New Roman" w:hAnsi="Times New Roman"/>
          <w:sz w:val="24"/>
        </w:rPr>
        <w:t>result,</w:t>
      </w:r>
      <w:r w:rsidRPr="00BA5A45">
        <w:rPr>
          <w:rFonts w:ascii="Times New Roman" w:hAnsi="Times New Roman"/>
          <w:sz w:val="24"/>
        </w:rPr>
        <w:t xml:space="preserve"> or in respect of—</w:t>
      </w:r>
    </w:p>
    <w:p w14:paraId="61BFFF76" w14:textId="53256E25" w:rsidR="005E3F8F" w:rsidRPr="00BA5A45" w:rsidRDefault="005E3F8F" w:rsidP="00F42946">
      <w:pPr>
        <w:spacing w:after="0" w:line="240" w:lineRule="auto"/>
        <w:ind w:left="2160" w:hanging="720"/>
        <w:jc w:val="both"/>
        <w:rPr>
          <w:rFonts w:ascii="Times New Roman" w:hAnsi="Times New Roman"/>
          <w:sz w:val="24"/>
        </w:rPr>
      </w:pPr>
      <w:r w:rsidRPr="00BA5A45">
        <w:rPr>
          <w:rFonts w:ascii="Times New Roman" w:hAnsi="Times New Roman"/>
          <w:sz w:val="24"/>
        </w:rPr>
        <w:t>(i)</w:t>
      </w:r>
      <w:r w:rsidRPr="00BA5A45">
        <w:rPr>
          <w:rFonts w:ascii="Times New Roman" w:hAnsi="Times New Roman"/>
          <w:sz w:val="24"/>
        </w:rPr>
        <w:tab/>
        <w:t>an act or omission in conflict with a contractual obligation; or</w:t>
      </w:r>
    </w:p>
    <w:p w14:paraId="1DB83680" w14:textId="5DFF592E" w:rsidR="005E3F8F" w:rsidRPr="00BA5A45" w:rsidRDefault="005E3F8F" w:rsidP="00F42946">
      <w:pPr>
        <w:spacing w:after="0" w:line="240" w:lineRule="auto"/>
        <w:ind w:firstLine="360"/>
        <w:jc w:val="both"/>
        <w:rPr>
          <w:rFonts w:ascii="Times New Roman" w:hAnsi="Times New Roman"/>
          <w:sz w:val="24"/>
        </w:rPr>
      </w:pPr>
      <w:r w:rsidRPr="00BA5A45">
        <w:rPr>
          <w:rFonts w:ascii="Times New Roman" w:hAnsi="Times New Roman"/>
          <w:sz w:val="24"/>
        </w:rPr>
        <w:tab/>
      </w:r>
      <w:r w:rsidR="007F64B5" w:rsidRPr="00BA5A45">
        <w:rPr>
          <w:rFonts w:ascii="Times New Roman" w:hAnsi="Times New Roman"/>
          <w:sz w:val="24"/>
        </w:rPr>
        <w:tab/>
      </w:r>
      <w:r w:rsidRPr="00BA5A45">
        <w:rPr>
          <w:rFonts w:ascii="Times New Roman" w:hAnsi="Times New Roman"/>
          <w:sz w:val="24"/>
        </w:rPr>
        <w:t>(ii)</w:t>
      </w:r>
      <w:r w:rsidRPr="00BA5A45">
        <w:rPr>
          <w:rFonts w:ascii="Times New Roman" w:hAnsi="Times New Roman"/>
          <w:sz w:val="24"/>
        </w:rPr>
        <w:tab/>
        <w:t>the withdrawal of any person from a contract;</w:t>
      </w:r>
    </w:p>
    <w:p w14:paraId="3F0F7DCE" w14:textId="77777777" w:rsidR="005E3F8F" w:rsidRPr="00BA5A45" w:rsidRDefault="005E3F8F" w:rsidP="00F42946">
      <w:pPr>
        <w:spacing w:after="0" w:line="240" w:lineRule="auto"/>
        <w:ind w:left="720"/>
        <w:jc w:val="both"/>
        <w:rPr>
          <w:rFonts w:ascii="Times New Roman" w:hAnsi="Times New Roman"/>
          <w:sz w:val="24"/>
        </w:rPr>
      </w:pPr>
      <w:r w:rsidRPr="00BA5A45">
        <w:rPr>
          <w:rFonts w:ascii="Times New Roman" w:hAnsi="Times New Roman"/>
          <w:sz w:val="24"/>
        </w:rPr>
        <w:lastRenderedPageBreak/>
        <w:t>whether the liability is expressed to be by way of penalty, liquidated damages or otherwise.”</w:t>
      </w:r>
    </w:p>
    <w:p w14:paraId="280D2E73" w14:textId="77777777" w:rsidR="007F64B5" w:rsidRPr="00BA5A45" w:rsidRDefault="007F64B5" w:rsidP="00F42946">
      <w:pPr>
        <w:spacing w:after="0" w:line="480" w:lineRule="auto"/>
        <w:ind w:firstLine="720"/>
        <w:jc w:val="both"/>
        <w:rPr>
          <w:rFonts w:ascii="Times New Roman" w:hAnsi="Times New Roman"/>
          <w:sz w:val="24"/>
          <w:lang w:val="en-GB"/>
        </w:rPr>
      </w:pPr>
    </w:p>
    <w:p w14:paraId="01F99E90" w14:textId="77777777" w:rsidR="007F64B5" w:rsidRPr="00BA5A45" w:rsidRDefault="007F64B5" w:rsidP="00F42946">
      <w:pPr>
        <w:spacing w:after="0" w:line="240" w:lineRule="auto"/>
        <w:ind w:firstLine="720"/>
        <w:jc w:val="both"/>
        <w:rPr>
          <w:rFonts w:ascii="Times New Roman" w:hAnsi="Times New Roman"/>
          <w:sz w:val="24"/>
          <w:lang w:val="en-GB"/>
        </w:rPr>
      </w:pPr>
    </w:p>
    <w:p w14:paraId="505A0F3E" w14:textId="675AA096" w:rsidR="005E3F8F" w:rsidRPr="00BA5A45" w:rsidRDefault="005E3F8F"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The sale of the complainants’ property</w:t>
      </w:r>
      <w:r w:rsidR="00EA7B75" w:rsidRPr="00BA5A45">
        <w:rPr>
          <w:rFonts w:ascii="Times New Roman" w:hAnsi="Times New Roman"/>
          <w:sz w:val="24"/>
          <w:lang w:val="en-GB"/>
        </w:rPr>
        <w:t xml:space="preserve"> would then</w:t>
      </w:r>
      <w:r w:rsidRPr="00BA5A45">
        <w:rPr>
          <w:rFonts w:ascii="Times New Roman" w:hAnsi="Times New Roman"/>
          <w:sz w:val="24"/>
          <w:lang w:val="en-GB"/>
        </w:rPr>
        <w:t xml:space="preserve"> fall within the definition of a penalty stipulation. The appellant should therefore have approached a competent court for the enforcement of the penalty stipulation instead of selling the property on his own without a court order. I therefore find that the appellant’s contention that he did not need a court order has no </w:t>
      </w:r>
      <w:r w:rsidR="00891763" w:rsidRPr="00BA5A45">
        <w:rPr>
          <w:rFonts w:ascii="Times New Roman" w:hAnsi="Times New Roman"/>
          <w:sz w:val="24"/>
          <w:lang w:val="en-GB"/>
        </w:rPr>
        <w:t xml:space="preserve">merit. The </w:t>
      </w:r>
      <w:r w:rsidR="00EA7B75" w:rsidRPr="00BA5A45">
        <w:rPr>
          <w:rFonts w:ascii="Times New Roman" w:hAnsi="Times New Roman"/>
          <w:sz w:val="24"/>
          <w:lang w:val="en-GB"/>
        </w:rPr>
        <w:t>T</w:t>
      </w:r>
      <w:r w:rsidR="00891763" w:rsidRPr="00BA5A45">
        <w:rPr>
          <w:rFonts w:ascii="Times New Roman" w:hAnsi="Times New Roman"/>
          <w:sz w:val="24"/>
          <w:lang w:val="en-GB"/>
        </w:rPr>
        <w:t>ribunal’s finding that there was need for a court order cannot be faulted.</w:t>
      </w:r>
    </w:p>
    <w:p w14:paraId="7DA74769" w14:textId="77777777" w:rsidR="00D81197" w:rsidRPr="00BA5A45" w:rsidRDefault="00D81197" w:rsidP="00F42946">
      <w:pPr>
        <w:spacing w:after="0" w:line="480" w:lineRule="auto"/>
        <w:jc w:val="both"/>
        <w:rPr>
          <w:rFonts w:ascii="Times New Roman" w:hAnsi="Times New Roman"/>
          <w:b/>
          <w:sz w:val="24"/>
          <w:lang w:val="en-GB"/>
        </w:rPr>
      </w:pPr>
    </w:p>
    <w:p w14:paraId="2A079B56" w14:textId="0B8F1E52" w:rsidR="006B2309" w:rsidRPr="00BA5A45" w:rsidRDefault="00140D57" w:rsidP="00F42946">
      <w:pPr>
        <w:spacing w:after="0" w:line="480" w:lineRule="auto"/>
        <w:jc w:val="both"/>
        <w:rPr>
          <w:rFonts w:ascii="Times New Roman" w:hAnsi="Times New Roman"/>
          <w:b/>
          <w:sz w:val="24"/>
          <w:lang w:val="en-GB"/>
        </w:rPr>
      </w:pPr>
      <w:r w:rsidRPr="00BA5A45">
        <w:rPr>
          <w:rFonts w:ascii="Times New Roman" w:hAnsi="Times New Roman"/>
          <w:b/>
          <w:sz w:val="24"/>
          <w:lang w:val="en-GB"/>
        </w:rPr>
        <w:t>Whether the appellant’s conduct in transferring the balance of the purchase price to National Foods</w:t>
      </w:r>
      <w:r w:rsidR="00E84EA8" w:rsidRPr="00BA5A45">
        <w:rPr>
          <w:rFonts w:ascii="Times New Roman" w:hAnsi="Times New Roman"/>
          <w:b/>
          <w:sz w:val="24"/>
          <w:lang w:val="en-GB"/>
        </w:rPr>
        <w:t xml:space="preserve"> Operations</w:t>
      </w:r>
      <w:r w:rsidRPr="00BA5A45">
        <w:rPr>
          <w:rFonts w:ascii="Times New Roman" w:hAnsi="Times New Roman"/>
          <w:b/>
          <w:sz w:val="24"/>
          <w:lang w:val="en-GB"/>
        </w:rPr>
        <w:t xml:space="preserve"> </w:t>
      </w:r>
      <w:r w:rsidR="006B2121" w:rsidRPr="00BA5A45">
        <w:rPr>
          <w:rFonts w:ascii="Times New Roman" w:hAnsi="Times New Roman"/>
          <w:b/>
          <w:sz w:val="24"/>
          <w:lang w:val="en-GB"/>
        </w:rPr>
        <w:t xml:space="preserve">Limited </w:t>
      </w:r>
      <w:r w:rsidRPr="00BA5A45">
        <w:rPr>
          <w:rFonts w:ascii="Times New Roman" w:hAnsi="Times New Roman"/>
          <w:b/>
          <w:sz w:val="24"/>
          <w:lang w:val="en-GB"/>
        </w:rPr>
        <w:t>instead of the complainants amounts to abuse of trust funds.</w:t>
      </w:r>
    </w:p>
    <w:p w14:paraId="00DEF59B" w14:textId="080B3D74" w:rsidR="00D630C0" w:rsidRPr="00BA5A45" w:rsidRDefault="007F64B5" w:rsidP="00F42946">
      <w:pPr>
        <w:spacing w:after="0" w:line="480" w:lineRule="auto"/>
        <w:ind w:firstLine="1134"/>
        <w:jc w:val="both"/>
        <w:rPr>
          <w:rFonts w:ascii="Times New Roman" w:hAnsi="Times New Roman"/>
          <w:sz w:val="24"/>
          <w:lang w:val="en-GB"/>
        </w:rPr>
      </w:pPr>
      <w:r w:rsidRPr="00BA5A45">
        <w:rPr>
          <w:rFonts w:ascii="Times New Roman" w:hAnsi="Times New Roman"/>
          <w:sz w:val="24"/>
          <w:lang w:val="en-GB"/>
        </w:rPr>
        <w:t>Mr</w:t>
      </w:r>
      <w:r w:rsidR="00140D57" w:rsidRPr="00BA5A45">
        <w:rPr>
          <w:rFonts w:ascii="Times New Roman" w:hAnsi="Times New Roman"/>
          <w:i/>
          <w:sz w:val="24"/>
          <w:lang w:val="en-GB"/>
        </w:rPr>
        <w:t xml:space="preserve"> Girach</w:t>
      </w:r>
      <w:r w:rsidR="00140D57" w:rsidRPr="00BA5A45">
        <w:rPr>
          <w:rFonts w:ascii="Times New Roman" w:hAnsi="Times New Roman"/>
          <w:sz w:val="24"/>
          <w:lang w:val="en-GB"/>
        </w:rPr>
        <w:t xml:space="preserve"> conceded that the appellant ought not to have remitted the balance of the purchase price to N</w:t>
      </w:r>
      <w:r w:rsidR="000526D2" w:rsidRPr="00BA5A45">
        <w:rPr>
          <w:rFonts w:ascii="Times New Roman" w:hAnsi="Times New Roman"/>
          <w:sz w:val="24"/>
          <w:lang w:val="en-GB"/>
        </w:rPr>
        <w:t>FOL</w:t>
      </w:r>
      <w:r w:rsidR="00140D57" w:rsidRPr="00BA5A45">
        <w:rPr>
          <w:rFonts w:ascii="Times New Roman" w:hAnsi="Times New Roman"/>
          <w:sz w:val="24"/>
          <w:lang w:val="en-GB"/>
        </w:rPr>
        <w:t xml:space="preserve"> </w:t>
      </w:r>
      <w:r w:rsidR="00D630C0" w:rsidRPr="00BA5A45">
        <w:rPr>
          <w:rFonts w:ascii="Times New Roman" w:hAnsi="Times New Roman"/>
          <w:sz w:val="24"/>
          <w:lang w:val="en-GB"/>
        </w:rPr>
        <w:t>but argued that this was only a minor infraction which did not necessarily amount to abuse or misappropriation of trust funds. Counsel submitted that the appellant ought to have been given the benefit of the doubt that he did not put the money in his pocket and should therefore have been given a less severe sentence.</w:t>
      </w:r>
    </w:p>
    <w:p w14:paraId="156B712C" w14:textId="77777777" w:rsidR="00D81197" w:rsidRPr="00BA5A45" w:rsidRDefault="00D81197" w:rsidP="00F42946">
      <w:pPr>
        <w:spacing w:after="0" w:line="480" w:lineRule="auto"/>
        <w:ind w:firstLine="720"/>
        <w:jc w:val="both"/>
        <w:rPr>
          <w:rFonts w:ascii="Times New Roman" w:hAnsi="Times New Roman"/>
          <w:sz w:val="24"/>
        </w:rPr>
      </w:pPr>
    </w:p>
    <w:p w14:paraId="0480FA1A" w14:textId="77777777" w:rsidR="00D630C0" w:rsidRPr="00BA5A45" w:rsidRDefault="00D630C0" w:rsidP="00F42946">
      <w:pPr>
        <w:spacing w:after="0" w:line="480" w:lineRule="auto"/>
        <w:ind w:firstLine="1134"/>
        <w:jc w:val="both"/>
        <w:rPr>
          <w:rFonts w:ascii="Times New Roman" w:hAnsi="Times New Roman"/>
          <w:sz w:val="24"/>
        </w:rPr>
      </w:pPr>
      <w:r w:rsidRPr="00BA5A45">
        <w:rPr>
          <w:rFonts w:ascii="Times New Roman" w:hAnsi="Times New Roman"/>
          <w:sz w:val="24"/>
        </w:rPr>
        <w:t xml:space="preserve">The importance of trust accounts was underscored in the case of </w:t>
      </w:r>
      <w:r w:rsidRPr="00BA5A45">
        <w:rPr>
          <w:rFonts w:ascii="Times New Roman" w:hAnsi="Times New Roman"/>
          <w:i/>
          <w:sz w:val="24"/>
        </w:rPr>
        <w:t>Mitchell v Estate Agents Council</w:t>
      </w:r>
      <w:r w:rsidRPr="00BA5A45">
        <w:rPr>
          <w:rFonts w:ascii="Times New Roman" w:hAnsi="Times New Roman"/>
          <w:b/>
          <w:sz w:val="24"/>
        </w:rPr>
        <w:t xml:space="preserve"> </w:t>
      </w:r>
      <w:r w:rsidRPr="00BA5A45">
        <w:rPr>
          <w:rFonts w:ascii="Times New Roman" w:hAnsi="Times New Roman"/>
          <w:sz w:val="24"/>
        </w:rPr>
        <w:t>1996 (1) ZLR 222 (S) wherein this Court stated that:</w:t>
      </w:r>
    </w:p>
    <w:p w14:paraId="6307732A" w14:textId="77777777" w:rsidR="00D630C0" w:rsidRPr="00BA5A45" w:rsidRDefault="00D630C0" w:rsidP="00F42946">
      <w:pPr>
        <w:spacing w:after="0" w:line="240" w:lineRule="auto"/>
        <w:ind w:left="567"/>
        <w:jc w:val="both"/>
        <w:rPr>
          <w:rFonts w:ascii="Times New Roman" w:hAnsi="Times New Roman"/>
          <w:sz w:val="24"/>
        </w:rPr>
      </w:pPr>
      <w:r w:rsidRPr="00BA5A45">
        <w:rPr>
          <w:rFonts w:ascii="Times New Roman" w:hAnsi="Times New Roman"/>
          <w:sz w:val="24"/>
        </w:rPr>
        <w:t xml:space="preserve">“Central to the whole concept of professionalism in the handling of clients’ money is the trust account. </w:t>
      </w:r>
      <w:r w:rsidRPr="00BA5A45">
        <w:rPr>
          <w:rFonts w:ascii="Times New Roman" w:hAnsi="Times New Roman"/>
          <w:b/>
          <w:sz w:val="24"/>
        </w:rPr>
        <w:t>Whether one is speaking of lawyers, accountants or estate agents, the principle is the same. Clients must know, with absolute conviction, that their money is safe.</w:t>
      </w:r>
      <w:r w:rsidRPr="00BA5A45">
        <w:rPr>
          <w:rFonts w:ascii="Times New Roman" w:hAnsi="Times New Roman"/>
          <w:sz w:val="24"/>
        </w:rPr>
        <w:t xml:space="preserve"> The machinery which has developed to ensure that safety is the trust account system.”</w:t>
      </w:r>
      <w:r w:rsidRPr="00BA5A45">
        <w:rPr>
          <w:rFonts w:ascii="Times New Roman" w:hAnsi="Times New Roman"/>
          <w:i/>
          <w:sz w:val="24"/>
        </w:rPr>
        <w:t xml:space="preserve"> </w:t>
      </w:r>
      <w:r w:rsidRPr="00BA5A45">
        <w:rPr>
          <w:rFonts w:ascii="Times New Roman" w:hAnsi="Times New Roman"/>
          <w:sz w:val="24"/>
        </w:rPr>
        <w:t>(my emphasis)</w:t>
      </w:r>
    </w:p>
    <w:p w14:paraId="55E1595C" w14:textId="77777777" w:rsidR="00D81197" w:rsidRPr="00BA5A45" w:rsidRDefault="00D81197" w:rsidP="00F42946">
      <w:pPr>
        <w:spacing w:after="0" w:line="480" w:lineRule="auto"/>
        <w:ind w:firstLine="720"/>
        <w:jc w:val="both"/>
        <w:rPr>
          <w:rFonts w:ascii="Times New Roman" w:hAnsi="Times New Roman"/>
          <w:sz w:val="24"/>
          <w:lang w:val="en-ZW"/>
        </w:rPr>
      </w:pPr>
    </w:p>
    <w:p w14:paraId="2FD9EEAE" w14:textId="77777777" w:rsidR="00D630C0" w:rsidRPr="00BA5A45" w:rsidRDefault="00D630C0" w:rsidP="00F42946">
      <w:pPr>
        <w:spacing w:after="0" w:line="480" w:lineRule="auto"/>
        <w:ind w:firstLine="1134"/>
        <w:jc w:val="both"/>
        <w:rPr>
          <w:rFonts w:ascii="Times New Roman" w:hAnsi="Times New Roman"/>
          <w:sz w:val="24"/>
          <w:lang w:val="en-ZW"/>
        </w:rPr>
      </w:pPr>
      <w:r w:rsidRPr="00BA5A45">
        <w:rPr>
          <w:rFonts w:ascii="Times New Roman" w:hAnsi="Times New Roman"/>
          <w:sz w:val="24"/>
          <w:lang w:val="en-ZW"/>
        </w:rPr>
        <w:lastRenderedPageBreak/>
        <w:t xml:space="preserve">The Court in </w:t>
      </w:r>
      <w:r w:rsidRPr="00BA5A45">
        <w:rPr>
          <w:rFonts w:ascii="Times New Roman" w:hAnsi="Times New Roman"/>
          <w:i/>
          <w:sz w:val="24"/>
          <w:lang w:val="en-ZW"/>
        </w:rPr>
        <w:t>Law Society, Transvaal v Matthews</w:t>
      </w:r>
      <w:r w:rsidRPr="00BA5A45">
        <w:rPr>
          <w:rFonts w:ascii="Times New Roman" w:hAnsi="Times New Roman"/>
          <w:b/>
          <w:i/>
          <w:sz w:val="24"/>
          <w:lang w:val="en-ZW"/>
        </w:rPr>
        <w:t xml:space="preserve"> </w:t>
      </w:r>
      <w:r w:rsidRPr="00BA5A45">
        <w:rPr>
          <w:rFonts w:ascii="Times New Roman" w:hAnsi="Times New Roman"/>
          <w:sz w:val="24"/>
          <w:lang w:val="en-ZW"/>
        </w:rPr>
        <w:t>1989 (4) SA 389 (T) at 394 expressed the same sentiments as follows:</w:t>
      </w:r>
    </w:p>
    <w:p w14:paraId="56A64A53" w14:textId="77777777" w:rsidR="00D630C0" w:rsidRPr="00BA5A45" w:rsidRDefault="00D630C0" w:rsidP="00F42946">
      <w:pPr>
        <w:spacing w:after="0" w:line="240" w:lineRule="auto"/>
        <w:ind w:left="567"/>
        <w:jc w:val="both"/>
        <w:rPr>
          <w:rFonts w:ascii="Times New Roman" w:hAnsi="Times New Roman"/>
          <w:sz w:val="24"/>
          <w:lang w:val="en-ZW"/>
        </w:rPr>
      </w:pPr>
      <w:r w:rsidRPr="00BA5A45">
        <w:rPr>
          <w:rFonts w:ascii="Times New Roman" w:hAnsi="Times New Roman"/>
          <w:sz w:val="24"/>
          <w:lang w:val="en-ZW"/>
        </w:rPr>
        <w:t xml:space="preserve">“I deal now with the duty of an attorney in regard to trust money. … where trust money is paid to an attorney it is his duty to </w:t>
      </w:r>
      <w:r w:rsidRPr="00BA5A45">
        <w:rPr>
          <w:rFonts w:ascii="Times New Roman" w:hAnsi="Times New Roman"/>
          <w:b/>
          <w:sz w:val="24"/>
          <w:lang w:val="en-ZW"/>
        </w:rPr>
        <w:t xml:space="preserve">keep it in his possession and to use it for no other purpose than that of the trust. </w:t>
      </w:r>
      <w:r w:rsidRPr="00BA5A45">
        <w:rPr>
          <w:rFonts w:ascii="Times New Roman" w:hAnsi="Times New Roman"/>
          <w:sz w:val="24"/>
          <w:lang w:val="en-ZW"/>
        </w:rPr>
        <w:t xml:space="preserve">It is inherent in such a trust that the attorney should at all times have available liquid funds in an equivalent amount. The very essence of a trust is the absence of risk. </w:t>
      </w:r>
      <w:r w:rsidRPr="00BA5A45">
        <w:rPr>
          <w:rFonts w:ascii="Times New Roman" w:hAnsi="Times New Roman"/>
          <w:b/>
          <w:sz w:val="24"/>
          <w:lang w:val="en-ZW"/>
        </w:rPr>
        <w:t xml:space="preserve">It is imperative that trust money in the possession of an attorney should be available to his client the instant it becomes payable.” </w:t>
      </w:r>
      <w:r w:rsidRPr="00BA5A45">
        <w:rPr>
          <w:rFonts w:ascii="Times New Roman" w:hAnsi="Times New Roman"/>
          <w:sz w:val="24"/>
          <w:lang w:val="en-ZW"/>
        </w:rPr>
        <w:t>(my emphasis)</w:t>
      </w:r>
    </w:p>
    <w:p w14:paraId="412DF6FD" w14:textId="77777777" w:rsidR="00D81197" w:rsidRPr="00BA5A45" w:rsidRDefault="00D81197" w:rsidP="00F42946">
      <w:pPr>
        <w:spacing w:after="0" w:line="480" w:lineRule="auto"/>
        <w:ind w:firstLine="720"/>
        <w:jc w:val="both"/>
        <w:rPr>
          <w:rFonts w:ascii="Times New Roman" w:hAnsi="Times New Roman"/>
          <w:sz w:val="24"/>
          <w:lang w:val="en-ZW"/>
        </w:rPr>
      </w:pPr>
    </w:p>
    <w:p w14:paraId="447E2612" w14:textId="72B12E38" w:rsidR="00802365" w:rsidRPr="00BA5A45" w:rsidRDefault="00802365" w:rsidP="00F42946">
      <w:pPr>
        <w:spacing w:after="0" w:line="480" w:lineRule="auto"/>
        <w:ind w:firstLine="1134"/>
        <w:jc w:val="both"/>
        <w:rPr>
          <w:rFonts w:ascii="Times New Roman" w:hAnsi="Times New Roman"/>
          <w:sz w:val="24"/>
          <w:lang w:val="en-ZW"/>
        </w:rPr>
      </w:pPr>
      <w:r w:rsidRPr="00BA5A45">
        <w:rPr>
          <w:rFonts w:ascii="Times New Roman" w:hAnsi="Times New Roman"/>
          <w:sz w:val="24"/>
          <w:lang w:val="en-ZW"/>
        </w:rPr>
        <w:t>From the above cases, it is apparent that it is the duty of the legal practitioner to safeguard clients’ trust funds from risk and to use</w:t>
      </w:r>
      <w:r w:rsidR="00210B7B">
        <w:rPr>
          <w:rFonts w:ascii="Times New Roman" w:hAnsi="Times New Roman"/>
          <w:sz w:val="24"/>
          <w:lang w:val="en-ZW"/>
        </w:rPr>
        <w:t xml:space="preserve"> those funds for no other purpose</w:t>
      </w:r>
      <w:r w:rsidRPr="00BA5A45">
        <w:rPr>
          <w:rFonts w:ascii="Times New Roman" w:hAnsi="Times New Roman"/>
          <w:sz w:val="24"/>
          <w:lang w:val="en-ZW"/>
        </w:rPr>
        <w:t xml:space="preserve"> except that of the trust. The legal practitioner is also bound to avail the trust funds to the client from the moment they become available. The appellant in this case failed to do</w:t>
      </w:r>
      <w:r w:rsidR="006B2121" w:rsidRPr="00BA5A45">
        <w:rPr>
          <w:rFonts w:ascii="Times New Roman" w:hAnsi="Times New Roman"/>
          <w:sz w:val="24"/>
          <w:lang w:val="en-ZW"/>
        </w:rPr>
        <w:t xml:space="preserve"> so</w:t>
      </w:r>
      <w:r w:rsidRPr="00BA5A45">
        <w:rPr>
          <w:rFonts w:ascii="Times New Roman" w:hAnsi="Times New Roman"/>
          <w:sz w:val="24"/>
          <w:lang w:val="en-ZW"/>
        </w:rPr>
        <w:t>. When the money which</w:t>
      </w:r>
      <w:r w:rsidR="00BF5D8D" w:rsidRPr="00BA5A45">
        <w:rPr>
          <w:rFonts w:ascii="Times New Roman" w:hAnsi="Times New Roman"/>
          <w:sz w:val="24"/>
          <w:lang w:val="en-ZW"/>
        </w:rPr>
        <w:t xml:space="preserve"> was due to the complainants</w:t>
      </w:r>
      <w:r w:rsidRPr="00BA5A45">
        <w:rPr>
          <w:rFonts w:ascii="Times New Roman" w:hAnsi="Times New Roman"/>
          <w:sz w:val="24"/>
          <w:lang w:val="en-ZW"/>
        </w:rPr>
        <w:t xml:space="preserve"> became avai</w:t>
      </w:r>
      <w:r w:rsidR="00E84EA8" w:rsidRPr="00BA5A45">
        <w:rPr>
          <w:rFonts w:ascii="Times New Roman" w:hAnsi="Times New Roman"/>
          <w:sz w:val="24"/>
          <w:lang w:val="en-ZW"/>
        </w:rPr>
        <w:t>lable, the appellant remitted the same to NFOL</w:t>
      </w:r>
      <w:r w:rsidRPr="00BA5A45">
        <w:rPr>
          <w:rFonts w:ascii="Times New Roman" w:hAnsi="Times New Roman"/>
          <w:sz w:val="24"/>
          <w:lang w:val="en-ZW"/>
        </w:rPr>
        <w:t xml:space="preserve"> without the authority of the</w:t>
      </w:r>
      <w:r w:rsidR="006F1D32" w:rsidRPr="00BA5A45">
        <w:rPr>
          <w:rFonts w:ascii="Times New Roman" w:hAnsi="Times New Roman"/>
          <w:sz w:val="24"/>
          <w:lang w:val="en-ZW"/>
        </w:rPr>
        <w:t xml:space="preserve"> </w:t>
      </w:r>
      <w:r w:rsidR="00CE2F29" w:rsidRPr="00BA5A45">
        <w:rPr>
          <w:rFonts w:ascii="Times New Roman" w:hAnsi="Times New Roman"/>
          <w:sz w:val="24"/>
          <w:lang w:val="en-ZW"/>
        </w:rPr>
        <w:t>complainants</w:t>
      </w:r>
      <w:r w:rsidR="006F1D32" w:rsidRPr="00BA5A45">
        <w:rPr>
          <w:rFonts w:ascii="Times New Roman" w:hAnsi="Times New Roman"/>
          <w:sz w:val="24"/>
          <w:lang w:val="en-ZW"/>
        </w:rPr>
        <w:t>. This in my view amounts to misappropriation of trust funds.</w:t>
      </w:r>
    </w:p>
    <w:p w14:paraId="1B691636" w14:textId="77777777" w:rsidR="00D81197" w:rsidRPr="00BA5A45" w:rsidRDefault="00D81197" w:rsidP="00F42946">
      <w:pPr>
        <w:spacing w:after="0" w:line="480" w:lineRule="auto"/>
        <w:ind w:firstLine="720"/>
        <w:jc w:val="both"/>
        <w:rPr>
          <w:rFonts w:ascii="Times New Roman" w:hAnsi="Times New Roman"/>
          <w:sz w:val="24"/>
          <w:lang w:val="en-ZW"/>
        </w:rPr>
      </w:pPr>
    </w:p>
    <w:p w14:paraId="36876B2A" w14:textId="127EFE6E" w:rsidR="00802365" w:rsidRPr="00BA5A45" w:rsidRDefault="00802365" w:rsidP="00F42946">
      <w:pPr>
        <w:spacing w:after="0" w:line="480" w:lineRule="auto"/>
        <w:ind w:firstLine="1134"/>
        <w:jc w:val="both"/>
        <w:rPr>
          <w:rFonts w:ascii="Times New Roman" w:hAnsi="Times New Roman"/>
          <w:sz w:val="24"/>
        </w:rPr>
      </w:pPr>
      <w:r w:rsidRPr="00BA5A45">
        <w:rPr>
          <w:rFonts w:ascii="Times New Roman" w:hAnsi="Times New Roman"/>
          <w:sz w:val="24"/>
          <w:lang w:val="en-ZW"/>
        </w:rPr>
        <w:t>Mi</w:t>
      </w:r>
      <w:r w:rsidR="00E84EA8" w:rsidRPr="00BA5A45">
        <w:rPr>
          <w:rFonts w:ascii="Times New Roman" w:hAnsi="Times New Roman"/>
          <w:sz w:val="24"/>
          <w:lang w:val="en-ZW"/>
        </w:rPr>
        <w:t>sappropriation of funds may be</w:t>
      </w:r>
      <w:r w:rsidRPr="00BA5A45">
        <w:rPr>
          <w:rFonts w:ascii="Times New Roman" w:hAnsi="Times New Roman"/>
          <w:sz w:val="24"/>
          <w:lang w:val="en-ZW"/>
        </w:rPr>
        <w:t xml:space="preserve"> defined to mean ‘</w:t>
      </w:r>
      <w:r w:rsidRPr="00BA5A45">
        <w:rPr>
          <w:rFonts w:ascii="Times New Roman" w:hAnsi="Times New Roman"/>
          <w:sz w:val="24"/>
        </w:rPr>
        <w:t xml:space="preserve">the </w:t>
      </w:r>
      <w:r w:rsidR="008070DC" w:rsidRPr="00BA5A45">
        <w:rPr>
          <w:rFonts w:ascii="Times New Roman" w:hAnsi="Times New Roman"/>
          <w:sz w:val="24"/>
        </w:rPr>
        <w:t>unauthorized or unlawful use of funds or property for purposes other than for which intended.”(www.Law.cornell.edu.wex)</w:t>
      </w:r>
      <w:r w:rsidRPr="00BA5A45">
        <w:rPr>
          <w:rFonts w:ascii="Times New Roman" w:hAnsi="Times New Roman"/>
          <w:sz w:val="24"/>
        </w:rPr>
        <w:t xml:space="preserve">. Furthermore, s 3 (8) of the Legal Practitioners’ (Code of Conduct) By Laws, 2018, provides that the following is unprofessional, </w:t>
      </w:r>
      <w:r w:rsidR="007F64B5" w:rsidRPr="00BA5A45">
        <w:rPr>
          <w:rFonts w:ascii="Times New Roman" w:hAnsi="Times New Roman"/>
          <w:sz w:val="24"/>
        </w:rPr>
        <w:t>dishonorable</w:t>
      </w:r>
      <w:r w:rsidRPr="00BA5A45">
        <w:rPr>
          <w:rFonts w:ascii="Times New Roman" w:hAnsi="Times New Roman"/>
          <w:sz w:val="24"/>
        </w:rPr>
        <w:t xml:space="preserve"> or unworthy </w:t>
      </w:r>
      <w:r w:rsidR="00E84EA8" w:rsidRPr="00BA5A45">
        <w:rPr>
          <w:rFonts w:ascii="Times New Roman" w:hAnsi="Times New Roman"/>
          <w:sz w:val="24"/>
        </w:rPr>
        <w:t>conduct by a legal practitioner:</w:t>
      </w:r>
    </w:p>
    <w:p w14:paraId="0426EFF2" w14:textId="77777777" w:rsidR="00802365" w:rsidRDefault="00802365" w:rsidP="00F42946">
      <w:pPr>
        <w:spacing w:after="0" w:line="240" w:lineRule="auto"/>
        <w:ind w:left="567"/>
        <w:jc w:val="both"/>
        <w:rPr>
          <w:rFonts w:ascii="Times New Roman" w:hAnsi="Times New Roman"/>
          <w:sz w:val="24"/>
        </w:rPr>
      </w:pPr>
      <w:r w:rsidRPr="00BA5A45">
        <w:rPr>
          <w:rFonts w:ascii="Times New Roman" w:hAnsi="Times New Roman"/>
          <w:sz w:val="24"/>
        </w:rPr>
        <w:t>“Handling any money, securities or other assets received for a client or in the course of his or her practice dishonestly, negligently or in a manner other than is required by law regarding the handling thereof.”</w:t>
      </w:r>
    </w:p>
    <w:p w14:paraId="2973401B" w14:textId="77777777" w:rsidR="00446F75" w:rsidRPr="00BA5A45" w:rsidRDefault="00446F75" w:rsidP="00F42946">
      <w:pPr>
        <w:spacing w:after="0" w:line="240" w:lineRule="auto"/>
        <w:ind w:left="567"/>
        <w:jc w:val="both"/>
        <w:rPr>
          <w:rFonts w:ascii="Times New Roman" w:hAnsi="Times New Roman"/>
          <w:sz w:val="24"/>
        </w:rPr>
      </w:pPr>
    </w:p>
    <w:p w14:paraId="1D0EBC41" w14:textId="77777777" w:rsidR="007F64B5" w:rsidRPr="00BA5A45" w:rsidRDefault="007F64B5" w:rsidP="00F42946">
      <w:pPr>
        <w:spacing w:after="0" w:line="240" w:lineRule="auto"/>
        <w:ind w:left="567"/>
        <w:jc w:val="both"/>
        <w:rPr>
          <w:rFonts w:ascii="Times New Roman" w:hAnsi="Times New Roman"/>
          <w:sz w:val="24"/>
        </w:rPr>
      </w:pPr>
    </w:p>
    <w:p w14:paraId="64CFC78A" w14:textId="17A98D96" w:rsidR="00802365" w:rsidRPr="00BA5A45" w:rsidRDefault="00802365" w:rsidP="00F42946">
      <w:pPr>
        <w:spacing w:after="0" w:line="480" w:lineRule="auto"/>
        <w:ind w:firstLine="1134"/>
        <w:jc w:val="both"/>
        <w:rPr>
          <w:rFonts w:ascii="Times New Roman" w:hAnsi="Times New Roman"/>
          <w:sz w:val="24"/>
        </w:rPr>
      </w:pPr>
      <w:r w:rsidRPr="00BA5A45">
        <w:rPr>
          <w:rFonts w:ascii="Times New Roman" w:hAnsi="Times New Roman"/>
          <w:sz w:val="24"/>
        </w:rPr>
        <w:t xml:space="preserve">The appellant released the </w:t>
      </w:r>
      <w:r w:rsidR="006F1D32" w:rsidRPr="00BA5A45">
        <w:rPr>
          <w:rFonts w:ascii="Times New Roman" w:hAnsi="Times New Roman"/>
          <w:sz w:val="24"/>
        </w:rPr>
        <w:t>complainants’ share of the purchase price to N</w:t>
      </w:r>
      <w:r w:rsidR="000526D2" w:rsidRPr="00BA5A45">
        <w:rPr>
          <w:rFonts w:ascii="Times New Roman" w:hAnsi="Times New Roman"/>
          <w:sz w:val="24"/>
        </w:rPr>
        <w:t>FOL</w:t>
      </w:r>
      <w:r w:rsidR="00E84EA8" w:rsidRPr="00BA5A45">
        <w:rPr>
          <w:rFonts w:ascii="Times New Roman" w:hAnsi="Times New Roman"/>
          <w:sz w:val="24"/>
        </w:rPr>
        <w:t>.</w:t>
      </w:r>
      <w:r w:rsidRPr="00BA5A45">
        <w:rPr>
          <w:rFonts w:ascii="Times New Roman" w:hAnsi="Times New Roman"/>
          <w:sz w:val="24"/>
        </w:rPr>
        <w:t xml:space="preserve"> This was contrary to the </w:t>
      </w:r>
      <w:r w:rsidR="001B1326" w:rsidRPr="00BA5A45">
        <w:rPr>
          <w:rFonts w:ascii="Times New Roman" w:hAnsi="Times New Roman"/>
          <w:sz w:val="24"/>
        </w:rPr>
        <w:t>POA</w:t>
      </w:r>
      <w:r w:rsidR="000526D2" w:rsidRPr="00BA5A45">
        <w:rPr>
          <w:rFonts w:ascii="Times New Roman" w:hAnsi="Times New Roman"/>
          <w:sz w:val="24"/>
        </w:rPr>
        <w:t xml:space="preserve"> he purported to have acted under</w:t>
      </w:r>
      <w:r w:rsidRPr="00BA5A45">
        <w:rPr>
          <w:rFonts w:ascii="Times New Roman" w:hAnsi="Times New Roman"/>
          <w:sz w:val="24"/>
        </w:rPr>
        <w:t xml:space="preserve">. </w:t>
      </w:r>
      <w:r w:rsidR="006F1D32" w:rsidRPr="00BA5A45">
        <w:rPr>
          <w:rFonts w:ascii="Times New Roman" w:hAnsi="Times New Roman"/>
          <w:sz w:val="24"/>
        </w:rPr>
        <w:t xml:space="preserve">It is trite that </w:t>
      </w:r>
      <w:r w:rsidRPr="00BA5A45">
        <w:rPr>
          <w:rFonts w:ascii="Times New Roman" w:hAnsi="Times New Roman"/>
          <w:sz w:val="24"/>
        </w:rPr>
        <w:t xml:space="preserve">money held in a trust account is payable to the intended beneficiary, who in </w:t>
      </w:r>
      <w:r w:rsidRPr="00BA5A45">
        <w:rPr>
          <w:rFonts w:ascii="Times New Roman" w:hAnsi="Times New Roman"/>
          <w:i/>
          <w:sz w:val="24"/>
        </w:rPr>
        <w:t>casu</w:t>
      </w:r>
      <w:r w:rsidR="00E84EA8" w:rsidRPr="00BA5A45">
        <w:rPr>
          <w:rFonts w:ascii="Times New Roman" w:hAnsi="Times New Roman"/>
          <w:i/>
          <w:sz w:val="24"/>
        </w:rPr>
        <w:t>,</w:t>
      </w:r>
      <w:r w:rsidR="001B1326" w:rsidRPr="00BA5A45">
        <w:rPr>
          <w:rFonts w:ascii="Times New Roman" w:hAnsi="Times New Roman"/>
          <w:sz w:val="24"/>
        </w:rPr>
        <w:t xml:space="preserve"> were</w:t>
      </w:r>
      <w:r w:rsidRPr="00BA5A45">
        <w:rPr>
          <w:rFonts w:ascii="Times New Roman" w:hAnsi="Times New Roman"/>
          <w:sz w:val="24"/>
        </w:rPr>
        <w:t xml:space="preserve"> the </w:t>
      </w:r>
      <w:r w:rsidR="006F1D32" w:rsidRPr="00BA5A45">
        <w:rPr>
          <w:rFonts w:ascii="Times New Roman" w:hAnsi="Times New Roman"/>
          <w:sz w:val="24"/>
        </w:rPr>
        <w:t>complainants and not N</w:t>
      </w:r>
      <w:r w:rsidR="000526D2" w:rsidRPr="00BA5A45">
        <w:rPr>
          <w:rFonts w:ascii="Times New Roman" w:hAnsi="Times New Roman"/>
          <w:sz w:val="24"/>
        </w:rPr>
        <w:t>FOL</w:t>
      </w:r>
      <w:r w:rsidR="006F1D32" w:rsidRPr="00BA5A45">
        <w:rPr>
          <w:rFonts w:ascii="Times New Roman" w:hAnsi="Times New Roman"/>
          <w:sz w:val="24"/>
        </w:rPr>
        <w:t>.</w:t>
      </w:r>
      <w:r w:rsidR="000C122B" w:rsidRPr="00BA5A45">
        <w:rPr>
          <w:rFonts w:ascii="Times New Roman" w:hAnsi="Times New Roman"/>
          <w:sz w:val="24"/>
        </w:rPr>
        <w:t xml:space="preserve"> </w:t>
      </w:r>
      <w:r w:rsidR="000526D2" w:rsidRPr="00BA5A45">
        <w:rPr>
          <w:rFonts w:ascii="Times New Roman" w:hAnsi="Times New Roman"/>
          <w:sz w:val="24"/>
        </w:rPr>
        <w:lastRenderedPageBreak/>
        <w:t xml:space="preserve">The Tribunal properly discounted the submission that the complainants had refused to </w:t>
      </w:r>
      <w:r w:rsidR="000C122B" w:rsidRPr="00BA5A45">
        <w:rPr>
          <w:rFonts w:ascii="Times New Roman" w:hAnsi="Times New Roman"/>
          <w:sz w:val="24"/>
        </w:rPr>
        <w:t>accept</w:t>
      </w:r>
      <w:r w:rsidR="000526D2" w:rsidRPr="00BA5A45">
        <w:rPr>
          <w:rFonts w:ascii="Times New Roman" w:hAnsi="Times New Roman"/>
          <w:sz w:val="24"/>
        </w:rPr>
        <w:t xml:space="preserve"> the</w:t>
      </w:r>
      <w:r w:rsidR="000C122B" w:rsidRPr="00BA5A45">
        <w:rPr>
          <w:rFonts w:ascii="Times New Roman" w:hAnsi="Times New Roman"/>
          <w:sz w:val="24"/>
        </w:rPr>
        <w:t xml:space="preserve"> </w:t>
      </w:r>
      <w:r w:rsidR="000526D2" w:rsidRPr="00BA5A45">
        <w:rPr>
          <w:rFonts w:ascii="Times New Roman" w:hAnsi="Times New Roman"/>
          <w:sz w:val="24"/>
        </w:rPr>
        <w:t xml:space="preserve">money as a belated </w:t>
      </w:r>
      <w:r w:rsidR="000C122B" w:rsidRPr="00BA5A45">
        <w:rPr>
          <w:rFonts w:ascii="Times New Roman" w:hAnsi="Times New Roman"/>
          <w:sz w:val="24"/>
        </w:rPr>
        <w:t>excuse</w:t>
      </w:r>
      <w:r w:rsidR="000526D2" w:rsidRPr="00BA5A45">
        <w:rPr>
          <w:rFonts w:ascii="Times New Roman" w:hAnsi="Times New Roman"/>
          <w:sz w:val="24"/>
        </w:rPr>
        <w:t xml:space="preserve"> which</w:t>
      </w:r>
      <w:r w:rsidR="000C122B" w:rsidRPr="00BA5A45">
        <w:rPr>
          <w:rFonts w:ascii="Times New Roman" w:hAnsi="Times New Roman"/>
          <w:sz w:val="24"/>
        </w:rPr>
        <w:t>,</w:t>
      </w:r>
      <w:r w:rsidR="000526D2" w:rsidRPr="00BA5A45">
        <w:rPr>
          <w:rFonts w:ascii="Times New Roman" w:hAnsi="Times New Roman"/>
          <w:sz w:val="24"/>
        </w:rPr>
        <w:t xml:space="preserve"> in any case</w:t>
      </w:r>
      <w:r w:rsidR="000C122B" w:rsidRPr="00BA5A45">
        <w:rPr>
          <w:rFonts w:ascii="Times New Roman" w:hAnsi="Times New Roman"/>
          <w:sz w:val="24"/>
        </w:rPr>
        <w:t>,</w:t>
      </w:r>
      <w:r w:rsidR="000526D2" w:rsidRPr="00BA5A45">
        <w:rPr>
          <w:rFonts w:ascii="Times New Roman" w:hAnsi="Times New Roman"/>
          <w:sz w:val="24"/>
        </w:rPr>
        <w:t xml:space="preserve"> did not justify </w:t>
      </w:r>
      <w:r w:rsidR="000C122B" w:rsidRPr="00BA5A45">
        <w:rPr>
          <w:rFonts w:ascii="Times New Roman" w:hAnsi="Times New Roman"/>
          <w:sz w:val="24"/>
        </w:rPr>
        <w:t>remitting the money to NFOL.</w:t>
      </w:r>
    </w:p>
    <w:p w14:paraId="68FB8D9F" w14:textId="77777777" w:rsidR="00D81197" w:rsidRPr="00BA5A45" w:rsidRDefault="00D81197" w:rsidP="00F42946">
      <w:pPr>
        <w:spacing w:after="0" w:line="480" w:lineRule="auto"/>
        <w:ind w:firstLine="720"/>
        <w:jc w:val="both"/>
        <w:rPr>
          <w:rFonts w:ascii="Times New Roman" w:hAnsi="Times New Roman"/>
          <w:sz w:val="24"/>
        </w:rPr>
      </w:pPr>
    </w:p>
    <w:p w14:paraId="1226F4EB" w14:textId="7F09F204" w:rsidR="006B2121" w:rsidRDefault="008070DC" w:rsidP="00F42946">
      <w:pPr>
        <w:spacing w:after="0" w:line="480" w:lineRule="auto"/>
        <w:ind w:firstLine="1134"/>
        <w:jc w:val="both"/>
        <w:rPr>
          <w:rFonts w:ascii="Times New Roman" w:hAnsi="Times New Roman"/>
          <w:sz w:val="24"/>
        </w:rPr>
      </w:pPr>
      <w:r w:rsidRPr="00BA5A45">
        <w:rPr>
          <w:rFonts w:ascii="Times New Roman" w:hAnsi="Times New Roman"/>
          <w:sz w:val="24"/>
        </w:rPr>
        <w:t>Further</w:t>
      </w:r>
      <w:r w:rsidR="00802365" w:rsidRPr="00BA5A45">
        <w:rPr>
          <w:rFonts w:ascii="Times New Roman" w:hAnsi="Times New Roman"/>
          <w:sz w:val="24"/>
        </w:rPr>
        <w:t xml:space="preserve">, the </w:t>
      </w:r>
      <w:r w:rsidR="006F1D32" w:rsidRPr="00BA5A45">
        <w:rPr>
          <w:rFonts w:ascii="Times New Roman" w:hAnsi="Times New Roman"/>
          <w:sz w:val="24"/>
        </w:rPr>
        <w:t xml:space="preserve">contention by the appellant </w:t>
      </w:r>
      <w:r w:rsidR="00802365" w:rsidRPr="00BA5A45">
        <w:rPr>
          <w:rFonts w:ascii="Times New Roman" w:hAnsi="Times New Roman"/>
          <w:sz w:val="24"/>
        </w:rPr>
        <w:t>that he did not misappropriate the trust funds by reason that he did not convert the money to his own use has no merit. This is because misappropriation of funds from the definition given above</w:t>
      </w:r>
      <w:r w:rsidR="00BF5D8D" w:rsidRPr="00BA5A45">
        <w:rPr>
          <w:rFonts w:ascii="Times New Roman" w:hAnsi="Times New Roman"/>
          <w:sz w:val="24"/>
        </w:rPr>
        <w:t>,</w:t>
      </w:r>
      <w:r w:rsidR="00802365" w:rsidRPr="00BA5A45">
        <w:rPr>
          <w:rFonts w:ascii="Times New Roman" w:hAnsi="Times New Roman"/>
          <w:sz w:val="24"/>
        </w:rPr>
        <w:t xml:space="preserve"> also involves intentionally using the funds for </w:t>
      </w:r>
      <w:r w:rsidR="006B2121" w:rsidRPr="00BA5A45">
        <w:rPr>
          <w:rFonts w:ascii="Times New Roman" w:hAnsi="Times New Roman"/>
          <w:sz w:val="24"/>
        </w:rPr>
        <w:t xml:space="preserve">any </w:t>
      </w:r>
      <w:r w:rsidR="00802365" w:rsidRPr="00BA5A45">
        <w:rPr>
          <w:rFonts w:ascii="Times New Roman" w:hAnsi="Times New Roman"/>
          <w:sz w:val="24"/>
        </w:rPr>
        <w:t xml:space="preserve">other unauthorized purpose. This is what the appellant did as he transferred the money to </w:t>
      </w:r>
      <w:r w:rsidR="006F1D32" w:rsidRPr="00BA5A45">
        <w:rPr>
          <w:rFonts w:ascii="Times New Roman" w:hAnsi="Times New Roman"/>
          <w:sz w:val="24"/>
        </w:rPr>
        <w:t>N</w:t>
      </w:r>
      <w:r w:rsidR="000526D2" w:rsidRPr="00BA5A45">
        <w:rPr>
          <w:rFonts w:ascii="Times New Roman" w:hAnsi="Times New Roman"/>
          <w:sz w:val="24"/>
        </w:rPr>
        <w:t>FOL</w:t>
      </w:r>
      <w:r w:rsidR="00802365" w:rsidRPr="00BA5A45">
        <w:rPr>
          <w:rFonts w:ascii="Times New Roman" w:hAnsi="Times New Roman"/>
          <w:sz w:val="24"/>
        </w:rPr>
        <w:t xml:space="preserve"> when it was supposed to be transferred to the </w:t>
      </w:r>
      <w:r w:rsidR="006F1D32" w:rsidRPr="00BA5A45">
        <w:rPr>
          <w:rFonts w:ascii="Times New Roman" w:hAnsi="Times New Roman"/>
          <w:sz w:val="24"/>
        </w:rPr>
        <w:t xml:space="preserve">complainants in </w:t>
      </w:r>
      <w:r w:rsidR="00802365" w:rsidRPr="00BA5A45">
        <w:rPr>
          <w:rFonts w:ascii="Times New Roman" w:hAnsi="Times New Roman"/>
          <w:sz w:val="24"/>
        </w:rPr>
        <w:t xml:space="preserve">line with the provisions of the </w:t>
      </w:r>
      <w:r w:rsidR="000526D2" w:rsidRPr="00BA5A45">
        <w:rPr>
          <w:rFonts w:ascii="Times New Roman" w:hAnsi="Times New Roman"/>
          <w:sz w:val="24"/>
        </w:rPr>
        <w:t>POA</w:t>
      </w:r>
      <w:r w:rsidR="00802365" w:rsidRPr="00BA5A45">
        <w:rPr>
          <w:rFonts w:ascii="Times New Roman" w:hAnsi="Times New Roman"/>
          <w:sz w:val="24"/>
        </w:rPr>
        <w:t xml:space="preserve">. The appellant therefore misappropriated the money by </w:t>
      </w:r>
      <w:r w:rsidRPr="00BA5A45">
        <w:rPr>
          <w:rFonts w:ascii="Times New Roman" w:hAnsi="Times New Roman"/>
          <w:sz w:val="24"/>
        </w:rPr>
        <w:t>remitting it to NFOL</w:t>
      </w:r>
      <w:r w:rsidR="00802365" w:rsidRPr="00BA5A45">
        <w:rPr>
          <w:rFonts w:ascii="Times New Roman" w:hAnsi="Times New Roman"/>
          <w:sz w:val="24"/>
        </w:rPr>
        <w:t xml:space="preserve"> for an unauthorized purpose.</w:t>
      </w:r>
      <w:r w:rsidR="00202677" w:rsidRPr="00BA5A45">
        <w:rPr>
          <w:rFonts w:ascii="Times New Roman" w:hAnsi="Times New Roman"/>
          <w:sz w:val="24"/>
        </w:rPr>
        <w:t xml:space="preserve"> </w:t>
      </w:r>
    </w:p>
    <w:p w14:paraId="412F6712" w14:textId="77777777" w:rsidR="00E6192A" w:rsidRDefault="00E6192A" w:rsidP="00F42946">
      <w:pPr>
        <w:spacing w:after="0" w:line="480" w:lineRule="auto"/>
        <w:ind w:firstLine="1134"/>
        <w:jc w:val="both"/>
        <w:rPr>
          <w:rFonts w:ascii="Times New Roman" w:hAnsi="Times New Roman"/>
          <w:sz w:val="24"/>
        </w:rPr>
      </w:pPr>
    </w:p>
    <w:p w14:paraId="2768F799" w14:textId="01A92C75" w:rsidR="00AC004C" w:rsidRPr="00BA5A45" w:rsidRDefault="00AC004C" w:rsidP="00F42946">
      <w:pPr>
        <w:spacing w:after="0" w:line="480" w:lineRule="auto"/>
        <w:jc w:val="both"/>
        <w:rPr>
          <w:rFonts w:ascii="Times New Roman" w:hAnsi="Times New Roman"/>
          <w:sz w:val="24"/>
        </w:rPr>
      </w:pPr>
      <w:r>
        <w:rPr>
          <w:rFonts w:ascii="Times New Roman" w:hAnsi="Times New Roman"/>
          <w:sz w:val="24"/>
        </w:rPr>
        <w:t>I therefore find that there is no merit in the appeal against conviction.</w:t>
      </w:r>
    </w:p>
    <w:p w14:paraId="37CE7C20" w14:textId="77777777" w:rsidR="007F64B5" w:rsidRPr="00BA5A45" w:rsidRDefault="007F64B5" w:rsidP="00F42946">
      <w:pPr>
        <w:spacing w:after="0" w:line="480" w:lineRule="auto"/>
        <w:jc w:val="both"/>
        <w:rPr>
          <w:rFonts w:ascii="Times New Roman" w:hAnsi="Times New Roman"/>
          <w:sz w:val="24"/>
        </w:rPr>
      </w:pPr>
    </w:p>
    <w:p w14:paraId="4FCC0AC2" w14:textId="73FA9177" w:rsidR="000C122B" w:rsidRPr="00BA5A45" w:rsidRDefault="00F120AC" w:rsidP="00F42946">
      <w:pPr>
        <w:spacing w:after="0" w:line="480" w:lineRule="auto"/>
        <w:jc w:val="both"/>
        <w:rPr>
          <w:rFonts w:ascii="Times New Roman" w:hAnsi="Times New Roman"/>
          <w:b/>
          <w:sz w:val="24"/>
        </w:rPr>
      </w:pPr>
      <w:r w:rsidRPr="00BA5A45">
        <w:rPr>
          <w:rFonts w:ascii="Times New Roman" w:hAnsi="Times New Roman"/>
          <w:b/>
          <w:sz w:val="24"/>
        </w:rPr>
        <w:t xml:space="preserve">Ad </w:t>
      </w:r>
      <w:r w:rsidR="00DB66E5" w:rsidRPr="00BA5A45">
        <w:rPr>
          <w:rFonts w:ascii="Times New Roman" w:hAnsi="Times New Roman"/>
          <w:b/>
          <w:sz w:val="24"/>
        </w:rPr>
        <w:t>Sentence</w:t>
      </w:r>
    </w:p>
    <w:p w14:paraId="57E9AC68" w14:textId="50954E4D" w:rsidR="005B19FB" w:rsidRDefault="005B19FB" w:rsidP="00F42946">
      <w:pPr>
        <w:spacing w:after="0" w:line="480" w:lineRule="auto"/>
        <w:ind w:firstLine="1134"/>
        <w:jc w:val="both"/>
        <w:rPr>
          <w:rFonts w:ascii="Times New Roman" w:hAnsi="Times New Roman"/>
          <w:sz w:val="24"/>
        </w:rPr>
      </w:pPr>
      <w:r w:rsidRPr="00BA5A45">
        <w:rPr>
          <w:rFonts w:ascii="Times New Roman" w:hAnsi="Times New Roman"/>
          <w:sz w:val="24"/>
        </w:rPr>
        <w:t xml:space="preserve">The four grounds of </w:t>
      </w:r>
      <w:r w:rsidR="0034469C" w:rsidRPr="00BA5A45">
        <w:rPr>
          <w:rFonts w:ascii="Times New Roman" w:hAnsi="Times New Roman"/>
          <w:sz w:val="24"/>
        </w:rPr>
        <w:t>appeal against sentence</w:t>
      </w:r>
      <w:r w:rsidRPr="00BA5A45">
        <w:rPr>
          <w:rFonts w:ascii="Times New Roman" w:hAnsi="Times New Roman"/>
          <w:sz w:val="24"/>
        </w:rPr>
        <w:t xml:space="preserve"> raised by the</w:t>
      </w:r>
      <w:r w:rsidR="0034469C" w:rsidRPr="00BA5A45">
        <w:rPr>
          <w:rFonts w:ascii="Times New Roman" w:hAnsi="Times New Roman"/>
          <w:sz w:val="24"/>
        </w:rPr>
        <w:t xml:space="preserve"> appellant</w:t>
      </w:r>
      <w:r w:rsidRPr="00BA5A45">
        <w:rPr>
          <w:rFonts w:ascii="Times New Roman" w:hAnsi="Times New Roman"/>
          <w:sz w:val="24"/>
        </w:rPr>
        <w:t xml:space="preserve"> all relate</w:t>
      </w:r>
      <w:r w:rsidR="0005776C" w:rsidRPr="00BA5A45">
        <w:rPr>
          <w:rFonts w:ascii="Times New Roman" w:hAnsi="Times New Roman"/>
          <w:sz w:val="24"/>
        </w:rPr>
        <w:t>d</w:t>
      </w:r>
      <w:r w:rsidRPr="00BA5A45">
        <w:rPr>
          <w:rFonts w:ascii="Times New Roman" w:hAnsi="Times New Roman"/>
          <w:sz w:val="24"/>
        </w:rPr>
        <w:t xml:space="preserve"> to the exercise of discretion by the Tribun</w:t>
      </w:r>
      <w:r w:rsidR="0034469C" w:rsidRPr="00BA5A45">
        <w:rPr>
          <w:rFonts w:ascii="Times New Roman" w:hAnsi="Times New Roman"/>
          <w:sz w:val="24"/>
        </w:rPr>
        <w:t>al in arriving at the penalty it</w:t>
      </w:r>
      <w:r w:rsidRPr="00BA5A45">
        <w:rPr>
          <w:rFonts w:ascii="Times New Roman" w:hAnsi="Times New Roman"/>
          <w:sz w:val="24"/>
        </w:rPr>
        <w:t xml:space="preserve"> impose</w:t>
      </w:r>
      <w:r w:rsidR="0034469C" w:rsidRPr="00BA5A45">
        <w:rPr>
          <w:rFonts w:ascii="Times New Roman" w:hAnsi="Times New Roman"/>
          <w:sz w:val="24"/>
        </w:rPr>
        <w:t>d</w:t>
      </w:r>
      <w:r w:rsidRPr="00BA5A45">
        <w:rPr>
          <w:rFonts w:ascii="Times New Roman" w:hAnsi="Times New Roman"/>
          <w:sz w:val="24"/>
        </w:rPr>
        <w:t>.</w:t>
      </w:r>
      <w:r w:rsidR="0034469C" w:rsidRPr="00BA5A45">
        <w:rPr>
          <w:rFonts w:ascii="Times New Roman" w:hAnsi="Times New Roman"/>
          <w:sz w:val="24"/>
        </w:rPr>
        <w:t xml:space="preserve"> Only one issue arises therefrom, that is: whether the Tribunal erred and misdirected itself </w:t>
      </w:r>
      <w:r w:rsidR="0005776C" w:rsidRPr="00BA5A45">
        <w:rPr>
          <w:rFonts w:ascii="Times New Roman" w:hAnsi="Times New Roman"/>
          <w:sz w:val="24"/>
        </w:rPr>
        <w:t>in assessing an</w:t>
      </w:r>
      <w:r w:rsidR="0034469C" w:rsidRPr="00BA5A45">
        <w:rPr>
          <w:rFonts w:ascii="Times New Roman" w:hAnsi="Times New Roman"/>
          <w:sz w:val="24"/>
        </w:rPr>
        <w:t xml:space="preserve"> appropriate sentence given the circumstances of the case.</w:t>
      </w:r>
    </w:p>
    <w:p w14:paraId="1DDF2A18" w14:textId="77777777" w:rsidR="00BA5A45" w:rsidRPr="00BA5A45" w:rsidRDefault="00BA5A45" w:rsidP="00F42946">
      <w:pPr>
        <w:spacing w:after="0" w:line="480" w:lineRule="auto"/>
        <w:jc w:val="both"/>
        <w:rPr>
          <w:rFonts w:ascii="Times New Roman" w:hAnsi="Times New Roman"/>
          <w:sz w:val="24"/>
        </w:rPr>
      </w:pPr>
    </w:p>
    <w:p w14:paraId="1EAB3AB4" w14:textId="1F59ABD1" w:rsidR="002E0628" w:rsidRDefault="00005427" w:rsidP="00F42946">
      <w:pPr>
        <w:spacing w:after="0" w:line="480" w:lineRule="auto"/>
        <w:ind w:firstLine="1134"/>
        <w:jc w:val="both"/>
        <w:rPr>
          <w:rFonts w:ascii="Times New Roman" w:hAnsi="Times New Roman"/>
          <w:sz w:val="24"/>
        </w:rPr>
      </w:pPr>
      <w:r w:rsidRPr="00BA5A45">
        <w:rPr>
          <w:rFonts w:ascii="Times New Roman" w:hAnsi="Times New Roman"/>
          <w:sz w:val="24"/>
        </w:rPr>
        <w:t xml:space="preserve">The </w:t>
      </w:r>
      <w:r w:rsidR="00651012" w:rsidRPr="00BA5A45">
        <w:rPr>
          <w:rFonts w:ascii="Times New Roman" w:hAnsi="Times New Roman"/>
          <w:sz w:val="24"/>
        </w:rPr>
        <w:t>question</w:t>
      </w:r>
      <w:r w:rsidRPr="00BA5A45">
        <w:rPr>
          <w:rFonts w:ascii="Times New Roman" w:hAnsi="Times New Roman"/>
          <w:sz w:val="24"/>
        </w:rPr>
        <w:t xml:space="preserve"> of assessment of an appropriate </w:t>
      </w:r>
      <w:r w:rsidR="002830CE" w:rsidRPr="00BA5A45">
        <w:rPr>
          <w:rFonts w:ascii="Times New Roman" w:hAnsi="Times New Roman"/>
          <w:sz w:val="24"/>
        </w:rPr>
        <w:t xml:space="preserve">sentence to impose is within the discretion of the sentencing </w:t>
      </w:r>
      <w:r w:rsidR="000C122B" w:rsidRPr="00BA5A45">
        <w:rPr>
          <w:rFonts w:ascii="Times New Roman" w:hAnsi="Times New Roman"/>
          <w:sz w:val="24"/>
        </w:rPr>
        <w:t>T</w:t>
      </w:r>
      <w:r w:rsidR="002830CE" w:rsidRPr="00BA5A45">
        <w:rPr>
          <w:rFonts w:ascii="Times New Roman" w:hAnsi="Times New Roman"/>
          <w:sz w:val="24"/>
        </w:rPr>
        <w:t xml:space="preserve">ribunal. An appellate court is slow to </w:t>
      </w:r>
      <w:r w:rsidR="00651012" w:rsidRPr="00BA5A45">
        <w:rPr>
          <w:rFonts w:ascii="Times New Roman" w:hAnsi="Times New Roman"/>
          <w:sz w:val="24"/>
        </w:rPr>
        <w:t>interfere</w:t>
      </w:r>
      <w:r w:rsidR="002830CE" w:rsidRPr="00BA5A45">
        <w:rPr>
          <w:rFonts w:ascii="Times New Roman" w:hAnsi="Times New Roman"/>
          <w:sz w:val="24"/>
        </w:rPr>
        <w:t xml:space="preserve"> with the exercise of such </w:t>
      </w:r>
      <w:r w:rsidR="00651012" w:rsidRPr="00BA5A45">
        <w:rPr>
          <w:rFonts w:ascii="Times New Roman" w:hAnsi="Times New Roman"/>
          <w:sz w:val="24"/>
        </w:rPr>
        <w:t>discretion. The</w:t>
      </w:r>
      <w:r w:rsidR="002830CE" w:rsidRPr="00BA5A45">
        <w:rPr>
          <w:rFonts w:ascii="Times New Roman" w:hAnsi="Times New Roman"/>
          <w:sz w:val="24"/>
        </w:rPr>
        <w:t xml:space="preserve"> circumstances where an appellate court will </w:t>
      </w:r>
      <w:r w:rsidR="00651012" w:rsidRPr="00BA5A45">
        <w:rPr>
          <w:rFonts w:ascii="Times New Roman" w:hAnsi="Times New Roman"/>
          <w:sz w:val="24"/>
        </w:rPr>
        <w:t>interfere</w:t>
      </w:r>
      <w:r w:rsidR="002830CE" w:rsidRPr="00BA5A45">
        <w:rPr>
          <w:rFonts w:ascii="Times New Roman" w:hAnsi="Times New Roman"/>
          <w:sz w:val="24"/>
        </w:rPr>
        <w:t xml:space="preserve"> with the </w:t>
      </w:r>
      <w:r w:rsidR="00651012" w:rsidRPr="00BA5A45">
        <w:rPr>
          <w:rFonts w:ascii="Times New Roman" w:hAnsi="Times New Roman"/>
          <w:sz w:val="24"/>
        </w:rPr>
        <w:t>exercise</w:t>
      </w:r>
      <w:r w:rsidR="001B1326" w:rsidRPr="00BA5A45">
        <w:rPr>
          <w:rFonts w:ascii="Times New Roman" w:hAnsi="Times New Roman"/>
          <w:sz w:val="24"/>
        </w:rPr>
        <w:t xml:space="preserve"> of such discretion include where</w:t>
      </w:r>
      <w:r w:rsidR="002830CE" w:rsidRPr="00BA5A45">
        <w:rPr>
          <w:rFonts w:ascii="Times New Roman" w:hAnsi="Times New Roman"/>
          <w:sz w:val="24"/>
        </w:rPr>
        <w:t xml:space="preserve"> the </w:t>
      </w:r>
      <w:r w:rsidR="000B17A5" w:rsidRPr="00BA5A45">
        <w:rPr>
          <w:rFonts w:ascii="Times New Roman" w:hAnsi="Times New Roman"/>
          <w:sz w:val="24"/>
        </w:rPr>
        <w:t>T</w:t>
      </w:r>
      <w:r w:rsidR="002830CE" w:rsidRPr="00BA5A45">
        <w:rPr>
          <w:rFonts w:ascii="Times New Roman" w:hAnsi="Times New Roman"/>
          <w:sz w:val="24"/>
        </w:rPr>
        <w:t xml:space="preserve">ribunal has improperly </w:t>
      </w:r>
      <w:r w:rsidR="00651012" w:rsidRPr="00BA5A45">
        <w:rPr>
          <w:rFonts w:ascii="Times New Roman" w:hAnsi="Times New Roman"/>
          <w:sz w:val="24"/>
        </w:rPr>
        <w:t>exercise</w:t>
      </w:r>
      <w:r w:rsidR="00845A58" w:rsidRPr="00BA5A45">
        <w:rPr>
          <w:rFonts w:ascii="Times New Roman" w:hAnsi="Times New Roman"/>
          <w:sz w:val="24"/>
        </w:rPr>
        <w:t>d</w:t>
      </w:r>
      <w:r w:rsidR="002830CE" w:rsidRPr="00BA5A45">
        <w:rPr>
          <w:rFonts w:ascii="Times New Roman" w:hAnsi="Times New Roman"/>
          <w:sz w:val="24"/>
        </w:rPr>
        <w:t xml:space="preserve"> its discretion by </w:t>
      </w:r>
      <w:r w:rsidR="00845A58" w:rsidRPr="00BA5A45">
        <w:rPr>
          <w:rFonts w:ascii="Times New Roman" w:hAnsi="Times New Roman"/>
          <w:sz w:val="24"/>
        </w:rPr>
        <w:t>considering wrong</w:t>
      </w:r>
      <w:r w:rsidR="002830CE" w:rsidRPr="00BA5A45">
        <w:rPr>
          <w:rFonts w:ascii="Times New Roman" w:hAnsi="Times New Roman"/>
          <w:sz w:val="24"/>
        </w:rPr>
        <w:t xml:space="preserve"> </w:t>
      </w:r>
      <w:r w:rsidR="00651012" w:rsidRPr="00BA5A45">
        <w:rPr>
          <w:rFonts w:ascii="Times New Roman" w:hAnsi="Times New Roman"/>
          <w:sz w:val="24"/>
        </w:rPr>
        <w:lastRenderedPageBreak/>
        <w:t>principles</w:t>
      </w:r>
      <w:r w:rsidR="0034469C" w:rsidRPr="00BA5A45">
        <w:rPr>
          <w:rFonts w:ascii="Times New Roman" w:hAnsi="Times New Roman"/>
          <w:sz w:val="24"/>
        </w:rPr>
        <w:t>; has acted capriciously;</w:t>
      </w:r>
      <w:r w:rsidR="002E0628" w:rsidRPr="00BA5A45">
        <w:rPr>
          <w:rFonts w:ascii="Times New Roman" w:hAnsi="Times New Roman"/>
          <w:sz w:val="24"/>
        </w:rPr>
        <w:t xml:space="preserve"> has failed to take</w:t>
      </w:r>
      <w:r w:rsidR="00845A58" w:rsidRPr="00BA5A45">
        <w:rPr>
          <w:rFonts w:ascii="Times New Roman" w:hAnsi="Times New Roman"/>
          <w:sz w:val="24"/>
        </w:rPr>
        <w:t xml:space="preserve"> into account relevant</w:t>
      </w:r>
      <w:r w:rsidR="001B1326" w:rsidRPr="00BA5A45">
        <w:rPr>
          <w:rFonts w:ascii="Times New Roman" w:hAnsi="Times New Roman"/>
          <w:sz w:val="24"/>
        </w:rPr>
        <w:t xml:space="preserve"> considerations</w:t>
      </w:r>
      <w:r w:rsidR="00D008AF" w:rsidRPr="00BA5A45">
        <w:rPr>
          <w:rFonts w:ascii="Times New Roman" w:hAnsi="Times New Roman"/>
          <w:sz w:val="24"/>
        </w:rPr>
        <w:t>,</w:t>
      </w:r>
      <w:r w:rsidR="001B1326" w:rsidRPr="00BA5A45">
        <w:rPr>
          <w:rFonts w:ascii="Times New Roman" w:hAnsi="Times New Roman"/>
          <w:sz w:val="24"/>
        </w:rPr>
        <w:t xml:space="preserve"> or where </w:t>
      </w:r>
      <w:r w:rsidR="002E0628" w:rsidRPr="00BA5A45">
        <w:rPr>
          <w:rFonts w:ascii="Times New Roman" w:hAnsi="Times New Roman"/>
          <w:sz w:val="24"/>
        </w:rPr>
        <w:t xml:space="preserve"> the sentence </w:t>
      </w:r>
      <w:r w:rsidR="00651012" w:rsidRPr="00BA5A45">
        <w:rPr>
          <w:rFonts w:ascii="Times New Roman" w:hAnsi="Times New Roman"/>
          <w:sz w:val="24"/>
        </w:rPr>
        <w:t>induces</w:t>
      </w:r>
      <w:r w:rsidR="002E0628" w:rsidRPr="00BA5A45">
        <w:rPr>
          <w:rFonts w:ascii="Times New Roman" w:hAnsi="Times New Roman"/>
          <w:sz w:val="24"/>
        </w:rPr>
        <w:t xml:space="preserve"> a </w:t>
      </w:r>
      <w:r w:rsidR="00651012" w:rsidRPr="00BA5A45">
        <w:rPr>
          <w:rFonts w:ascii="Times New Roman" w:hAnsi="Times New Roman"/>
          <w:sz w:val="24"/>
        </w:rPr>
        <w:t>sense</w:t>
      </w:r>
      <w:r w:rsidR="002E0628" w:rsidRPr="00BA5A45">
        <w:rPr>
          <w:rFonts w:ascii="Times New Roman" w:hAnsi="Times New Roman"/>
          <w:sz w:val="24"/>
        </w:rPr>
        <w:t xml:space="preserve"> of shock such that no reasonable </w:t>
      </w:r>
      <w:r w:rsidR="000B17A5" w:rsidRPr="00BA5A45">
        <w:rPr>
          <w:rFonts w:ascii="Times New Roman" w:hAnsi="Times New Roman"/>
          <w:sz w:val="24"/>
        </w:rPr>
        <w:t>T</w:t>
      </w:r>
      <w:r w:rsidR="002E0628" w:rsidRPr="00BA5A45">
        <w:rPr>
          <w:rFonts w:ascii="Times New Roman" w:hAnsi="Times New Roman"/>
          <w:sz w:val="24"/>
        </w:rPr>
        <w:t xml:space="preserve">ribunal judiciously applying its mind to the circumstances of the case could have arrived at such a sentence and thus out of </w:t>
      </w:r>
      <w:r w:rsidR="00651012" w:rsidRPr="00BA5A45">
        <w:rPr>
          <w:rFonts w:ascii="Times New Roman" w:hAnsi="Times New Roman"/>
          <w:sz w:val="24"/>
        </w:rPr>
        <w:t>sync</w:t>
      </w:r>
      <w:r w:rsidR="002E0628" w:rsidRPr="00BA5A45">
        <w:rPr>
          <w:rFonts w:ascii="Times New Roman" w:hAnsi="Times New Roman"/>
          <w:sz w:val="24"/>
        </w:rPr>
        <w:t xml:space="preserve"> with ca</w:t>
      </w:r>
      <w:r w:rsidR="00845A58" w:rsidRPr="00BA5A45">
        <w:rPr>
          <w:rFonts w:ascii="Times New Roman" w:hAnsi="Times New Roman"/>
          <w:sz w:val="24"/>
        </w:rPr>
        <w:t>ses of a similar nature.</w:t>
      </w:r>
    </w:p>
    <w:p w14:paraId="155E9744" w14:textId="77777777" w:rsidR="00BA5A45" w:rsidRPr="00BA5A45" w:rsidRDefault="00BA5A45" w:rsidP="00F42946">
      <w:pPr>
        <w:spacing w:after="0" w:line="480" w:lineRule="auto"/>
        <w:ind w:firstLine="1134"/>
        <w:jc w:val="both"/>
        <w:rPr>
          <w:rFonts w:ascii="Times New Roman" w:hAnsi="Times New Roman"/>
          <w:sz w:val="24"/>
        </w:rPr>
      </w:pPr>
    </w:p>
    <w:p w14:paraId="4350A6C1" w14:textId="55E067B4" w:rsidR="00B47DE7" w:rsidRPr="00BA5A45" w:rsidRDefault="002E0628" w:rsidP="00F42946">
      <w:pPr>
        <w:spacing w:after="0" w:line="480" w:lineRule="auto"/>
        <w:ind w:firstLine="1134"/>
        <w:jc w:val="both"/>
        <w:rPr>
          <w:rFonts w:ascii="Times New Roman" w:hAnsi="Times New Roman"/>
          <w:sz w:val="24"/>
          <w:szCs w:val="24"/>
        </w:rPr>
      </w:pPr>
      <w:r w:rsidRPr="00BA5A45">
        <w:rPr>
          <w:rFonts w:ascii="Times New Roman" w:hAnsi="Times New Roman"/>
          <w:sz w:val="24"/>
        </w:rPr>
        <w:t>In arriving at</w:t>
      </w:r>
      <w:r w:rsidR="0034399F" w:rsidRPr="00BA5A45">
        <w:rPr>
          <w:rFonts w:ascii="Times New Roman" w:hAnsi="Times New Roman"/>
          <w:sz w:val="24"/>
        </w:rPr>
        <w:t xml:space="preserve"> </w:t>
      </w:r>
      <w:r w:rsidR="002F16CF" w:rsidRPr="00BA5A45">
        <w:rPr>
          <w:rFonts w:ascii="Times New Roman" w:hAnsi="Times New Roman"/>
          <w:sz w:val="24"/>
        </w:rPr>
        <w:t>the</w:t>
      </w:r>
      <w:r w:rsidRPr="00BA5A45">
        <w:rPr>
          <w:rFonts w:ascii="Times New Roman" w:hAnsi="Times New Roman"/>
          <w:sz w:val="24"/>
        </w:rPr>
        <w:t xml:space="preserve"> </w:t>
      </w:r>
      <w:r w:rsidR="000B17A5" w:rsidRPr="00BA5A45">
        <w:rPr>
          <w:rFonts w:ascii="Times New Roman" w:hAnsi="Times New Roman"/>
          <w:sz w:val="24"/>
        </w:rPr>
        <w:t>sentence</w:t>
      </w:r>
      <w:r w:rsidR="00210B7B">
        <w:rPr>
          <w:rFonts w:ascii="Times New Roman" w:hAnsi="Times New Roman"/>
          <w:sz w:val="24"/>
        </w:rPr>
        <w:t xml:space="preserve"> to order </w:t>
      </w:r>
      <w:r w:rsidR="00210B7B" w:rsidRPr="00BA5A45">
        <w:rPr>
          <w:rFonts w:ascii="Times New Roman" w:hAnsi="Times New Roman"/>
          <w:sz w:val="24"/>
        </w:rPr>
        <w:t>deregistration</w:t>
      </w:r>
      <w:r w:rsidR="00D44A76" w:rsidRPr="00BA5A45">
        <w:rPr>
          <w:rFonts w:ascii="Times New Roman" w:hAnsi="Times New Roman"/>
          <w:sz w:val="24"/>
        </w:rPr>
        <w:t xml:space="preserve"> of the appellant,</w:t>
      </w:r>
      <w:r w:rsidRPr="00BA5A45">
        <w:rPr>
          <w:rFonts w:ascii="Times New Roman" w:hAnsi="Times New Roman"/>
          <w:sz w:val="24"/>
        </w:rPr>
        <w:t xml:space="preserve"> the </w:t>
      </w:r>
      <w:r w:rsidR="000B17A5" w:rsidRPr="00BA5A45">
        <w:rPr>
          <w:rFonts w:ascii="Times New Roman" w:hAnsi="Times New Roman"/>
          <w:sz w:val="24"/>
        </w:rPr>
        <w:t>T</w:t>
      </w:r>
      <w:r w:rsidRPr="00BA5A45">
        <w:rPr>
          <w:rFonts w:ascii="Times New Roman" w:hAnsi="Times New Roman"/>
          <w:sz w:val="24"/>
        </w:rPr>
        <w:t xml:space="preserve">ribunal considered a number of </w:t>
      </w:r>
      <w:r w:rsidR="006A6C79" w:rsidRPr="00BA5A45">
        <w:rPr>
          <w:rFonts w:ascii="Times New Roman" w:hAnsi="Times New Roman"/>
          <w:sz w:val="24"/>
        </w:rPr>
        <w:t>sentencing objectives</w:t>
      </w:r>
      <w:r w:rsidRPr="00BA5A45">
        <w:rPr>
          <w:rFonts w:ascii="Times New Roman" w:hAnsi="Times New Roman"/>
          <w:sz w:val="24"/>
        </w:rPr>
        <w:t xml:space="preserve"> </w:t>
      </w:r>
      <w:r w:rsidR="006A6C79" w:rsidRPr="00BA5A45">
        <w:rPr>
          <w:rFonts w:ascii="Times New Roman" w:hAnsi="Times New Roman"/>
          <w:sz w:val="24"/>
        </w:rPr>
        <w:t>in such cases which include:</w:t>
      </w:r>
      <w:r w:rsidR="00B47DE7" w:rsidRPr="00BA5A45">
        <w:rPr>
          <w:rFonts w:ascii="Times New Roman" w:hAnsi="Times New Roman"/>
          <w:sz w:val="24"/>
          <w:szCs w:val="24"/>
        </w:rPr>
        <w:t xml:space="preserve"> </w:t>
      </w:r>
    </w:p>
    <w:p w14:paraId="6765E562" w14:textId="4F024F2A" w:rsidR="00B47DE7" w:rsidRPr="00BA5A45" w:rsidRDefault="00B47DE7" w:rsidP="00F42946">
      <w:pPr>
        <w:spacing w:after="0" w:line="480" w:lineRule="auto"/>
        <w:ind w:left="1276" w:hanging="709"/>
        <w:jc w:val="both"/>
        <w:rPr>
          <w:rFonts w:ascii="Times New Roman" w:hAnsi="Times New Roman"/>
          <w:sz w:val="24"/>
          <w:szCs w:val="24"/>
        </w:rPr>
      </w:pPr>
      <w:r w:rsidRPr="00BA5A45">
        <w:rPr>
          <w:rFonts w:ascii="Times New Roman" w:hAnsi="Times New Roman"/>
          <w:sz w:val="24"/>
          <w:szCs w:val="24"/>
        </w:rPr>
        <w:t xml:space="preserve">(a) </w:t>
      </w:r>
      <w:r w:rsidR="00BA5A45">
        <w:rPr>
          <w:rFonts w:ascii="Times New Roman" w:hAnsi="Times New Roman"/>
          <w:sz w:val="24"/>
          <w:szCs w:val="24"/>
        </w:rPr>
        <w:tab/>
      </w:r>
      <w:r w:rsidRPr="00BA5A45">
        <w:rPr>
          <w:rFonts w:ascii="Times New Roman" w:hAnsi="Times New Roman"/>
          <w:sz w:val="24"/>
          <w:szCs w:val="24"/>
        </w:rPr>
        <w:t>upholding public confidence in the administration of justice;</w:t>
      </w:r>
    </w:p>
    <w:p w14:paraId="4B1DBBCA" w14:textId="5B4A4FF1" w:rsidR="00B47DE7" w:rsidRPr="00BA5A45" w:rsidRDefault="00B47DE7" w:rsidP="00F42946">
      <w:pPr>
        <w:pStyle w:val="ListParagraph"/>
        <w:numPr>
          <w:ilvl w:val="0"/>
          <w:numId w:val="10"/>
        </w:numPr>
        <w:spacing w:after="0" w:line="480" w:lineRule="auto"/>
        <w:ind w:left="1276" w:hanging="709"/>
        <w:jc w:val="both"/>
        <w:rPr>
          <w:rFonts w:ascii="Times New Roman" w:hAnsi="Times New Roman"/>
          <w:sz w:val="24"/>
          <w:szCs w:val="24"/>
        </w:rPr>
      </w:pPr>
      <w:r w:rsidRPr="00BA5A45">
        <w:rPr>
          <w:rFonts w:ascii="Times New Roman" w:hAnsi="Times New Roman"/>
          <w:sz w:val="24"/>
          <w:szCs w:val="24"/>
        </w:rPr>
        <w:t>safeguarding the collective interest in upholding the standard of the legal profession;</w:t>
      </w:r>
    </w:p>
    <w:p w14:paraId="4EBA1065" w14:textId="27C6FF7C" w:rsidR="00B47DE7" w:rsidRPr="00BA5A45" w:rsidRDefault="00B47DE7" w:rsidP="00F42946">
      <w:pPr>
        <w:spacing w:after="0" w:line="480" w:lineRule="auto"/>
        <w:ind w:left="1276" w:hanging="709"/>
        <w:jc w:val="both"/>
        <w:rPr>
          <w:rFonts w:ascii="Times New Roman" w:hAnsi="Times New Roman"/>
          <w:sz w:val="24"/>
          <w:szCs w:val="24"/>
        </w:rPr>
      </w:pPr>
      <w:r w:rsidRPr="00BA5A45">
        <w:rPr>
          <w:rFonts w:ascii="Times New Roman" w:hAnsi="Times New Roman"/>
          <w:sz w:val="24"/>
          <w:szCs w:val="24"/>
        </w:rPr>
        <w:t xml:space="preserve">(c) </w:t>
      </w:r>
      <w:r w:rsidR="00BA5A45">
        <w:rPr>
          <w:rFonts w:ascii="Times New Roman" w:hAnsi="Times New Roman"/>
          <w:sz w:val="24"/>
          <w:szCs w:val="24"/>
        </w:rPr>
        <w:tab/>
      </w:r>
      <w:r w:rsidRPr="00BA5A45">
        <w:rPr>
          <w:rFonts w:ascii="Times New Roman" w:hAnsi="Times New Roman"/>
          <w:sz w:val="24"/>
          <w:szCs w:val="24"/>
        </w:rPr>
        <w:t xml:space="preserve">punishment of the errant legal practitioner for the misconduct; and </w:t>
      </w:r>
    </w:p>
    <w:p w14:paraId="5313CEA1" w14:textId="43D51532" w:rsidR="00B47DE7" w:rsidRPr="00BA5A45" w:rsidRDefault="00B47DE7" w:rsidP="00F42946">
      <w:pPr>
        <w:pStyle w:val="ListParagraph"/>
        <w:numPr>
          <w:ilvl w:val="0"/>
          <w:numId w:val="11"/>
        </w:numPr>
        <w:spacing w:after="0" w:line="480" w:lineRule="auto"/>
        <w:ind w:left="1276" w:hanging="709"/>
        <w:jc w:val="both"/>
        <w:rPr>
          <w:rFonts w:ascii="Times New Roman" w:hAnsi="Times New Roman"/>
          <w:sz w:val="24"/>
          <w:szCs w:val="24"/>
        </w:rPr>
      </w:pPr>
      <w:r w:rsidRPr="00BA5A45">
        <w:rPr>
          <w:rFonts w:ascii="Times New Roman" w:hAnsi="Times New Roman"/>
          <w:sz w:val="24"/>
          <w:szCs w:val="24"/>
        </w:rPr>
        <w:t>setting standards to be observed by other practitioners and in the process deterrence against similar offences by like-minded legal practitioners</w:t>
      </w:r>
      <w:r w:rsidR="002F16CF" w:rsidRPr="00BA5A45">
        <w:rPr>
          <w:rFonts w:ascii="Times New Roman" w:hAnsi="Times New Roman"/>
          <w:sz w:val="24"/>
          <w:szCs w:val="24"/>
        </w:rPr>
        <w:t>.</w:t>
      </w:r>
    </w:p>
    <w:p w14:paraId="3380C14F" w14:textId="77777777" w:rsidR="00D81197" w:rsidRPr="00BA5A45" w:rsidRDefault="00D81197" w:rsidP="00F42946">
      <w:pPr>
        <w:spacing w:after="0" w:line="480" w:lineRule="auto"/>
        <w:jc w:val="both"/>
        <w:rPr>
          <w:rFonts w:ascii="Times New Roman" w:hAnsi="Times New Roman"/>
          <w:sz w:val="24"/>
          <w:lang w:val="en-GB"/>
        </w:rPr>
      </w:pPr>
    </w:p>
    <w:p w14:paraId="52934146" w14:textId="2FF25007" w:rsidR="00A907AE" w:rsidRDefault="007F64B5" w:rsidP="00F42946">
      <w:pPr>
        <w:spacing w:after="0" w:line="480" w:lineRule="auto"/>
        <w:jc w:val="both"/>
        <w:rPr>
          <w:rFonts w:ascii="Times New Roman" w:hAnsi="Times New Roman"/>
          <w:sz w:val="24"/>
          <w:lang w:val="en-GB"/>
        </w:rPr>
      </w:pPr>
      <w:r w:rsidRPr="00BA5A45">
        <w:rPr>
          <w:rFonts w:ascii="Times New Roman" w:hAnsi="Times New Roman"/>
          <w:sz w:val="24"/>
          <w:lang w:val="en-GB"/>
        </w:rPr>
        <w:t xml:space="preserve"> </w:t>
      </w:r>
      <w:r w:rsidRPr="00BA5A45">
        <w:rPr>
          <w:rFonts w:ascii="Times New Roman" w:hAnsi="Times New Roman"/>
          <w:sz w:val="24"/>
          <w:lang w:val="en-GB"/>
        </w:rPr>
        <w:tab/>
      </w:r>
      <w:r w:rsidRPr="00BA5A45">
        <w:rPr>
          <w:rFonts w:ascii="Times New Roman" w:hAnsi="Times New Roman"/>
          <w:sz w:val="24"/>
          <w:lang w:val="en-GB"/>
        </w:rPr>
        <w:tab/>
        <w:t>Mr</w:t>
      </w:r>
      <w:r w:rsidR="00A907AE" w:rsidRPr="00BA5A45">
        <w:rPr>
          <w:rFonts w:ascii="Times New Roman" w:hAnsi="Times New Roman"/>
          <w:sz w:val="24"/>
          <w:lang w:val="en-GB"/>
        </w:rPr>
        <w:t xml:space="preserve"> </w:t>
      </w:r>
      <w:r w:rsidR="00A907AE" w:rsidRPr="00BA5A45">
        <w:rPr>
          <w:rFonts w:ascii="Times New Roman" w:hAnsi="Times New Roman"/>
          <w:i/>
          <w:sz w:val="24"/>
          <w:lang w:val="en-GB"/>
        </w:rPr>
        <w:t>Girach</w:t>
      </w:r>
      <w:r w:rsidR="00A907AE" w:rsidRPr="00BA5A45">
        <w:rPr>
          <w:rFonts w:ascii="Times New Roman" w:hAnsi="Times New Roman"/>
          <w:sz w:val="24"/>
          <w:lang w:val="en-GB"/>
        </w:rPr>
        <w:t xml:space="preserve"> contended that the sentence imposed by the court </w:t>
      </w:r>
      <w:r w:rsidR="00A907AE" w:rsidRPr="00BA5A45">
        <w:rPr>
          <w:rFonts w:ascii="Times New Roman" w:hAnsi="Times New Roman"/>
          <w:i/>
          <w:sz w:val="24"/>
          <w:lang w:val="en-GB"/>
        </w:rPr>
        <w:t>a quo</w:t>
      </w:r>
      <w:r w:rsidR="00A907AE" w:rsidRPr="00BA5A45">
        <w:rPr>
          <w:rFonts w:ascii="Times New Roman" w:hAnsi="Times New Roman"/>
          <w:sz w:val="24"/>
          <w:lang w:val="en-GB"/>
        </w:rPr>
        <w:t xml:space="preserve"> was excessive and induced a sense of shock. He conceded that the appellant made an error when he transferred the remaining balance of the purchase price of the property to NFOL instead of transferring it to the complainants. However, he submitted that such an error was not dishonourable and did not warrant the deletion of the appellant’s name from the register of legal practitioners. He argued that the appellant ought to have been given the benefit of the doubt as he did not put the money in his pocket and should therefore have been given a less severe sentence for his transgression.</w:t>
      </w:r>
    </w:p>
    <w:p w14:paraId="456F26C6" w14:textId="77777777" w:rsidR="00446F75" w:rsidRPr="00BA5A45" w:rsidRDefault="00446F75" w:rsidP="00F42946">
      <w:pPr>
        <w:spacing w:after="0" w:line="480" w:lineRule="auto"/>
        <w:jc w:val="both"/>
        <w:rPr>
          <w:rFonts w:ascii="Times New Roman" w:hAnsi="Times New Roman"/>
          <w:sz w:val="24"/>
          <w:lang w:val="en-GB"/>
        </w:rPr>
      </w:pPr>
    </w:p>
    <w:p w14:paraId="747648C5" w14:textId="72C5A69A" w:rsidR="009A7CF8" w:rsidRPr="00BA5A45" w:rsidRDefault="00017DEE" w:rsidP="00F42946">
      <w:pPr>
        <w:spacing w:after="0" w:line="480" w:lineRule="auto"/>
        <w:ind w:firstLine="1134"/>
        <w:jc w:val="both"/>
        <w:rPr>
          <w:rFonts w:ascii="Times New Roman" w:hAnsi="Times New Roman"/>
          <w:sz w:val="24"/>
        </w:rPr>
      </w:pPr>
      <w:r w:rsidRPr="00BA5A45">
        <w:rPr>
          <w:rFonts w:ascii="Times New Roman" w:hAnsi="Times New Roman"/>
          <w:i/>
          <w:iCs/>
          <w:sz w:val="24"/>
        </w:rPr>
        <w:t xml:space="preserve"> </w:t>
      </w:r>
      <w:r w:rsidR="00396663" w:rsidRPr="00BA5A45">
        <w:rPr>
          <w:rFonts w:ascii="Times New Roman" w:hAnsi="Times New Roman"/>
          <w:iCs/>
          <w:sz w:val="24"/>
        </w:rPr>
        <w:t>Mr.</w:t>
      </w:r>
      <w:r w:rsidR="009A7CF8" w:rsidRPr="00BA5A45">
        <w:rPr>
          <w:rFonts w:ascii="Times New Roman" w:hAnsi="Times New Roman"/>
          <w:i/>
          <w:iCs/>
          <w:sz w:val="24"/>
        </w:rPr>
        <w:t xml:space="preserve"> Girach</w:t>
      </w:r>
      <w:r w:rsidR="009A7CF8" w:rsidRPr="00BA5A45">
        <w:rPr>
          <w:rFonts w:ascii="Times New Roman" w:hAnsi="Times New Roman"/>
          <w:sz w:val="24"/>
        </w:rPr>
        <w:t xml:space="preserve"> did </w:t>
      </w:r>
      <w:r w:rsidR="00A907AE" w:rsidRPr="00BA5A45">
        <w:rPr>
          <w:rFonts w:ascii="Times New Roman" w:hAnsi="Times New Roman"/>
          <w:sz w:val="24"/>
        </w:rPr>
        <w:t>not attack</w:t>
      </w:r>
      <w:r w:rsidR="00D44A76" w:rsidRPr="00BA5A45">
        <w:rPr>
          <w:rFonts w:ascii="Times New Roman" w:hAnsi="Times New Roman"/>
          <w:sz w:val="24"/>
        </w:rPr>
        <w:t xml:space="preserve"> as irrelevant or improperly applied,</w:t>
      </w:r>
      <w:r w:rsidR="00A907AE" w:rsidRPr="00BA5A45">
        <w:rPr>
          <w:rFonts w:ascii="Times New Roman" w:hAnsi="Times New Roman"/>
          <w:sz w:val="24"/>
        </w:rPr>
        <w:t xml:space="preserve"> the above cited</w:t>
      </w:r>
      <w:r w:rsidR="009A7CF8" w:rsidRPr="00BA5A45">
        <w:rPr>
          <w:rFonts w:ascii="Times New Roman" w:hAnsi="Times New Roman"/>
          <w:sz w:val="24"/>
        </w:rPr>
        <w:t xml:space="preserve"> </w:t>
      </w:r>
      <w:r w:rsidR="002F16CF" w:rsidRPr="00BA5A45">
        <w:rPr>
          <w:rFonts w:ascii="Times New Roman" w:hAnsi="Times New Roman"/>
          <w:sz w:val="24"/>
        </w:rPr>
        <w:t>objectives</w:t>
      </w:r>
      <w:r w:rsidR="009A7CF8" w:rsidRPr="00BA5A45">
        <w:rPr>
          <w:rFonts w:ascii="Times New Roman" w:hAnsi="Times New Roman"/>
          <w:sz w:val="24"/>
        </w:rPr>
        <w:t xml:space="preserve"> </w:t>
      </w:r>
      <w:r w:rsidR="00A907AE" w:rsidRPr="00BA5A45">
        <w:rPr>
          <w:rFonts w:ascii="Times New Roman" w:hAnsi="Times New Roman"/>
          <w:sz w:val="24"/>
        </w:rPr>
        <w:t xml:space="preserve">on sentencing in such </w:t>
      </w:r>
      <w:r w:rsidR="00D44A76" w:rsidRPr="00BA5A45">
        <w:rPr>
          <w:rFonts w:ascii="Times New Roman" w:hAnsi="Times New Roman"/>
          <w:sz w:val="24"/>
        </w:rPr>
        <w:t>cases relied on by the Tribunal</w:t>
      </w:r>
      <w:r w:rsidR="009A7CF8" w:rsidRPr="00BA5A45">
        <w:rPr>
          <w:rFonts w:ascii="Times New Roman" w:hAnsi="Times New Roman"/>
          <w:sz w:val="24"/>
        </w:rPr>
        <w:t xml:space="preserve">. </w:t>
      </w:r>
      <w:r w:rsidR="00B47DE7" w:rsidRPr="00BA5A45">
        <w:rPr>
          <w:rFonts w:ascii="Times New Roman" w:hAnsi="Times New Roman"/>
          <w:sz w:val="24"/>
        </w:rPr>
        <w:t>He</w:t>
      </w:r>
      <w:r w:rsidR="00845A58" w:rsidRPr="00BA5A45">
        <w:rPr>
          <w:rFonts w:ascii="Times New Roman" w:hAnsi="Times New Roman"/>
          <w:sz w:val="24"/>
        </w:rPr>
        <w:t>,</w:t>
      </w:r>
      <w:r w:rsidR="00B47DE7" w:rsidRPr="00BA5A45">
        <w:rPr>
          <w:rFonts w:ascii="Times New Roman" w:hAnsi="Times New Roman"/>
          <w:sz w:val="24"/>
        </w:rPr>
        <w:t xml:space="preserve"> </w:t>
      </w:r>
      <w:r w:rsidR="002F16CF" w:rsidRPr="00BA5A45">
        <w:rPr>
          <w:rFonts w:ascii="Times New Roman" w:hAnsi="Times New Roman"/>
          <w:sz w:val="24"/>
        </w:rPr>
        <w:t>however</w:t>
      </w:r>
      <w:r w:rsidR="00845A58" w:rsidRPr="00BA5A45">
        <w:rPr>
          <w:rFonts w:ascii="Times New Roman" w:hAnsi="Times New Roman"/>
          <w:sz w:val="24"/>
        </w:rPr>
        <w:t>,</w:t>
      </w:r>
      <w:r w:rsidR="00B47DE7" w:rsidRPr="00BA5A45">
        <w:rPr>
          <w:rFonts w:ascii="Times New Roman" w:hAnsi="Times New Roman"/>
          <w:sz w:val="24"/>
        </w:rPr>
        <w:t xml:space="preserve"> was of the view </w:t>
      </w:r>
      <w:r w:rsidR="00B47DE7" w:rsidRPr="00BA5A45">
        <w:rPr>
          <w:rFonts w:ascii="Times New Roman" w:hAnsi="Times New Roman"/>
          <w:sz w:val="24"/>
        </w:rPr>
        <w:lastRenderedPageBreak/>
        <w:t>that the transgression</w:t>
      </w:r>
      <w:r w:rsidR="00210B7B">
        <w:rPr>
          <w:rFonts w:ascii="Times New Roman" w:hAnsi="Times New Roman"/>
          <w:sz w:val="24"/>
        </w:rPr>
        <w:t>s</w:t>
      </w:r>
      <w:r w:rsidR="00B47DE7" w:rsidRPr="00BA5A45">
        <w:rPr>
          <w:rFonts w:ascii="Times New Roman" w:hAnsi="Times New Roman"/>
          <w:sz w:val="24"/>
        </w:rPr>
        <w:t xml:space="preserve"> upon which appellan</w:t>
      </w:r>
      <w:r w:rsidR="00845A58" w:rsidRPr="00BA5A45">
        <w:rPr>
          <w:rFonts w:ascii="Times New Roman" w:hAnsi="Times New Roman"/>
          <w:sz w:val="24"/>
        </w:rPr>
        <w:t>t was convicted were</w:t>
      </w:r>
      <w:r w:rsidR="00B47DE7" w:rsidRPr="00BA5A45">
        <w:rPr>
          <w:rFonts w:ascii="Times New Roman" w:hAnsi="Times New Roman"/>
          <w:sz w:val="24"/>
        </w:rPr>
        <w:t xml:space="preserve"> not deserving of </w:t>
      </w:r>
      <w:r w:rsidR="002F16CF" w:rsidRPr="00BA5A45">
        <w:rPr>
          <w:rFonts w:ascii="Times New Roman" w:hAnsi="Times New Roman"/>
          <w:sz w:val="24"/>
        </w:rPr>
        <w:t>deregistration</w:t>
      </w:r>
      <w:r w:rsidR="001B1326" w:rsidRPr="00BA5A45">
        <w:rPr>
          <w:rFonts w:ascii="Times New Roman" w:hAnsi="Times New Roman"/>
          <w:sz w:val="24"/>
        </w:rPr>
        <w:t>. He also submitted that the T</w:t>
      </w:r>
      <w:r w:rsidR="00B47DE7" w:rsidRPr="00BA5A45">
        <w:rPr>
          <w:rFonts w:ascii="Times New Roman" w:hAnsi="Times New Roman"/>
          <w:sz w:val="24"/>
        </w:rPr>
        <w:t xml:space="preserve">ribunal did not </w:t>
      </w:r>
      <w:r w:rsidR="002F16CF" w:rsidRPr="00BA5A45">
        <w:rPr>
          <w:rFonts w:ascii="Times New Roman" w:hAnsi="Times New Roman"/>
          <w:sz w:val="24"/>
        </w:rPr>
        <w:t>give</w:t>
      </w:r>
      <w:r w:rsidR="00B47DE7" w:rsidRPr="00BA5A45">
        <w:rPr>
          <w:rFonts w:ascii="Times New Roman" w:hAnsi="Times New Roman"/>
          <w:sz w:val="24"/>
        </w:rPr>
        <w:t xml:space="preserve"> du</w:t>
      </w:r>
      <w:r w:rsidR="002F16CF" w:rsidRPr="00BA5A45">
        <w:rPr>
          <w:rFonts w:ascii="Times New Roman" w:hAnsi="Times New Roman"/>
          <w:sz w:val="24"/>
        </w:rPr>
        <w:t>e</w:t>
      </w:r>
      <w:r w:rsidR="00B47DE7" w:rsidRPr="00BA5A45">
        <w:rPr>
          <w:rFonts w:ascii="Times New Roman" w:hAnsi="Times New Roman"/>
          <w:sz w:val="24"/>
        </w:rPr>
        <w:t xml:space="preserve"> </w:t>
      </w:r>
      <w:r w:rsidR="002F16CF" w:rsidRPr="00BA5A45">
        <w:rPr>
          <w:rFonts w:ascii="Times New Roman" w:hAnsi="Times New Roman"/>
          <w:sz w:val="24"/>
        </w:rPr>
        <w:t>weight</w:t>
      </w:r>
      <w:r w:rsidR="00B47DE7" w:rsidRPr="00BA5A45">
        <w:rPr>
          <w:rFonts w:ascii="Times New Roman" w:hAnsi="Times New Roman"/>
          <w:sz w:val="24"/>
        </w:rPr>
        <w:t xml:space="preserve"> to mitigatory features provide</w:t>
      </w:r>
      <w:r w:rsidR="002F16CF" w:rsidRPr="00BA5A45">
        <w:rPr>
          <w:rFonts w:ascii="Times New Roman" w:hAnsi="Times New Roman"/>
          <w:sz w:val="24"/>
        </w:rPr>
        <w:t>d</w:t>
      </w:r>
      <w:r w:rsidR="00B47DE7" w:rsidRPr="00BA5A45">
        <w:rPr>
          <w:rFonts w:ascii="Times New Roman" w:hAnsi="Times New Roman"/>
          <w:sz w:val="24"/>
        </w:rPr>
        <w:t xml:space="preserve"> by the appellant.</w:t>
      </w:r>
    </w:p>
    <w:p w14:paraId="4B488951" w14:textId="77777777" w:rsidR="00D81197" w:rsidRPr="00BA5A45" w:rsidRDefault="00D81197" w:rsidP="00F42946">
      <w:pPr>
        <w:spacing w:after="0" w:line="480" w:lineRule="auto"/>
        <w:ind w:firstLine="720"/>
        <w:jc w:val="both"/>
        <w:rPr>
          <w:rFonts w:ascii="Times New Roman" w:hAnsi="Times New Roman"/>
          <w:sz w:val="24"/>
        </w:rPr>
      </w:pPr>
    </w:p>
    <w:p w14:paraId="38246947" w14:textId="6DF1CC09" w:rsidR="009A7CF8" w:rsidRPr="00BA5A45" w:rsidRDefault="009A7CF8" w:rsidP="00F42946">
      <w:pPr>
        <w:spacing w:after="0" w:line="480" w:lineRule="auto"/>
        <w:ind w:firstLine="1134"/>
        <w:jc w:val="both"/>
        <w:rPr>
          <w:rFonts w:ascii="Times New Roman" w:hAnsi="Times New Roman"/>
          <w:sz w:val="24"/>
        </w:rPr>
      </w:pPr>
      <w:r w:rsidRPr="00BA5A45">
        <w:rPr>
          <w:rFonts w:ascii="Times New Roman" w:hAnsi="Times New Roman"/>
          <w:sz w:val="24"/>
        </w:rPr>
        <w:t>The net effect of appellant’s submission was to trivialize the transgression</w:t>
      </w:r>
      <w:r w:rsidR="00A907AE" w:rsidRPr="00BA5A45">
        <w:rPr>
          <w:rFonts w:ascii="Times New Roman" w:hAnsi="Times New Roman"/>
          <w:sz w:val="24"/>
        </w:rPr>
        <w:t>s</w:t>
      </w:r>
      <w:r w:rsidRPr="00BA5A45">
        <w:rPr>
          <w:rFonts w:ascii="Times New Roman" w:hAnsi="Times New Roman"/>
          <w:sz w:val="24"/>
        </w:rPr>
        <w:t xml:space="preserve"> upon which he was convicted suggesting that his circumstances call</w:t>
      </w:r>
      <w:r w:rsidR="00D44A76" w:rsidRPr="00BA5A45">
        <w:rPr>
          <w:rFonts w:ascii="Times New Roman" w:hAnsi="Times New Roman"/>
          <w:sz w:val="24"/>
        </w:rPr>
        <w:t>ed</w:t>
      </w:r>
      <w:r w:rsidRPr="00BA5A45">
        <w:rPr>
          <w:rFonts w:ascii="Times New Roman" w:hAnsi="Times New Roman"/>
          <w:sz w:val="24"/>
        </w:rPr>
        <w:t xml:space="preserve"> for a lighter sentence.</w:t>
      </w:r>
    </w:p>
    <w:p w14:paraId="38C8C0FE" w14:textId="77777777" w:rsidR="00D81197" w:rsidRPr="00BA5A45" w:rsidRDefault="00D81197" w:rsidP="00F42946">
      <w:pPr>
        <w:spacing w:after="0" w:line="480" w:lineRule="auto"/>
        <w:ind w:firstLine="720"/>
        <w:jc w:val="both"/>
        <w:rPr>
          <w:rFonts w:ascii="Times New Roman" w:hAnsi="Times New Roman"/>
          <w:i/>
          <w:iCs/>
          <w:sz w:val="24"/>
        </w:rPr>
      </w:pPr>
    </w:p>
    <w:p w14:paraId="59D3F070" w14:textId="702D6031" w:rsidR="001B1326" w:rsidRPr="00BA5A45" w:rsidRDefault="009A7CF8" w:rsidP="00F42946">
      <w:pPr>
        <w:spacing w:after="0" w:line="480" w:lineRule="auto"/>
        <w:ind w:firstLine="1134"/>
        <w:jc w:val="both"/>
        <w:rPr>
          <w:rFonts w:ascii="Times New Roman" w:hAnsi="Times New Roman"/>
          <w:sz w:val="24"/>
        </w:rPr>
      </w:pPr>
      <w:r w:rsidRPr="00BA5A45">
        <w:rPr>
          <w:rFonts w:ascii="Times New Roman" w:hAnsi="Times New Roman"/>
          <w:iCs/>
          <w:sz w:val="24"/>
        </w:rPr>
        <w:t>Mr</w:t>
      </w:r>
      <w:r w:rsidRPr="00BA5A45">
        <w:rPr>
          <w:rFonts w:ascii="Times New Roman" w:hAnsi="Times New Roman"/>
          <w:i/>
          <w:iCs/>
          <w:sz w:val="24"/>
        </w:rPr>
        <w:t xml:space="preserve"> Gahadzikwa</w:t>
      </w:r>
      <w:r w:rsidR="00D008AF" w:rsidRPr="00BA5A45">
        <w:rPr>
          <w:rFonts w:ascii="Times New Roman" w:hAnsi="Times New Roman"/>
          <w:i/>
          <w:iCs/>
          <w:sz w:val="24"/>
        </w:rPr>
        <w:t>,</w:t>
      </w:r>
      <w:r w:rsidRPr="00BA5A45">
        <w:rPr>
          <w:rFonts w:ascii="Times New Roman" w:hAnsi="Times New Roman"/>
          <w:sz w:val="24"/>
        </w:rPr>
        <w:t xml:space="preserve"> on the other ha</w:t>
      </w:r>
      <w:r w:rsidR="00D008AF" w:rsidRPr="00BA5A45">
        <w:rPr>
          <w:rFonts w:ascii="Times New Roman" w:hAnsi="Times New Roman"/>
          <w:sz w:val="24"/>
        </w:rPr>
        <w:t>n</w:t>
      </w:r>
      <w:r w:rsidRPr="00BA5A45">
        <w:rPr>
          <w:rFonts w:ascii="Times New Roman" w:hAnsi="Times New Roman"/>
          <w:sz w:val="24"/>
        </w:rPr>
        <w:t xml:space="preserve">d argued that the sentence was appropriate given the status of the legal profession and the principles governing penalties for the </w:t>
      </w:r>
      <w:r w:rsidR="002F16CF" w:rsidRPr="00BA5A45">
        <w:rPr>
          <w:rFonts w:ascii="Times New Roman" w:hAnsi="Times New Roman"/>
          <w:sz w:val="24"/>
        </w:rPr>
        <w:t>transgressions</w:t>
      </w:r>
      <w:r w:rsidRPr="00BA5A45">
        <w:rPr>
          <w:rFonts w:ascii="Times New Roman" w:hAnsi="Times New Roman"/>
          <w:sz w:val="24"/>
        </w:rPr>
        <w:t xml:space="preserve"> </w:t>
      </w:r>
      <w:r w:rsidR="00D44A76" w:rsidRPr="00BA5A45">
        <w:rPr>
          <w:rFonts w:ascii="Times New Roman" w:hAnsi="Times New Roman"/>
          <w:sz w:val="24"/>
        </w:rPr>
        <w:t xml:space="preserve">the </w:t>
      </w:r>
      <w:r w:rsidRPr="00BA5A45">
        <w:rPr>
          <w:rFonts w:ascii="Times New Roman" w:hAnsi="Times New Roman"/>
          <w:sz w:val="24"/>
        </w:rPr>
        <w:t>appellant was convicted of</w:t>
      </w:r>
      <w:r w:rsidR="00736C79" w:rsidRPr="00BA5A45">
        <w:rPr>
          <w:rFonts w:ascii="Times New Roman" w:hAnsi="Times New Roman"/>
          <w:sz w:val="24"/>
        </w:rPr>
        <w:t xml:space="preserve">. </w:t>
      </w:r>
    </w:p>
    <w:p w14:paraId="37596CE0" w14:textId="77777777" w:rsidR="007B57EE" w:rsidRPr="00BA5A45" w:rsidRDefault="007B57EE" w:rsidP="00F42946">
      <w:pPr>
        <w:spacing w:after="0" w:line="480" w:lineRule="auto"/>
        <w:ind w:firstLine="1134"/>
        <w:jc w:val="both"/>
        <w:rPr>
          <w:rFonts w:ascii="Times New Roman" w:hAnsi="Times New Roman"/>
          <w:sz w:val="24"/>
        </w:rPr>
      </w:pPr>
    </w:p>
    <w:p w14:paraId="08C32700" w14:textId="017BFA3F" w:rsidR="00A61E1B" w:rsidRPr="00BA5A45" w:rsidRDefault="00736C79" w:rsidP="00F42946">
      <w:pPr>
        <w:spacing w:after="0" w:line="480" w:lineRule="auto"/>
        <w:ind w:firstLine="1134"/>
        <w:jc w:val="both"/>
        <w:rPr>
          <w:rFonts w:ascii="Times New Roman" w:hAnsi="Times New Roman"/>
          <w:sz w:val="24"/>
        </w:rPr>
      </w:pPr>
      <w:r w:rsidRPr="00BA5A45">
        <w:rPr>
          <w:rFonts w:ascii="Times New Roman" w:hAnsi="Times New Roman"/>
          <w:sz w:val="24"/>
        </w:rPr>
        <w:t xml:space="preserve">A careful perusal of the </w:t>
      </w:r>
      <w:r w:rsidR="000C122B" w:rsidRPr="00BA5A45">
        <w:rPr>
          <w:rFonts w:ascii="Times New Roman" w:hAnsi="Times New Roman"/>
          <w:sz w:val="24"/>
        </w:rPr>
        <w:t>T</w:t>
      </w:r>
      <w:r w:rsidRPr="00BA5A45">
        <w:rPr>
          <w:rFonts w:ascii="Times New Roman" w:hAnsi="Times New Roman"/>
          <w:sz w:val="24"/>
        </w:rPr>
        <w:t xml:space="preserve">ribunal’s reasons for sentence shows that </w:t>
      </w:r>
      <w:r w:rsidR="003214BA" w:rsidRPr="00BA5A45">
        <w:rPr>
          <w:rFonts w:ascii="Times New Roman" w:hAnsi="Times New Roman"/>
          <w:sz w:val="24"/>
        </w:rPr>
        <w:t xml:space="preserve">it </w:t>
      </w:r>
      <w:r w:rsidR="002F16CF" w:rsidRPr="00BA5A45">
        <w:rPr>
          <w:rFonts w:ascii="Times New Roman" w:hAnsi="Times New Roman"/>
          <w:sz w:val="24"/>
        </w:rPr>
        <w:t>considered</w:t>
      </w:r>
      <w:r w:rsidRPr="00BA5A45">
        <w:rPr>
          <w:rFonts w:ascii="Times New Roman" w:hAnsi="Times New Roman"/>
          <w:sz w:val="24"/>
        </w:rPr>
        <w:t xml:space="preserve"> all the factors</w:t>
      </w:r>
      <w:r w:rsidR="0005776C" w:rsidRPr="00BA5A45">
        <w:rPr>
          <w:rFonts w:ascii="Times New Roman" w:hAnsi="Times New Roman"/>
          <w:sz w:val="24"/>
        </w:rPr>
        <w:t>,</w:t>
      </w:r>
      <w:r w:rsidR="00D44A76" w:rsidRPr="00BA5A45">
        <w:rPr>
          <w:rFonts w:ascii="Times New Roman" w:hAnsi="Times New Roman"/>
          <w:sz w:val="24"/>
        </w:rPr>
        <w:t xml:space="preserve"> both </w:t>
      </w:r>
      <w:r w:rsidR="0005776C" w:rsidRPr="00BA5A45">
        <w:rPr>
          <w:rFonts w:ascii="Times New Roman" w:hAnsi="Times New Roman"/>
          <w:sz w:val="24"/>
        </w:rPr>
        <w:t>in mitigation</w:t>
      </w:r>
      <w:r w:rsidR="00D44A76" w:rsidRPr="00BA5A45">
        <w:rPr>
          <w:rFonts w:ascii="Times New Roman" w:hAnsi="Times New Roman"/>
          <w:sz w:val="24"/>
        </w:rPr>
        <w:t xml:space="preserve"> and </w:t>
      </w:r>
      <w:r w:rsidR="0005776C" w:rsidRPr="00BA5A45">
        <w:rPr>
          <w:rFonts w:ascii="Times New Roman" w:hAnsi="Times New Roman"/>
          <w:sz w:val="24"/>
        </w:rPr>
        <w:t xml:space="preserve">in </w:t>
      </w:r>
      <w:r w:rsidR="00BA5A45" w:rsidRPr="00BA5A45">
        <w:rPr>
          <w:rFonts w:ascii="Times New Roman" w:hAnsi="Times New Roman"/>
          <w:sz w:val="24"/>
        </w:rPr>
        <w:t>aggravation</w:t>
      </w:r>
      <w:r w:rsidR="0005776C" w:rsidRPr="00BA5A45">
        <w:rPr>
          <w:rFonts w:ascii="Times New Roman" w:hAnsi="Times New Roman"/>
          <w:sz w:val="24"/>
        </w:rPr>
        <w:t>, in arriving at the sentence</w:t>
      </w:r>
      <w:r w:rsidRPr="00BA5A45">
        <w:rPr>
          <w:rFonts w:ascii="Times New Roman" w:hAnsi="Times New Roman"/>
          <w:sz w:val="24"/>
        </w:rPr>
        <w:t xml:space="preserve">. It </w:t>
      </w:r>
      <w:r w:rsidR="0005776C" w:rsidRPr="00BA5A45">
        <w:rPr>
          <w:rFonts w:ascii="Times New Roman" w:hAnsi="Times New Roman"/>
          <w:sz w:val="24"/>
        </w:rPr>
        <w:t xml:space="preserve">aptly </w:t>
      </w:r>
      <w:r w:rsidRPr="00BA5A45">
        <w:rPr>
          <w:rFonts w:ascii="Times New Roman" w:hAnsi="Times New Roman"/>
          <w:sz w:val="24"/>
        </w:rPr>
        <w:t>noted</w:t>
      </w:r>
      <w:r w:rsidR="0005776C" w:rsidRPr="00BA5A45">
        <w:rPr>
          <w:rFonts w:ascii="Times New Roman" w:hAnsi="Times New Roman"/>
          <w:sz w:val="24"/>
        </w:rPr>
        <w:t xml:space="preserve"> with</w:t>
      </w:r>
      <w:r w:rsidR="003214BA" w:rsidRPr="00BA5A45">
        <w:rPr>
          <w:rFonts w:ascii="Times New Roman" w:hAnsi="Times New Roman"/>
          <w:sz w:val="24"/>
        </w:rPr>
        <w:t xml:space="preserve"> concern</w:t>
      </w:r>
      <w:r w:rsidRPr="00BA5A45">
        <w:rPr>
          <w:rFonts w:ascii="Times New Roman" w:hAnsi="Times New Roman"/>
          <w:sz w:val="24"/>
        </w:rPr>
        <w:t xml:space="preserve"> the appellant’s apparent lack of appreciation of the gravity of the </w:t>
      </w:r>
      <w:r w:rsidR="002F16CF" w:rsidRPr="00BA5A45">
        <w:rPr>
          <w:rFonts w:ascii="Times New Roman" w:hAnsi="Times New Roman"/>
          <w:sz w:val="24"/>
        </w:rPr>
        <w:t>transgressions</w:t>
      </w:r>
      <w:r w:rsidRPr="00BA5A45">
        <w:rPr>
          <w:rFonts w:ascii="Times New Roman" w:hAnsi="Times New Roman"/>
          <w:sz w:val="24"/>
        </w:rPr>
        <w:t xml:space="preserve"> he was convicted of which he termed </w:t>
      </w:r>
      <w:r w:rsidR="002F16CF" w:rsidRPr="00BA5A45">
        <w:rPr>
          <w:rFonts w:ascii="Times New Roman" w:hAnsi="Times New Roman"/>
          <w:sz w:val="24"/>
        </w:rPr>
        <w:t>minor</w:t>
      </w:r>
      <w:r w:rsidRPr="00BA5A45">
        <w:rPr>
          <w:rFonts w:ascii="Times New Roman" w:hAnsi="Times New Roman"/>
          <w:sz w:val="24"/>
        </w:rPr>
        <w:t xml:space="preserve"> errors of </w:t>
      </w:r>
      <w:r w:rsidR="007F64B5" w:rsidRPr="00BA5A45">
        <w:rPr>
          <w:rFonts w:ascii="Times New Roman" w:hAnsi="Times New Roman"/>
          <w:sz w:val="24"/>
        </w:rPr>
        <w:t>judgment</w:t>
      </w:r>
      <w:r w:rsidRPr="00BA5A45">
        <w:rPr>
          <w:rFonts w:ascii="Times New Roman" w:hAnsi="Times New Roman"/>
          <w:sz w:val="24"/>
        </w:rPr>
        <w:t xml:space="preserve"> yet the </w:t>
      </w:r>
      <w:r w:rsidR="000C122B" w:rsidRPr="00BA5A45">
        <w:rPr>
          <w:rFonts w:ascii="Times New Roman" w:hAnsi="Times New Roman"/>
          <w:sz w:val="24"/>
        </w:rPr>
        <w:t>T</w:t>
      </w:r>
      <w:r w:rsidRPr="00BA5A45">
        <w:rPr>
          <w:rFonts w:ascii="Times New Roman" w:hAnsi="Times New Roman"/>
          <w:sz w:val="24"/>
        </w:rPr>
        <w:t xml:space="preserve">ribunal had found this to be gross </w:t>
      </w:r>
      <w:r w:rsidR="002F16CF" w:rsidRPr="00BA5A45">
        <w:rPr>
          <w:rFonts w:ascii="Times New Roman" w:hAnsi="Times New Roman"/>
          <w:sz w:val="24"/>
        </w:rPr>
        <w:t>negligence. If</w:t>
      </w:r>
      <w:r w:rsidRPr="00BA5A45">
        <w:rPr>
          <w:rFonts w:ascii="Times New Roman" w:hAnsi="Times New Roman"/>
          <w:sz w:val="24"/>
        </w:rPr>
        <w:t xml:space="preserve"> therefore appellant considers as trivial acting in conflicted circumstances, sell</w:t>
      </w:r>
      <w:r w:rsidR="000C122B" w:rsidRPr="00BA5A45">
        <w:rPr>
          <w:rFonts w:ascii="Times New Roman" w:hAnsi="Times New Roman"/>
          <w:sz w:val="24"/>
        </w:rPr>
        <w:t>ing</w:t>
      </w:r>
      <w:r w:rsidRPr="00BA5A45">
        <w:rPr>
          <w:rFonts w:ascii="Times New Roman" w:hAnsi="Times New Roman"/>
          <w:sz w:val="24"/>
        </w:rPr>
        <w:t xml:space="preserve"> a surety’s property without a court order or</w:t>
      </w:r>
      <w:r w:rsidR="00D52490" w:rsidRPr="00BA5A45">
        <w:rPr>
          <w:rFonts w:ascii="Times New Roman" w:hAnsi="Times New Roman"/>
          <w:sz w:val="24"/>
        </w:rPr>
        <w:t xml:space="preserve"> </w:t>
      </w:r>
      <w:r w:rsidRPr="00BA5A45">
        <w:rPr>
          <w:rFonts w:ascii="Times New Roman" w:hAnsi="Times New Roman"/>
          <w:sz w:val="24"/>
        </w:rPr>
        <w:t xml:space="preserve">consent </w:t>
      </w:r>
      <w:r w:rsidR="000C122B" w:rsidRPr="00BA5A45">
        <w:rPr>
          <w:rFonts w:ascii="Times New Roman" w:hAnsi="Times New Roman"/>
          <w:sz w:val="24"/>
        </w:rPr>
        <w:t>and remitting</w:t>
      </w:r>
      <w:r w:rsidR="001B1326" w:rsidRPr="00BA5A45">
        <w:rPr>
          <w:rFonts w:ascii="Times New Roman" w:hAnsi="Times New Roman"/>
          <w:sz w:val="24"/>
        </w:rPr>
        <w:t xml:space="preserve"> trust funds to NFOL</w:t>
      </w:r>
      <w:r w:rsidRPr="00BA5A45">
        <w:rPr>
          <w:rFonts w:ascii="Times New Roman" w:hAnsi="Times New Roman"/>
          <w:sz w:val="24"/>
        </w:rPr>
        <w:t xml:space="preserve"> instead of to the rightful beneficiary as trivial then he certainly does not </w:t>
      </w:r>
      <w:r w:rsidR="00A61E1B" w:rsidRPr="00BA5A45">
        <w:rPr>
          <w:rFonts w:ascii="Times New Roman" w:hAnsi="Times New Roman"/>
          <w:sz w:val="24"/>
        </w:rPr>
        <w:t xml:space="preserve">deserve to be on the register. </w:t>
      </w:r>
    </w:p>
    <w:p w14:paraId="7CB2AD5B" w14:textId="77777777" w:rsidR="007B57EE" w:rsidRPr="00BA5A45" w:rsidRDefault="007B57EE" w:rsidP="00F42946">
      <w:pPr>
        <w:spacing w:after="0" w:line="480" w:lineRule="auto"/>
        <w:ind w:firstLine="1134"/>
        <w:jc w:val="both"/>
        <w:rPr>
          <w:rFonts w:ascii="Times New Roman" w:hAnsi="Times New Roman"/>
          <w:sz w:val="24"/>
        </w:rPr>
      </w:pPr>
    </w:p>
    <w:p w14:paraId="5E026F1F" w14:textId="55269596" w:rsidR="00A61E1B" w:rsidRPr="00BA5A45" w:rsidRDefault="00A61E1B" w:rsidP="00F42946">
      <w:pPr>
        <w:spacing w:after="0" w:line="480" w:lineRule="auto"/>
        <w:ind w:firstLine="1134"/>
        <w:jc w:val="both"/>
        <w:rPr>
          <w:rFonts w:ascii="Times New Roman" w:hAnsi="Times New Roman"/>
          <w:sz w:val="24"/>
        </w:rPr>
      </w:pPr>
      <w:r w:rsidRPr="00BA5A45">
        <w:rPr>
          <w:rFonts w:ascii="Times New Roman" w:hAnsi="Times New Roman"/>
          <w:sz w:val="24"/>
        </w:rPr>
        <w:t>I</w:t>
      </w:r>
      <w:r w:rsidR="00313D30" w:rsidRPr="00BA5A45">
        <w:rPr>
          <w:rFonts w:ascii="Times New Roman" w:hAnsi="Times New Roman"/>
          <w:sz w:val="24"/>
        </w:rPr>
        <w:t>t is apposite to note that</w:t>
      </w:r>
      <w:r w:rsidRPr="00BA5A45">
        <w:rPr>
          <w:rFonts w:ascii="Times New Roman" w:hAnsi="Times New Roman"/>
          <w:sz w:val="24"/>
        </w:rPr>
        <w:t xml:space="preserve"> regarding the balance of t</w:t>
      </w:r>
      <w:r w:rsidR="00313D30" w:rsidRPr="00BA5A45">
        <w:rPr>
          <w:rFonts w:ascii="Times New Roman" w:hAnsi="Times New Roman"/>
          <w:sz w:val="24"/>
        </w:rPr>
        <w:t>he purchase price wrongly and unlawfully remitted to NFOL, the appella</w:t>
      </w:r>
      <w:r w:rsidR="006A54D0" w:rsidRPr="00BA5A45">
        <w:rPr>
          <w:rFonts w:ascii="Times New Roman" w:hAnsi="Times New Roman"/>
          <w:sz w:val="24"/>
        </w:rPr>
        <w:t xml:space="preserve">nt had the </w:t>
      </w:r>
      <w:r w:rsidR="00313D30" w:rsidRPr="00BA5A45">
        <w:rPr>
          <w:rFonts w:ascii="Times New Roman" w:hAnsi="Times New Roman"/>
          <w:sz w:val="24"/>
        </w:rPr>
        <w:t>audacity to refer the complainants to NFOL yet it was his duty, and not that of NFOL, to account to the complainants.</w:t>
      </w:r>
      <w:r w:rsidR="00736C79" w:rsidRPr="00BA5A45">
        <w:rPr>
          <w:rFonts w:ascii="Times New Roman" w:hAnsi="Times New Roman"/>
          <w:sz w:val="24"/>
        </w:rPr>
        <w:t xml:space="preserve"> </w:t>
      </w:r>
      <w:r w:rsidR="00313D30" w:rsidRPr="00BA5A45">
        <w:rPr>
          <w:rFonts w:ascii="Times New Roman" w:hAnsi="Times New Roman"/>
          <w:sz w:val="24"/>
        </w:rPr>
        <w:t>Such attitude clearly shows that</w:t>
      </w:r>
      <w:r w:rsidR="00D008AF" w:rsidRPr="00BA5A45">
        <w:rPr>
          <w:rFonts w:ascii="Times New Roman" w:hAnsi="Times New Roman"/>
          <w:sz w:val="24"/>
        </w:rPr>
        <w:t xml:space="preserve"> the</w:t>
      </w:r>
      <w:r w:rsidR="00313D30" w:rsidRPr="00BA5A45">
        <w:rPr>
          <w:rFonts w:ascii="Times New Roman" w:hAnsi="Times New Roman"/>
          <w:sz w:val="24"/>
        </w:rPr>
        <w:t xml:space="preserve"> appellant was oblivious of his </w:t>
      </w:r>
      <w:r w:rsidR="002362DB" w:rsidRPr="00BA5A45">
        <w:rPr>
          <w:rFonts w:ascii="Times New Roman" w:hAnsi="Times New Roman"/>
          <w:sz w:val="24"/>
        </w:rPr>
        <w:t>duties</w:t>
      </w:r>
      <w:r w:rsidR="00313D30" w:rsidRPr="00BA5A45">
        <w:rPr>
          <w:rFonts w:ascii="Times New Roman" w:hAnsi="Times New Roman"/>
          <w:sz w:val="24"/>
        </w:rPr>
        <w:t xml:space="preserve"> regarding funds in the trust account.</w:t>
      </w:r>
      <w:r w:rsidR="002362DB" w:rsidRPr="00BA5A45">
        <w:rPr>
          <w:rFonts w:ascii="Times New Roman" w:hAnsi="Times New Roman"/>
          <w:sz w:val="24"/>
        </w:rPr>
        <w:t xml:space="preserve"> These are </w:t>
      </w:r>
      <w:r w:rsidR="002362DB" w:rsidRPr="00BA5A45">
        <w:rPr>
          <w:rFonts w:ascii="Times New Roman" w:hAnsi="Times New Roman"/>
          <w:sz w:val="24"/>
        </w:rPr>
        <w:lastRenderedPageBreak/>
        <w:t>basic issues a legal practitioner desiring to be on the register must know</w:t>
      </w:r>
      <w:r w:rsidR="002F16CF" w:rsidRPr="00BA5A45">
        <w:rPr>
          <w:rFonts w:ascii="Times New Roman" w:hAnsi="Times New Roman"/>
          <w:sz w:val="24"/>
        </w:rPr>
        <w:t>.</w:t>
      </w:r>
      <w:r w:rsidR="003214BA" w:rsidRPr="00BA5A45">
        <w:rPr>
          <w:rFonts w:ascii="Times New Roman" w:hAnsi="Times New Roman"/>
          <w:sz w:val="24"/>
        </w:rPr>
        <w:t xml:space="preserve"> </w:t>
      </w:r>
      <w:r w:rsidR="00D52490" w:rsidRPr="00BA5A45">
        <w:rPr>
          <w:rFonts w:ascii="Times New Roman" w:hAnsi="Times New Roman"/>
          <w:sz w:val="24"/>
        </w:rPr>
        <w:t xml:space="preserve"> </w:t>
      </w:r>
      <w:r w:rsidR="000C122B" w:rsidRPr="00BA5A45">
        <w:rPr>
          <w:rFonts w:ascii="Times New Roman" w:hAnsi="Times New Roman"/>
          <w:sz w:val="24"/>
        </w:rPr>
        <w:t>T</w:t>
      </w:r>
      <w:r w:rsidR="00D52490" w:rsidRPr="00BA5A45">
        <w:rPr>
          <w:rFonts w:ascii="Times New Roman" w:hAnsi="Times New Roman"/>
          <w:sz w:val="24"/>
        </w:rPr>
        <w:t xml:space="preserve">he selling of </w:t>
      </w:r>
      <w:r w:rsidR="003214BA" w:rsidRPr="00BA5A45">
        <w:rPr>
          <w:rFonts w:ascii="Times New Roman" w:hAnsi="Times New Roman"/>
          <w:sz w:val="24"/>
        </w:rPr>
        <w:t>an immovable proper</w:t>
      </w:r>
      <w:r w:rsidR="000C122B" w:rsidRPr="00BA5A45">
        <w:rPr>
          <w:rFonts w:ascii="Times New Roman" w:hAnsi="Times New Roman"/>
          <w:sz w:val="24"/>
        </w:rPr>
        <w:t>t</w:t>
      </w:r>
      <w:r w:rsidR="003214BA" w:rsidRPr="00BA5A45">
        <w:rPr>
          <w:rFonts w:ascii="Times New Roman" w:hAnsi="Times New Roman"/>
          <w:sz w:val="24"/>
        </w:rPr>
        <w:t>y without a court order or the owner’s consent</w:t>
      </w:r>
      <w:r w:rsidR="00736C79" w:rsidRPr="00BA5A45">
        <w:rPr>
          <w:rFonts w:ascii="Times New Roman" w:hAnsi="Times New Roman"/>
          <w:sz w:val="24"/>
        </w:rPr>
        <w:t xml:space="preserve"> cannot be glossed over as </w:t>
      </w:r>
      <w:r w:rsidR="00D52490" w:rsidRPr="00BA5A45">
        <w:rPr>
          <w:rFonts w:ascii="Times New Roman" w:hAnsi="Times New Roman"/>
          <w:sz w:val="24"/>
        </w:rPr>
        <w:t>minor</w:t>
      </w:r>
      <w:r w:rsidR="00736C79" w:rsidRPr="00BA5A45">
        <w:rPr>
          <w:rFonts w:ascii="Times New Roman" w:hAnsi="Times New Roman"/>
          <w:sz w:val="24"/>
        </w:rPr>
        <w:t xml:space="preserve"> errors of judgment</w:t>
      </w:r>
      <w:r w:rsidR="00D52490" w:rsidRPr="00BA5A45">
        <w:rPr>
          <w:rFonts w:ascii="Times New Roman" w:hAnsi="Times New Roman"/>
          <w:sz w:val="24"/>
        </w:rPr>
        <w:t xml:space="preserve">. </w:t>
      </w:r>
    </w:p>
    <w:p w14:paraId="6DB1700C" w14:textId="77777777" w:rsidR="007B57EE" w:rsidRPr="00BA5A45" w:rsidRDefault="007B57EE" w:rsidP="00F42946">
      <w:pPr>
        <w:spacing w:after="0" w:line="480" w:lineRule="auto"/>
        <w:ind w:firstLine="1134"/>
        <w:jc w:val="both"/>
        <w:rPr>
          <w:rFonts w:ascii="Times New Roman" w:hAnsi="Times New Roman"/>
          <w:sz w:val="24"/>
        </w:rPr>
      </w:pPr>
    </w:p>
    <w:p w14:paraId="33D1266C" w14:textId="1ED68D6B" w:rsidR="00E42745" w:rsidRPr="00BA5A45" w:rsidRDefault="00D52490" w:rsidP="00F42946">
      <w:pPr>
        <w:spacing w:after="0" w:line="480" w:lineRule="auto"/>
        <w:ind w:firstLine="1134"/>
        <w:jc w:val="both"/>
        <w:rPr>
          <w:rFonts w:ascii="Times New Roman" w:hAnsi="Times New Roman"/>
          <w:sz w:val="24"/>
          <w:szCs w:val="24"/>
        </w:rPr>
      </w:pPr>
      <w:r w:rsidRPr="00BA5A45">
        <w:rPr>
          <w:rFonts w:ascii="Times New Roman" w:hAnsi="Times New Roman"/>
          <w:sz w:val="24"/>
        </w:rPr>
        <w:t xml:space="preserve">The </w:t>
      </w:r>
      <w:r w:rsidR="000C122B" w:rsidRPr="00BA5A45">
        <w:rPr>
          <w:rFonts w:ascii="Times New Roman" w:hAnsi="Times New Roman"/>
          <w:sz w:val="24"/>
        </w:rPr>
        <w:t>T</w:t>
      </w:r>
      <w:r w:rsidRPr="00BA5A45">
        <w:rPr>
          <w:rFonts w:ascii="Times New Roman" w:hAnsi="Times New Roman"/>
          <w:sz w:val="24"/>
        </w:rPr>
        <w:t xml:space="preserve">ribunal </w:t>
      </w:r>
      <w:r w:rsidR="000C122B" w:rsidRPr="00BA5A45">
        <w:rPr>
          <w:rFonts w:ascii="Times New Roman" w:hAnsi="Times New Roman"/>
          <w:sz w:val="24"/>
        </w:rPr>
        <w:t xml:space="preserve">aptly </w:t>
      </w:r>
      <w:r w:rsidR="00E42745" w:rsidRPr="00BA5A45">
        <w:rPr>
          <w:rFonts w:ascii="Times New Roman" w:hAnsi="Times New Roman"/>
          <w:sz w:val="24"/>
        </w:rPr>
        <w:t>not</w:t>
      </w:r>
      <w:r w:rsidR="003214BA" w:rsidRPr="00BA5A45">
        <w:rPr>
          <w:rFonts w:ascii="Times New Roman" w:hAnsi="Times New Roman"/>
          <w:sz w:val="24"/>
        </w:rPr>
        <w:t>ed that the character reference</w:t>
      </w:r>
      <w:r w:rsidR="00E42745" w:rsidRPr="00BA5A45">
        <w:rPr>
          <w:rFonts w:ascii="Times New Roman" w:hAnsi="Times New Roman"/>
          <w:sz w:val="24"/>
        </w:rPr>
        <w:t xml:space="preserve"> letters</w:t>
      </w:r>
      <w:r w:rsidR="003214BA" w:rsidRPr="00BA5A45">
        <w:rPr>
          <w:rFonts w:ascii="Times New Roman" w:hAnsi="Times New Roman"/>
          <w:sz w:val="24"/>
        </w:rPr>
        <w:t xml:space="preserve"> provided</w:t>
      </w:r>
      <w:r w:rsidR="00E42745" w:rsidRPr="00BA5A45">
        <w:rPr>
          <w:rFonts w:ascii="Times New Roman" w:hAnsi="Times New Roman"/>
          <w:sz w:val="24"/>
        </w:rPr>
        <w:t xml:space="preserve"> </w:t>
      </w:r>
      <w:r w:rsidR="002F16CF" w:rsidRPr="00BA5A45">
        <w:rPr>
          <w:rFonts w:ascii="Times New Roman" w:hAnsi="Times New Roman"/>
          <w:sz w:val="24"/>
        </w:rPr>
        <w:t>d</w:t>
      </w:r>
      <w:r w:rsidR="00E42745" w:rsidRPr="00BA5A45">
        <w:rPr>
          <w:rFonts w:ascii="Times New Roman" w:hAnsi="Times New Roman"/>
          <w:sz w:val="24"/>
        </w:rPr>
        <w:t xml:space="preserve">id not address the transgressions </w:t>
      </w:r>
      <w:r w:rsidR="003214BA" w:rsidRPr="00BA5A45">
        <w:rPr>
          <w:rFonts w:ascii="Times New Roman" w:hAnsi="Times New Roman"/>
          <w:sz w:val="24"/>
        </w:rPr>
        <w:t xml:space="preserve">the </w:t>
      </w:r>
      <w:r w:rsidR="00E42745" w:rsidRPr="00BA5A45">
        <w:rPr>
          <w:rFonts w:ascii="Times New Roman" w:hAnsi="Times New Roman"/>
          <w:sz w:val="24"/>
        </w:rPr>
        <w:t>appellant was convicted of.</w:t>
      </w:r>
      <w:r w:rsidR="002F16CF" w:rsidRPr="00BA5A45">
        <w:rPr>
          <w:rFonts w:ascii="Times New Roman" w:hAnsi="Times New Roman"/>
          <w:sz w:val="24"/>
        </w:rPr>
        <w:t xml:space="preserve"> They</w:t>
      </w:r>
      <w:r w:rsidR="00E42745" w:rsidRPr="00BA5A45">
        <w:rPr>
          <w:rFonts w:ascii="Times New Roman" w:hAnsi="Times New Roman"/>
          <w:sz w:val="24"/>
        </w:rPr>
        <w:t xml:space="preserve"> instead </w:t>
      </w:r>
      <w:r w:rsidR="002F16CF" w:rsidRPr="00BA5A45">
        <w:rPr>
          <w:rFonts w:ascii="Times New Roman" w:hAnsi="Times New Roman"/>
          <w:sz w:val="24"/>
        </w:rPr>
        <w:t>addressed</w:t>
      </w:r>
      <w:r w:rsidR="00E42745" w:rsidRPr="00BA5A45">
        <w:rPr>
          <w:rFonts w:ascii="Times New Roman" w:hAnsi="Times New Roman"/>
          <w:sz w:val="24"/>
        </w:rPr>
        <w:t xml:space="preserve"> other matters and not this case w</w:t>
      </w:r>
      <w:r w:rsidR="002F16CF" w:rsidRPr="00BA5A45">
        <w:rPr>
          <w:rFonts w:ascii="Times New Roman" w:hAnsi="Times New Roman"/>
          <w:sz w:val="24"/>
        </w:rPr>
        <w:t>h</w:t>
      </w:r>
      <w:r w:rsidR="00E42745" w:rsidRPr="00BA5A45">
        <w:rPr>
          <w:rFonts w:ascii="Times New Roman" w:hAnsi="Times New Roman"/>
          <w:sz w:val="24"/>
        </w:rPr>
        <w:t xml:space="preserve">ere the appellant’s conduct was found to amount to gross negligence. Regarding the </w:t>
      </w:r>
      <w:r w:rsidR="002F16CF" w:rsidRPr="00BA5A45">
        <w:rPr>
          <w:rFonts w:ascii="Times New Roman" w:hAnsi="Times New Roman"/>
          <w:sz w:val="24"/>
        </w:rPr>
        <w:t>selling</w:t>
      </w:r>
      <w:r w:rsidR="00E42745" w:rsidRPr="00BA5A45">
        <w:rPr>
          <w:rFonts w:ascii="Times New Roman" w:hAnsi="Times New Roman"/>
          <w:sz w:val="24"/>
        </w:rPr>
        <w:t xml:space="preserve"> of property in a </w:t>
      </w:r>
      <w:r w:rsidR="002F16CF" w:rsidRPr="00BA5A45">
        <w:rPr>
          <w:rFonts w:ascii="Times New Roman" w:hAnsi="Times New Roman"/>
          <w:sz w:val="24"/>
        </w:rPr>
        <w:t>conflicted circumstance</w:t>
      </w:r>
      <w:r w:rsidR="002D46BE">
        <w:rPr>
          <w:rFonts w:ascii="Times New Roman" w:hAnsi="Times New Roman"/>
          <w:sz w:val="24"/>
        </w:rPr>
        <w:t>s</w:t>
      </w:r>
      <w:r w:rsidR="00E42745" w:rsidRPr="00BA5A45">
        <w:rPr>
          <w:rFonts w:ascii="Times New Roman" w:hAnsi="Times New Roman"/>
          <w:sz w:val="24"/>
        </w:rPr>
        <w:t xml:space="preserve"> and then failing to </w:t>
      </w:r>
      <w:r w:rsidR="002F16CF" w:rsidRPr="00BA5A45">
        <w:rPr>
          <w:rFonts w:ascii="Times New Roman" w:hAnsi="Times New Roman"/>
          <w:sz w:val="24"/>
        </w:rPr>
        <w:t>remit</w:t>
      </w:r>
      <w:r w:rsidR="00E42745" w:rsidRPr="00BA5A45">
        <w:rPr>
          <w:rFonts w:ascii="Times New Roman" w:hAnsi="Times New Roman"/>
          <w:sz w:val="24"/>
        </w:rPr>
        <w:t xml:space="preserve"> the balance to the complainants or reta</w:t>
      </w:r>
      <w:r w:rsidR="00313D30" w:rsidRPr="00BA5A45">
        <w:rPr>
          <w:rFonts w:ascii="Times New Roman" w:hAnsi="Times New Roman"/>
          <w:sz w:val="24"/>
        </w:rPr>
        <w:t>in it in his trust account the T</w:t>
      </w:r>
      <w:r w:rsidR="00E42745" w:rsidRPr="00BA5A45">
        <w:rPr>
          <w:rFonts w:ascii="Times New Roman" w:hAnsi="Times New Roman"/>
          <w:sz w:val="24"/>
        </w:rPr>
        <w:t>ribunal aptly noted that:</w:t>
      </w:r>
      <w:r w:rsidR="00E42745" w:rsidRPr="00BA5A45">
        <w:rPr>
          <w:rFonts w:ascii="Times New Roman" w:hAnsi="Times New Roman"/>
          <w:sz w:val="24"/>
          <w:szCs w:val="24"/>
        </w:rPr>
        <w:t xml:space="preserve"> </w:t>
      </w:r>
    </w:p>
    <w:p w14:paraId="3657F370" w14:textId="40991BEB" w:rsidR="009A7CF8" w:rsidRPr="00BA5A45" w:rsidRDefault="00E42745" w:rsidP="00F42946">
      <w:pPr>
        <w:spacing w:after="0" w:line="240" w:lineRule="auto"/>
        <w:ind w:left="567"/>
        <w:jc w:val="both"/>
        <w:rPr>
          <w:rFonts w:ascii="Times New Roman" w:hAnsi="Times New Roman"/>
          <w:sz w:val="24"/>
        </w:rPr>
      </w:pPr>
      <w:r w:rsidRPr="00BA5A45">
        <w:rPr>
          <w:rFonts w:ascii="Times New Roman" w:hAnsi="Times New Roman"/>
          <w:sz w:val="24"/>
          <w:szCs w:val="24"/>
        </w:rPr>
        <w:t>“The respondent chose to execute against a more vulnerable ‘clients’’ in favour of a well-established corporate client. The respondent’s conduct is both legally and morally wrong and is comparable to abuse of trust funds given the considerable prejudice suffered by the Zhawaris which prejudice has not been rectified to date. Selling of property without a court order or the consent of its owner goes to the heart or root of the practice of law. The respondent’s conduct thus constituted a departure from the standards by which responsible and competent legal practitioners habitually govern themselves. The sentence must therefore be commensurate with our finding.”</w:t>
      </w:r>
    </w:p>
    <w:p w14:paraId="08A09E94" w14:textId="77777777" w:rsidR="00D81197" w:rsidRPr="00BA5A45" w:rsidRDefault="00D81197" w:rsidP="00F42946">
      <w:pPr>
        <w:spacing w:after="0" w:line="480" w:lineRule="auto"/>
        <w:ind w:firstLine="720"/>
        <w:jc w:val="both"/>
        <w:rPr>
          <w:rFonts w:ascii="Times New Roman" w:hAnsi="Times New Roman"/>
          <w:sz w:val="24"/>
        </w:rPr>
      </w:pPr>
    </w:p>
    <w:p w14:paraId="72627366" w14:textId="647A438B" w:rsidR="007E5304" w:rsidRDefault="00313D30" w:rsidP="00F42946">
      <w:pPr>
        <w:spacing w:after="0" w:line="480" w:lineRule="auto"/>
        <w:ind w:firstLine="1134"/>
        <w:jc w:val="both"/>
        <w:rPr>
          <w:rFonts w:ascii="Times New Roman" w:hAnsi="Times New Roman"/>
          <w:sz w:val="24"/>
        </w:rPr>
      </w:pPr>
      <w:r w:rsidRPr="00BA5A45">
        <w:rPr>
          <w:rFonts w:ascii="Times New Roman" w:hAnsi="Times New Roman"/>
          <w:sz w:val="24"/>
        </w:rPr>
        <w:t>In the circumstances the Tribunal aptly held</w:t>
      </w:r>
      <w:r w:rsidR="003214BA" w:rsidRPr="00BA5A45">
        <w:rPr>
          <w:rFonts w:ascii="Times New Roman" w:hAnsi="Times New Roman"/>
          <w:sz w:val="24"/>
        </w:rPr>
        <w:t xml:space="preserve"> that such</w:t>
      </w:r>
      <w:r w:rsidR="00202677" w:rsidRPr="00BA5A45">
        <w:rPr>
          <w:rFonts w:ascii="Times New Roman" w:hAnsi="Times New Roman"/>
          <w:sz w:val="24"/>
        </w:rPr>
        <w:t xml:space="preserve"> </w:t>
      </w:r>
      <w:r w:rsidR="007F64B5" w:rsidRPr="00BA5A45">
        <w:rPr>
          <w:rFonts w:ascii="Times New Roman" w:hAnsi="Times New Roman"/>
          <w:sz w:val="24"/>
        </w:rPr>
        <w:t>dishonorable</w:t>
      </w:r>
      <w:r w:rsidR="00EE0341" w:rsidRPr="00BA5A45">
        <w:rPr>
          <w:rFonts w:ascii="Times New Roman" w:hAnsi="Times New Roman"/>
          <w:sz w:val="24"/>
        </w:rPr>
        <w:t>, unworthy</w:t>
      </w:r>
      <w:r w:rsidR="00202677" w:rsidRPr="00BA5A45">
        <w:rPr>
          <w:rFonts w:ascii="Times New Roman" w:hAnsi="Times New Roman"/>
          <w:sz w:val="24"/>
        </w:rPr>
        <w:t xml:space="preserve"> and </w:t>
      </w:r>
      <w:r w:rsidR="00EE0341" w:rsidRPr="00BA5A45">
        <w:rPr>
          <w:rFonts w:ascii="Times New Roman" w:hAnsi="Times New Roman"/>
          <w:sz w:val="24"/>
        </w:rPr>
        <w:t>unprofessional</w:t>
      </w:r>
      <w:r w:rsidR="00017DEE" w:rsidRPr="00BA5A45">
        <w:rPr>
          <w:rFonts w:ascii="Times New Roman" w:hAnsi="Times New Roman"/>
          <w:sz w:val="24"/>
        </w:rPr>
        <w:t xml:space="preserve"> </w:t>
      </w:r>
      <w:r w:rsidRPr="00BA5A45">
        <w:rPr>
          <w:rFonts w:ascii="Times New Roman" w:hAnsi="Times New Roman"/>
          <w:sz w:val="24"/>
        </w:rPr>
        <w:t>conduct</w:t>
      </w:r>
      <w:r w:rsidR="00202677" w:rsidRPr="00BA5A45">
        <w:rPr>
          <w:rFonts w:ascii="Times New Roman" w:hAnsi="Times New Roman"/>
          <w:sz w:val="24"/>
        </w:rPr>
        <w:t xml:space="preserve"> warrant</w:t>
      </w:r>
      <w:r w:rsidR="00017DEE" w:rsidRPr="00BA5A45">
        <w:rPr>
          <w:rFonts w:ascii="Times New Roman" w:hAnsi="Times New Roman"/>
          <w:sz w:val="24"/>
        </w:rPr>
        <w:t>ed</w:t>
      </w:r>
      <w:r w:rsidR="00202677" w:rsidRPr="00BA5A45">
        <w:rPr>
          <w:rFonts w:ascii="Times New Roman" w:hAnsi="Times New Roman"/>
          <w:sz w:val="24"/>
        </w:rPr>
        <w:t xml:space="preserve"> the deletion of the appellant’s name from the register of legal </w:t>
      </w:r>
      <w:r w:rsidR="00EE0341" w:rsidRPr="00BA5A45">
        <w:rPr>
          <w:rFonts w:ascii="Times New Roman" w:hAnsi="Times New Roman"/>
          <w:sz w:val="24"/>
        </w:rPr>
        <w:t>practitioners, notaries</w:t>
      </w:r>
      <w:r w:rsidR="00202677" w:rsidRPr="00BA5A45">
        <w:rPr>
          <w:rFonts w:ascii="Times New Roman" w:hAnsi="Times New Roman"/>
          <w:sz w:val="24"/>
        </w:rPr>
        <w:t xml:space="preserve"> public and conveyancers.</w:t>
      </w:r>
      <w:r w:rsidR="008A1C02">
        <w:rPr>
          <w:rFonts w:ascii="Times New Roman" w:hAnsi="Times New Roman"/>
          <w:sz w:val="24"/>
        </w:rPr>
        <w:t xml:space="preserve"> </w:t>
      </w:r>
      <w:r w:rsidR="007E5304">
        <w:rPr>
          <w:rFonts w:ascii="Times New Roman" w:hAnsi="Times New Roman"/>
          <w:sz w:val="24"/>
        </w:rPr>
        <w:t xml:space="preserve">In </w:t>
      </w:r>
      <w:r w:rsidR="007E5304" w:rsidRPr="00396663">
        <w:rPr>
          <w:rFonts w:ascii="Times New Roman" w:hAnsi="Times New Roman"/>
          <w:i/>
          <w:sz w:val="24"/>
        </w:rPr>
        <w:t>Muskwe</w:t>
      </w:r>
      <w:r w:rsidR="007B0FE6" w:rsidRPr="00396663">
        <w:rPr>
          <w:rFonts w:ascii="Times New Roman" w:hAnsi="Times New Roman"/>
          <w:i/>
          <w:sz w:val="24"/>
        </w:rPr>
        <w:t xml:space="preserve"> v</w:t>
      </w:r>
      <w:r w:rsidR="008A1C02" w:rsidRPr="00396663">
        <w:rPr>
          <w:rFonts w:ascii="Times New Roman" w:hAnsi="Times New Roman"/>
          <w:i/>
          <w:sz w:val="24"/>
        </w:rPr>
        <w:t xml:space="preserve"> </w:t>
      </w:r>
      <w:r w:rsidR="007B0FE6" w:rsidRPr="00396663">
        <w:rPr>
          <w:rFonts w:ascii="Times New Roman" w:hAnsi="Times New Roman"/>
          <w:i/>
          <w:sz w:val="24"/>
        </w:rPr>
        <w:t>Law Society of</w:t>
      </w:r>
      <w:r w:rsidR="007B0FE6">
        <w:rPr>
          <w:rFonts w:ascii="Times New Roman" w:hAnsi="Times New Roman"/>
          <w:sz w:val="24"/>
        </w:rPr>
        <w:t xml:space="preserve"> </w:t>
      </w:r>
      <w:r w:rsidR="007B0FE6" w:rsidRPr="00396663">
        <w:rPr>
          <w:rFonts w:ascii="Times New Roman" w:hAnsi="Times New Roman"/>
          <w:i/>
          <w:sz w:val="24"/>
        </w:rPr>
        <w:t>Zimbabwe</w:t>
      </w:r>
      <w:r w:rsidR="00D13041">
        <w:rPr>
          <w:rFonts w:ascii="Times New Roman" w:hAnsi="Times New Roman"/>
          <w:sz w:val="24"/>
        </w:rPr>
        <w:t xml:space="preserve"> SC 72/20 in</w:t>
      </w:r>
      <w:r w:rsidR="007B0FE6">
        <w:rPr>
          <w:rFonts w:ascii="Times New Roman" w:hAnsi="Times New Roman"/>
          <w:sz w:val="24"/>
        </w:rPr>
        <w:t xml:space="preserve"> para 9</w:t>
      </w:r>
      <w:r w:rsidR="00396663">
        <w:rPr>
          <w:rFonts w:ascii="Times New Roman" w:hAnsi="Times New Roman"/>
          <w:sz w:val="24"/>
        </w:rPr>
        <w:t xml:space="preserve"> GWAUNZA DCJ noted</w:t>
      </w:r>
      <w:r w:rsidR="007B0FE6">
        <w:rPr>
          <w:rFonts w:ascii="Times New Roman" w:hAnsi="Times New Roman"/>
          <w:sz w:val="24"/>
        </w:rPr>
        <w:t xml:space="preserve"> that:- </w:t>
      </w:r>
    </w:p>
    <w:p w14:paraId="7D7551CF" w14:textId="7368483A" w:rsidR="008A1C02" w:rsidRPr="000B38B5" w:rsidRDefault="007E5304" w:rsidP="00F42946">
      <w:pPr>
        <w:spacing w:after="0" w:line="276" w:lineRule="auto"/>
        <w:ind w:left="567"/>
        <w:jc w:val="both"/>
        <w:rPr>
          <w:rFonts w:ascii="Times New Roman" w:hAnsi="Times New Roman"/>
          <w:sz w:val="24"/>
          <w:szCs w:val="24"/>
        </w:rPr>
      </w:pPr>
      <w:r>
        <w:rPr>
          <w:rFonts w:ascii="Times New Roman" w:hAnsi="Times New Roman"/>
          <w:sz w:val="24"/>
          <w:szCs w:val="24"/>
        </w:rPr>
        <w:t>“</w:t>
      </w:r>
      <w:r w:rsidR="008A1C02" w:rsidRPr="00FB56FE">
        <w:rPr>
          <w:rFonts w:ascii="Times New Roman" w:hAnsi="Times New Roman"/>
          <w:sz w:val="24"/>
          <w:szCs w:val="24"/>
        </w:rPr>
        <w:t>A look at the relevant case</w:t>
      </w:r>
      <w:r w:rsidR="008A1C02">
        <w:rPr>
          <w:rFonts w:ascii="Times New Roman" w:hAnsi="Times New Roman"/>
          <w:sz w:val="24"/>
          <w:szCs w:val="24"/>
        </w:rPr>
        <w:t>s</w:t>
      </w:r>
      <w:r w:rsidR="008A1C02" w:rsidRPr="00FB56FE">
        <w:rPr>
          <w:rFonts w:ascii="Times New Roman" w:hAnsi="Times New Roman"/>
          <w:sz w:val="24"/>
          <w:szCs w:val="24"/>
        </w:rPr>
        <w:t xml:space="preserve"> and other authorities clearly suggests that courts of law take a very serious view of the abuse of trust funds by a legal practitioner. Further, that lawyers, as a class</w:t>
      </w:r>
      <w:r w:rsidR="008A1C02">
        <w:rPr>
          <w:rFonts w:ascii="Times New Roman" w:hAnsi="Times New Roman"/>
          <w:sz w:val="24"/>
          <w:szCs w:val="24"/>
        </w:rPr>
        <w:t>,</w:t>
      </w:r>
      <w:r w:rsidR="008A1C02" w:rsidRPr="00FB56FE">
        <w:rPr>
          <w:rFonts w:ascii="Times New Roman" w:hAnsi="Times New Roman"/>
          <w:sz w:val="24"/>
          <w:szCs w:val="24"/>
        </w:rPr>
        <w:t xml:space="preserve"> generally hold themselves up to very high standards of honesty, integrity and professionalism in the discharge of their legal duties. In the case of </w:t>
      </w:r>
      <w:r w:rsidR="008A1C02" w:rsidRPr="00FB56FE">
        <w:rPr>
          <w:rFonts w:ascii="Times New Roman" w:hAnsi="Times New Roman"/>
          <w:i/>
          <w:sz w:val="24"/>
          <w:szCs w:val="24"/>
        </w:rPr>
        <w:t xml:space="preserve">Incorporated Law Society Transvaal v Behrman, </w:t>
      </w:r>
      <w:r w:rsidR="008A1C02" w:rsidRPr="00FB56FE">
        <w:rPr>
          <w:rFonts w:ascii="Times New Roman" w:hAnsi="Times New Roman"/>
          <w:sz w:val="24"/>
          <w:szCs w:val="24"/>
        </w:rPr>
        <w:t>1977(1) SA 904(T) at 905 H the court unequivocally stated that a practitioner who contravened the provisions relating to his trust account was guilty of unprofessional conduct and liable to be struck off the roll or suspended from practice.</w:t>
      </w:r>
      <w:r w:rsidR="00F343E6">
        <w:rPr>
          <w:rFonts w:ascii="Times New Roman" w:hAnsi="Times New Roman"/>
          <w:sz w:val="24"/>
          <w:szCs w:val="24"/>
        </w:rPr>
        <w:t>”</w:t>
      </w:r>
      <w:r w:rsidR="000B38B5">
        <w:rPr>
          <w:rFonts w:ascii="Times New Roman" w:hAnsi="Times New Roman"/>
          <w:sz w:val="24"/>
          <w:szCs w:val="24"/>
        </w:rPr>
        <w:t xml:space="preserve"> </w:t>
      </w:r>
    </w:p>
    <w:p w14:paraId="3086A073" w14:textId="77777777" w:rsidR="003A081E" w:rsidRPr="00FB56FE" w:rsidRDefault="003A081E" w:rsidP="00F42946">
      <w:pPr>
        <w:spacing w:after="0" w:line="240" w:lineRule="auto"/>
        <w:ind w:left="2160"/>
        <w:jc w:val="both"/>
        <w:rPr>
          <w:rFonts w:ascii="Times New Roman" w:hAnsi="Times New Roman"/>
          <w:b/>
          <w:sz w:val="24"/>
          <w:szCs w:val="24"/>
        </w:rPr>
      </w:pPr>
    </w:p>
    <w:p w14:paraId="02A7D36F" w14:textId="77777777" w:rsidR="00F343E6" w:rsidRDefault="008A1C02" w:rsidP="00F42946">
      <w:pPr>
        <w:spacing w:after="0" w:line="480" w:lineRule="auto"/>
        <w:ind w:left="720" w:hanging="720"/>
        <w:jc w:val="both"/>
        <w:rPr>
          <w:rFonts w:ascii="Times New Roman" w:hAnsi="Times New Roman"/>
          <w:sz w:val="24"/>
          <w:szCs w:val="24"/>
        </w:rPr>
      </w:pPr>
      <w:r w:rsidRPr="00FB56FE">
        <w:rPr>
          <w:rFonts w:ascii="Times New Roman" w:hAnsi="Times New Roman"/>
          <w:sz w:val="24"/>
          <w:szCs w:val="24"/>
        </w:rPr>
        <w:t xml:space="preserve"> </w:t>
      </w:r>
      <w:r w:rsidRPr="00FB56FE">
        <w:rPr>
          <w:rFonts w:ascii="Times New Roman" w:hAnsi="Times New Roman"/>
          <w:sz w:val="24"/>
          <w:szCs w:val="24"/>
        </w:rPr>
        <w:tab/>
      </w:r>
    </w:p>
    <w:p w14:paraId="18D07780" w14:textId="7B66EE43" w:rsidR="008A1C02" w:rsidRDefault="001A628C" w:rsidP="00F42946">
      <w:pPr>
        <w:spacing w:after="0" w:line="480" w:lineRule="auto"/>
        <w:ind w:firstLine="1134"/>
        <w:jc w:val="both"/>
        <w:rPr>
          <w:rFonts w:ascii="Times New Roman" w:hAnsi="Times New Roman"/>
          <w:sz w:val="24"/>
          <w:szCs w:val="24"/>
        </w:rPr>
      </w:pPr>
      <w:r>
        <w:rPr>
          <w:rFonts w:ascii="Times New Roman" w:hAnsi="Times New Roman"/>
          <w:sz w:val="24"/>
          <w:szCs w:val="24"/>
        </w:rPr>
        <w:lastRenderedPageBreak/>
        <w:t xml:space="preserve">In </w:t>
      </w:r>
      <w:r w:rsidR="003A081E" w:rsidRPr="00396663">
        <w:rPr>
          <w:rFonts w:ascii="Times New Roman" w:hAnsi="Times New Roman"/>
          <w:i/>
          <w:sz w:val="24"/>
          <w:szCs w:val="24"/>
        </w:rPr>
        <w:t>Chizikani v Law S</w:t>
      </w:r>
      <w:r w:rsidRPr="00396663">
        <w:rPr>
          <w:rFonts w:ascii="Times New Roman" w:hAnsi="Times New Roman"/>
          <w:i/>
          <w:sz w:val="24"/>
          <w:szCs w:val="24"/>
        </w:rPr>
        <w:t xml:space="preserve">ociety of </w:t>
      </w:r>
      <w:r w:rsidR="003A081E" w:rsidRPr="00396663">
        <w:rPr>
          <w:rFonts w:ascii="Times New Roman" w:hAnsi="Times New Roman"/>
          <w:i/>
          <w:sz w:val="24"/>
          <w:szCs w:val="24"/>
        </w:rPr>
        <w:t>Zimbabwe</w:t>
      </w:r>
      <w:r w:rsidR="003A081E">
        <w:rPr>
          <w:rFonts w:ascii="Times New Roman" w:hAnsi="Times New Roman"/>
          <w:sz w:val="24"/>
          <w:szCs w:val="24"/>
        </w:rPr>
        <w:t xml:space="preserve"> 1994(1) ZLR382 (SC) this court alluded to the fact that a legal practitioner who falls foul of the high standards expected of registered legal practitioners casts a shadow on the good name of his peers and also remains a danger to the unsuspecting public, unless his name is expunged from the register of legal practitioners.</w:t>
      </w:r>
    </w:p>
    <w:p w14:paraId="3A0F6EF3" w14:textId="77777777" w:rsidR="00F343E6" w:rsidRPr="00FB56FE" w:rsidRDefault="00F343E6" w:rsidP="00F42946">
      <w:pPr>
        <w:spacing w:after="0" w:line="480" w:lineRule="auto"/>
        <w:ind w:firstLine="1134"/>
        <w:jc w:val="both"/>
        <w:rPr>
          <w:rFonts w:ascii="Times New Roman" w:hAnsi="Times New Roman"/>
          <w:sz w:val="24"/>
          <w:szCs w:val="24"/>
        </w:rPr>
      </w:pPr>
    </w:p>
    <w:p w14:paraId="277267DA" w14:textId="1E3EA012" w:rsidR="006F1D32" w:rsidRPr="00BA5A45" w:rsidRDefault="007E5304" w:rsidP="00F42946">
      <w:pPr>
        <w:spacing w:after="0" w:line="480" w:lineRule="auto"/>
        <w:ind w:firstLine="1134"/>
        <w:jc w:val="both"/>
        <w:rPr>
          <w:rFonts w:ascii="Times New Roman" w:hAnsi="Times New Roman"/>
          <w:sz w:val="24"/>
        </w:rPr>
      </w:pPr>
      <w:r>
        <w:rPr>
          <w:rFonts w:ascii="Times New Roman" w:hAnsi="Times New Roman"/>
          <w:sz w:val="24"/>
        </w:rPr>
        <w:t xml:space="preserve"> </w:t>
      </w:r>
      <w:r w:rsidR="00202677" w:rsidRPr="00BA5A45">
        <w:rPr>
          <w:rFonts w:ascii="Times New Roman" w:hAnsi="Times New Roman"/>
          <w:sz w:val="24"/>
        </w:rPr>
        <w:t xml:space="preserve"> </w:t>
      </w:r>
      <w:r w:rsidR="00017DEE" w:rsidRPr="00BA5A45">
        <w:rPr>
          <w:rFonts w:ascii="Times New Roman" w:hAnsi="Times New Roman"/>
          <w:sz w:val="24"/>
        </w:rPr>
        <w:t>I find</w:t>
      </w:r>
      <w:r w:rsidR="00202677" w:rsidRPr="00BA5A45">
        <w:rPr>
          <w:rFonts w:ascii="Times New Roman" w:hAnsi="Times New Roman"/>
          <w:sz w:val="24"/>
        </w:rPr>
        <w:t xml:space="preserve"> no merit in the appel</w:t>
      </w:r>
      <w:r w:rsidR="00D44A76" w:rsidRPr="00BA5A45">
        <w:rPr>
          <w:rFonts w:ascii="Times New Roman" w:hAnsi="Times New Roman"/>
          <w:sz w:val="24"/>
        </w:rPr>
        <w:t>lant’s submission that the Tribunal</w:t>
      </w:r>
      <w:r w:rsidR="00D9542B" w:rsidRPr="00BA5A45">
        <w:rPr>
          <w:rFonts w:ascii="Times New Roman" w:hAnsi="Times New Roman"/>
          <w:sz w:val="24"/>
        </w:rPr>
        <w:t xml:space="preserve"> </w:t>
      </w:r>
      <w:r w:rsidR="009320D5">
        <w:rPr>
          <w:rFonts w:ascii="Times New Roman" w:hAnsi="Times New Roman"/>
          <w:sz w:val="24"/>
        </w:rPr>
        <w:t>erred</w:t>
      </w:r>
      <w:r w:rsidR="00210B7B">
        <w:rPr>
          <w:rFonts w:ascii="Times New Roman" w:hAnsi="Times New Roman"/>
          <w:sz w:val="24"/>
        </w:rPr>
        <w:t xml:space="preserve"> in imposing the sentence in question. The T</w:t>
      </w:r>
      <w:r w:rsidR="00D9542B" w:rsidRPr="00BA5A45">
        <w:rPr>
          <w:rFonts w:ascii="Times New Roman" w:hAnsi="Times New Roman"/>
          <w:sz w:val="24"/>
        </w:rPr>
        <w:t xml:space="preserve">ribunal </w:t>
      </w:r>
      <w:r w:rsidR="00202677" w:rsidRPr="00BA5A45">
        <w:rPr>
          <w:rFonts w:ascii="Times New Roman" w:hAnsi="Times New Roman"/>
          <w:sz w:val="24"/>
        </w:rPr>
        <w:t xml:space="preserve">judiciously exercised its discretion, after </w:t>
      </w:r>
      <w:r w:rsidR="002D46BE">
        <w:rPr>
          <w:rFonts w:ascii="Times New Roman" w:hAnsi="Times New Roman"/>
          <w:sz w:val="24"/>
        </w:rPr>
        <w:t>a proper</w:t>
      </w:r>
      <w:r w:rsidR="00202677" w:rsidRPr="00BA5A45">
        <w:rPr>
          <w:rFonts w:ascii="Times New Roman" w:hAnsi="Times New Roman"/>
          <w:sz w:val="24"/>
        </w:rPr>
        <w:t xml:space="preserve"> considerat</w:t>
      </w:r>
      <w:r w:rsidR="00396663">
        <w:rPr>
          <w:rFonts w:ascii="Times New Roman" w:hAnsi="Times New Roman"/>
          <w:sz w:val="24"/>
        </w:rPr>
        <w:t>ion of the facts of the case,</w:t>
      </w:r>
      <w:r w:rsidR="00202677" w:rsidRPr="00BA5A45">
        <w:rPr>
          <w:rFonts w:ascii="Times New Roman" w:hAnsi="Times New Roman"/>
          <w:sz w:val="24"/>
        </w:rPr>
        <w:t xml:space="preserve"> relevant authorities</w:t>
      </w:r>
      <w:r w:rsidR="00396663">
        <w:rPr>
          <w:rFonts w:ascii="Times New Roman" w:hAnsi="Times New Roman"/>
          <w:sz w:val="24"/>
        </w:rPr>
        <w:t xml:space="preserve"> and applicable principles</w:t>
      </w:r>
      <w:r w:rsidR="00B05649">
        <w:rPr>
          <w:rFonts w:ascii="Times New Roman" w:hAnsi="Times New Roman"/>
          <w:sz w:val="24"/>
        </w:rPr>
        <w:t xml:space="preserve"> </w:t>
      </w:r>
      <w:r w:rsidR="00AC004C">
        <w:rPr>
          <w:rFonts w:ascii="Times New Roman" w:hAnsi="Times New Roman"/>
          <w:sz w:val="24"/>
        </w:rPr>
        <w:t xml:space="preserve">in imposing the impugned penalty. </w:t>
      </w:r>
      <w:r w:rsidR="00202677" w:rsidRPr="00BA5A45">
        <w:rPr>
          <w:rFonts w:ascii="Times New Roman" w:hAnsi="Times New Roman"/>
          <w:sz w:val="24"/>
        </w:rPr>
        <w:t xml:space="preserve">The court in </w:t>
      </w:r>
      <w:r w:rsidR="00202677" w:rsidRPr="00BA5A45">
        <w:rPr>
          <w:rFonts w:ascii="Times New Roman" w:hAnsi="Times New Roman"/>
          <w:i/>
          <w:sz w:val="24"/>
        </w:rPr>
        <w:t xml:space="preserve">Law Society of the Cape of Good Hope </w:t>
      </w:r>
      <w:r w:rsidR="00202677" w:rsidRPr="00BA5A45">
        <w:rPr>
          <w:rFonts w:ascii="Times New Roman" w:hAnsi="Times New Roman"/>
          <w:sz w:val="24"/>
        </w:rPr>
        <w:t>v</w:t>
      </w:r>
      <w:r w:rsidR="00202677" w:rsidRPr="00BA5A45">
        <w:rPr>
          <w:rFonts w:ascii="Times New Roman" w:hAnsi="Times New Roman"/>
          <w:i/>
          <w:sz w:val="24"/>
        </w:rPr>
        <w:t xml:space="preserve"> C </w:t>
      </w:r>
      <w:r w:rsidR="00202677" w:rsidRPr="00BA5A45">
        <w:rPr>
          <w:rFonts w:ascii="Times New Roman" w:hAnsi="Times New Roman"/>
          <w:sz w:val="24"/>
        </w:rPr>
        <w:t xml:space="preserve">1986 (1) SA 616 (A) at 637B – C reasoned that the exercise of the court’s discretion in matters of this nature involves the weighing up of the conduct complained of against the conduct expected of an attorney and, consequently making a value judgment. There is nothing to suggest that the </w:t>
      </w:r>
      <w:r w:rsidR="006A54D0" w:rsidRPr="00BA5A45">
        <w:rPr>
          <w:rFonts w:ascii="Times New Roman" w:hAnsi="Times New Roman"/>
          <w:sz w:val="24"/>
        </w:rPr>
        <w:t>T</w:t>
      </w:r>
      <w:r w:rsidR="00E42745" w:rsidRPr="00BA5A45">
        <w:rPr>
          <w:rFonts w:ascii="Times New Roman" w:hAnsi="Times New Roman"/>
          <w:sz w:val="24"/>
        </w:rPr>
        <w:t>ribunal failed to judiciously exercise its discretion in determining the appropriate penal</w:t>
      </w:r>
      <w:r w:rsidR="00BF76D5" w:rsidRPr="00BA5A45">
        <w:rPr>
          <w:rFonts w:ascii="Times New Roman" w:hAnsi="Times New Roman"/>
          <w:sz w:val="24"/>
        </w:rPr>
        <w:t>ty. There is no merit in the appeal against sentence.</w:t>
      </w:r>
      <w:r w:rsidR="006F1D32" w:rsidRPr="00BA5A45">
        <w:rPr>
          <w:rFonts w:ascii="Times New Roman" w:hAnsi="Times New Roman"/>
          <w:sz w:val="24"/>
        </w:rPr>
        <w:t xml:space="preserve"> </w:t>
      </w:r>
    </w:p>
    <w:p w14:paraId="5FD8D37B" w14:textId="77777777" w:rsidR="00D81197" w:rsidRPr="00BA5A45" w:rsidRDefault="00D81197" w:rsidP="00F42946">
      <w:pPr>
        <w:spacing w:after="0" w:line="480" w:lineRule="auto"/>
        <w:ind w:firstLine="720"/>
        <w:jc w:val="both"/>
        <w:rPr>
          <w:rFonts w:ascii="Times New Roman" w:hAnsi="Times New Roman"/>
          <w:iCs/>
          <w:sz w:val="24"/>
          <w:lang w:val="en-ZW"/>
        </w:rPr>
      </w:pPr>
    </w:p>
    <w:p w14:paraId="6B06CE77" w14:textId="4BF08C4E" w:rsidR="00202677" w:rsidRPr="00BA5A45" w:rsidRDefault="00017DEE" w:rsidP="00F42946">
      <w:pPr>
        <w:spacing w:after="0" w:line="480" w:lineRule="auto"/>
        <w:ind w:firstLine="1134"/>
        <w:jc w:val="both"/>
        <w:rPr>
          <w:rFonts w:ascii="Times New Roman" w:hAnsi="Times New Roman"/>
          <w:iCs/>
          <w:sz w:val="24"/>
          <w:lang w:val="en-ZW"/>
        </w:rPr>
      </w:pPr>
      <w:r w:rsidRPr="00BA5A45">
        <w:rPr>
          <w:rFonts w:ascii="Times New Roman" w:hAnsi="Times New Roman"/>
          <w:iCs/>
          <w:sz w:val="24"/>
          <w:lang w:val="en-ZW"/>
        </w:rPr>
        <w:t>Consequently, I find</w:t>
      </w:r>
      <w:r w:rsidR="00202677" w:rsidRPr="00BA5A45">
        <w:rPr>
          <w:rFonts w:ascii="Times New Roman" w:hAnsi="Times New Roman"/>
          <w:iCs/>
          <w:sz w:val="24"/>
          <w:lang w:val="en-ZW"/>
        </w:rPr>
        <w:t xml:space="preserve"> no reason </w:t>
      </w:r>
      <w:r w:rsidRPr="00BA5A45">
        <w:rPr>
          <w:rFonts w:ascii="Times New Roman" w:hAnsi="Times New Roman"/>
          <w:iCs/>
          <w:sz w:val="24"/>
          <w:lang w:val="en-ZW"/>
        </w:rPr>
        <w:t>for this court to interfere with the sentence imposed by the Tribunal</w:t>
      </w:r>
      <w:r w:rsidR="00202677" w:rsidRPr="00BA5A45">
        <w:rPr>
          <w:rFonts w:ascii="Times New Roman" w:hAnsi="Times New Roman"/>
          <w:iCs/>
          <w:sz w:val="24"/>
          <w:lang w:val="en-ZW"/>
        </w:rPr>
        <w:t>. As such this appeal cannot succeed.</w:t>
      </w:r>
    </w:p>
    <w:p w14:paraId="1C35F6F1" w14:textId="77777777" w:rsidR="00D81197" w:rsidRPr="00BA5A45" w:rsidRDefault="00D81197" w:rsidP="00F42946">
      <w:pPr>
        <w:spacing w:after="0" w:line="480" w:lineRule="auto"/>
        <w:ind w:firstLine="720"/>
        <w:jc w:val="both"/>
        <w:rPr>
          <w:rFonts w:ascii="Times New Roman" w:hAnsi="Times New Roman"/>
          <w:iCs/>
          <w:sz w:val="24"/>
          <w:lang w:val="en-ZW"/>
        </w:rPr>
      </w:pPr>
    </w:p>
    <w:p w14:paraId="2A1B57F2" w14:textId="5AF95FF1" w:rsidR="00BF76D5" w:rsidRPr="00BA5A45" w:rsidRDefault="007F64B5" w:rsidP="00F42946">
      <w:pPr>
        <w:spacing w:after="0" w:line="480" w:lineRule="auto"/>
        <w:jc w:val="both"/>
        <w:rPr>
          <w:rFonts w:ascii="Times New Roman" w:hAnsi="Times New Roman"/>
          <w:b/>
          <w:iCs/>
          <w:sz w:val="24"/>
          <w:lang w:val="en-ZW"/>
        </w:rPr>
      </w:pPr>
      <w:r w:rsidRPr="00BA5A45">
        <w:rPr>
          <w:rFonts w:ascii="Times New Roman" w:hAnsi="Times New Roman"/>
          <w:b/>
          <w:iCs/>
          <w:sz w:val="24"/>
          <w:lang w:val="en-ZW"/>
        </w:rPr>
        <w:t>Costs</w:t>
      </w:r>
      <w:r w:rsidR="00BF76D5" w:rsidRPr="00BA5A45">
        <w:rPr>
          <w:rFonts w:ascii="Times New Roman" w:hAnsi="Times New Roman"/>
          <w:b/>
          <w:iCs/>
          <w:sz w:val="24"/>
          <w:lang w:val="en-ZW"/>
        </w:rPr>
        <w:t xml:space="preserve"> </w:t>
      </w:r>
    </w:p>
    <w:p w14:paraId="382B22F8" w14:textId="0C86851C" w:rsidR="00BF76D5" w:rsidRPr="00BA5A45" w:rsidRDefault="00017DEE" w:rsidP="00F42946">
      <w:pPr>
        <w:spacing w:after="0" w:line="480" w:lineRule="auto"/>
        <w:jc w:val="both"/>
        <w:rPr>
          <w:rFonts w:ascii="Times New Roman" w:hAnsi="Times New Roman"/>
          <w:iCs/>
          <w:sz w:val="24"/>
          <w:lang w:val="en-ZW"/>
        </w:rPr>
      </w:pPr>
      <w:r w:rsidRPr="00BA5A45">
        <w:rPr>
          <w:rFonts w:ascii="Times New Roman" w:hAnsi="Times New Roman"/>
          <w:iCs/>
          <w:sz w:val="24"/>
          <w:lang w:val="en-ZW"/>
        </w:rPr>
        <w:t xml:space="preserve"> </w:t>
      </w:r>
      <w:r w:rsidR="00BA5A45">
        <w:rPr>
          <w:rFonts w:ascii="Times New Roman" w:hAnsi="Times New Roman"/>
          <w:iCs/>
          <w:sz w:val="24"/>
          <w:lang w:val="en-ZW"/>
        </w:rPr>
        <w:tab/>
      </w:r>
      <w:r w:rsidR="00BA5A45">
        <w:rPr>
          <w:rFonts w:ascii="Times New Roman" w:hAnsi="Times New Roman"/>
          <w:iCs/>
          <w:sz w:val="24"/>
          <w:lang w:val="en-ZW"/>
        </w:rPr>
        <w:tab/>
      </w:r>
      <w:r w:rsidRPr="00BA5A45">
        <w:rPr>
          <w:rFonts w:ascii="Times New Roman" w:hAnsi="Times New Roman"/>
          <w:iCs/>
          <w:sz w:val="24"/>
          <w:lang w:val="en-ZW"/>
        </w:rPr>
        <w:t>I</w:t>
      </w:r>
      <w:r w:rsidR="00BF76D5" w:rsidRPr="00BA5A45">
        <w:rPr>
          <w:rFonts w:ascii="Times New Roman" w:hAnsi="Times New Roman"/>
          <w:iCs/>
          <w:sz w:val="24"/>
          <w:lang w:val="en-ZW"/>
        </w:rPr>
        <w:t xml:space="preserve"> find no reason</w:t>
      </w:r>
      <w:r w:rsidRPr="00BA5A45">
        <w:rPr>
          <w:rFonts w:ascii="Times New Roman" w:hAnsi="Times New Roman"/>
          <w:iCs/>
          <w:sz w:val="24"/>
          <w:lang w:val="en-ZW"/>
        </w:rPr>
        <w:t xml:space="preserve"> to depart from the norm that</w:t>
      </w:r>
      <w:r w:rsidR="00BF76D5" w:rsidRPr="00BA5A45">
        <w:rPr>
          <w:rFonts w:ascii="Times New Roman" w:hAnsi="Times New Roman"/>
          <w:iCs/>
          <w:sz w:val="24"/>
          <w:lang w:val="en-ZW"/>
        </w:rPr>
        <w:t xml:space="preserve"> costs follow the cause.</w:t>
      </w:r>
    </w:p>
    <w:p w14:paraId="0C3BFBC3" w14:textId="77777777" w:rsidR="00BA5A45" w:rsidRDefault="00BA5A45" w:rsidP="00F42946">
      <w:pPr>
        <w:spacing w:after="0" w:line="480" w:lineRule="auto"/>
        <w:jc w:val="both"/>
        <w:rPr>
          <w:rFonts w:ascii="Times New Roman" w:hAnsi="Times New Roman"/>
          <w:b/>
          <w:iCs/>
          <w:sz w:val="24"/>
          <w:lang w:val="en-ZW"/>
        </w:rPr>
      </w:pPr>
    </w:p>
    <w:p w14:paraId="5D4F4C8C" w14:textId="5EA30307" w:rsidR="00D81197" w:rsidRPr="00BA5A45" w:rsidRDefault="00D9542B" w:rsidP="00F42946">
      <w:pPr>
        <w:spacing w:after="0" w:line="480" w:lineRule="auto"/>
        <w:jc w:val="both"/>
        <w:rPr>
          <w:rFonts w:ascii="Times New Roman" w:hAnsi="Times New Roman"/>
          <w:b/>
          <w:iCs/>
          <w:sz w:val="24"/>
          <w:lang w:val="en-ZW"/>
        </w:rPr>
      </w:pPr>
      <w:r w:rsidRPr="00BA5A45">
        <w:rPr>
          <w:rFonts w:ascii="Times New Roman" w:hAnsi="Times New Roman"/>
          <w:b/>
          <w:iCs/>
          <w:sz w:val="24"/>
          <w:lang w:val="en-ZW"/>
        </w:rPr>
        <w:t>DISPOSITION</w:t>
      </w:r>
    </w:p>
    <w:p w14:paraId="2EB80793" w14:textId="4CB50C02" w:rsidR="00D9542B" w:rsidRPr="00BA5A45" w:rsidRDefault="00D9542B" w:rsidP="00F42946">
      <w:pPr>
        <w:spacing w:after="0" w:line="480" w:lineRule="auto"/>
        <w:ind w:firstLine="1134"/>
        <w:jc w:val="both"/>
        <w:rPr>
          <w:rFonts w:ascii="Times New Roman" w:hAnsi="Times New Roman"/>
          <w:iCs/>
          <w:sz w:val="24"/>
          <w:lang w:val="en-ZW"/>
        </w:rPr>
      </w:pPr>
      <w:r w:rsidRPr="00BA5A45">
        <w:rPr>
          <w:rFonts w:ascii="Times New Roman" w:hAnsi="Times New Roman"/>
          <w:iCs/>
          <w:sz w:val="24"/>
          <w:lang w:val="en-ZW"/>
        </w:rPr>
        <w:t>The appeal as a whole has no merit.</w:t>
      </w:r>
    </w:p>
    <w:p w14:paraId="7F2B94E0" w14:textId="7A2E13A6" w:rsidR="00202677" w:rsidRPr="00BA5A45" w:rsidRDefault="00202677" w:rsidP="00F42946">
      <w:pPr>
        <w:spacing w:after="0" w:line="480" w:lineRule="auto"/>
        <w:ind w:firstLine="1134"/>
        <w:jc w:val="both"/>
        <w:rPr>
          <w:rFonts w:ascii="Times New Roman" w:hAnsi="Times New Roman"/>
          <w:iCs/>
          <w:sz w:val="24"/>
          <w:lang w:val="en-ZW"/>
        </w:rPr>
      </w:pPr>
      <w:r w:rsidRPr="00BA5A45">
        <w:rPr>
          <w:rFonts w:ascii="Times New Roman" w:hAnsi="Times New Roman"/>
          <w:iCs/>
          <w:sz w:val="24"/>
          <w:lang w:val="en-ZW"/>
        </w:rPr>
        <w:lastRenderedPageBreak/>
        <w:t xml:space="preserve">Accordingly, the appeal is </w:t>
      </w:r>
      <w:r w:rsidR="00BF76D5" w:rsidRPr="00BA5A45">
        <w:rPr>
          <w:rFonts w:ascii="Times New Roman" w:hAnsi="Times New Roman"/>
          <w:iCs/>
          <w:sz w:val="24"/>
          <w:lang w:val="en-ZW"/>
        </w:rPr>
        <w:t xml:space="preserve">hereby </w:t>
      </w:r>
      <w:r w:rsidRPr="00BA5A45">
        <w:rPr>
          <w:rFonts w:ascii="Times New Roman" w:hAnsi="Times New Roman"/>
          <w:iCs/>
          <w:sz w:val="24"/>
          <w:lang w:val="en-ZW"/>
        </w:rPr>
        <w:t>dismiss</w:t>
      </w:r>
      <w:r w:rsidR="004F0A8C" w:rsidRPr="00BA5A45">
        <w:rPr>
          <w:rFonts w:ascii="Times New Roman" w:hAnsi="Times New Roman"/>
          <w:iCs/>
          <w:sz w:val="24"/>
          <w:lang w:val="en-ZW"/>
        </w:rPr>
        <w:t>ed with costs.</w:t>
      </w:r>
    </w:p>
    <w:p w14:paraId="45FB5A13" w14:textId="77777777" w:rsidR="00202677" w:rsidRPr="00BA5A45" w:rsidRDefault="00202677" w:rsidP="00F42946">
      <w:pPr>
        <w:spacing w:after="0" w:line="480" w:lineRule="auto"/>
        <w:ind w:firstLine="720"/>
        <w:jc w:val="both"/>
        <w:rPr>
          <w:rFonts w:ascii="Times New Roman" w:hAnsi="Times New Roman"/>
          <w:sz w:val="24"/>
        </w:rPr>
      </w:pPr>
    </w:p>
    <w:p w14:paraId="56BB58C0" w14:textId="3D4FD649" w:rsidR="004F0A8C" w:rsidRPr="00BA5A45" w:rsidRDefault="004F0A8C" w:rsidP="00F42946">
      <w:pPr>
        <w:spacing w:after="0" w:line="480" w:lineRule="auto"/>
        <w:ind w:left="720" w:firstLine="720"/>
        <w:jc w:val="both"/>
        <w:rPr>
          <w:rFonts w:ascii="Times New Roman" w:hAnsi="Times New Roman"/>
          <w:iCs/>
          <w:sz w:val="24"/>
          <w:szCs w:val="24"/>
          <w:lang w:val="en-ZW"/>
        </w:rPr>
      </w:pPr>
      <w:r w:rsidRPr="00BA5A45">
        <w:rPr>
          <w:rFonts w:ascii="Times New Roman" w:hAnsi="Times New Roman"/>
          <w:b/>
          <w:iCs/>
          <w:sz w:val="24"/>
          <w:szCs w:val="24"/>
          <w:lang w:val="en-ZW"/>
        </w:rPr>
        <w:t>MAKONI</w:t>
      </w:r>
      <w:r w:rsidR="007F64B5" w:rsidRPr="00BA5A45">
        <w:rPr>
          <w:rFonts w:ascii="Times New Roman" w:hAnsi="Times New Roman"/>
          <w:b/>
          <w:iCs/>
          <w:sz w:val="24"/>
          <w:szCs w:val="24"/>
          <w:lang w:val="en-ZW"/>
        </w:rPr>
        <w:t> </w:t>
      </w:r>
      <w:r w:rsidRPr="00BA5A45">
        <w:rPr>
          <w:rFonts w:ascii="Times New Roman" w:hAnsi="Times New Roman"/>
          <w:b/>
          <w:iCs/>
          <w:sz w:val="24"/>
          <w:szCs w:val="24"/>
          <w:lang w:val="en-ZW"/>
        </w:rPr>
        <w:t xml:space="preserve">JA:     </w:t>
      </w:r>
      <w:r w:rsidR="004E7A4D">
        <w:rPr>
          <w:rFonts w:ascii="Times New Roman" w:hAnsi="Times New Roman"/>
          <w:b/>
          <w:iCs/>
          <w:sz w:val="24"/>
          <w:szCs w:val="24"/>
          <w:lang w:val="en-ZW"/>
        </w:rPr>
        <w:tab/>
      </w:r>
      <w:r w:rsidR="004E7A4D">
        <w:rPr>
          <w:rFonts w:ascii="Times New Roman" w:hAnsi="Times New Roman"/>
          <w:b/>
          <w:iCs/>
          <w:sz w:val="24"/>
          <w:szCs w:val="24"/>
          <w:lang w:val="en-ZW"/>
        </w:rPr>
        <w:tab/>
      </w:r>
      <w:r w:rsidRPr="00BA5A45">
        <w:rPr>
          <w:rFonts w:ascii="Times New Roman" w:hAnsi="Times New Roman"/>
          <w:iCs/>
          <w:sz w:val="24"/>
          <w:szCs w:val="24"/>
          <w:lang w:val="en-ZW"/>
        </w:rPr>
        <w:t>I agree</w:t>
      </w:r>
    </w:p>
    <w:p w14:paraId="6C48B363" w14:textId="77777777" w:rsidR="004F0A8C" w:rsidRPr="00BA5A45" w:rsidRDefault="004F0A8C" w:rsidP="00F42946">
      <w:pPr>
        <w:spacing w:after="0" w:line="480" w:lineRule="auto"/>
        <w:jc w:val="both"/>
        <w:rPr>
          <w:rFonts w:ascii="Times New Roman" w:hAnsi="Times New Roman"/>
          <w:iCs/>
          <w:sz w:val="24"/>
          <w:szCs w:val="24"/>
          <w:lang w:val="en-ZW"/>
        </w:rPr>
      </w:pPr>
    </w:p>
    <w:p w14:paraId="3C16BD8C" w14:textId="3ADC8968" w:rsidR="004F0A8C" w:rsidRPr="00BA5A45" w:rsidRDefault="004F0A8C" w:rsidP="00F42946">
      <w:pPr>
        <w:spacing w:after="0" w:line="480" w:lineRule="auto"/>
        <w:ind w:left="720" w:firstLine="720"/>
        <w:jc w:val="both"/>
        <w:rPr>
          <w:rFonts w:ascii="Times New Roman" w:hAnsi="Times New Roman"/>
          <w:iCs/>
          <w:sz w:val="24"/>
          <w:szCs w:val="24"/>
          <w:lang w:val="en-ZW"/>
        </w:rPr>
      </w:pPr>
      <w:r w:rsidRPr="00BA5A45">
        <w:rPr>
          <w:rFonts w:ascii="Times New Roman" w:hAnsi="Times New Roman"/>
          <w:b/>
          <w:iCs/>
          <w:sz w:val="24"/>
          <w:szCs w:val="24"/>
          <w:lang w:val="en-ZW"/>
        </w:rPr>
        <w:t>MATHONSI</w:t>
      </w:r>
      <w:r w:rsidR="007F64B5" w:rsidRPr="00BA5A45">
        <w:rPr>
          <w:rFonts w:ascii="Times New Roman" w:hAnsi="Times New Roman"/>
          <w:b/>
          <w:iCs/>
          <w:sz w:val="24"/>
          <w:szCs w:val="24"/>
          <w:lang w:val="en-ZW"/>
        </w:rPr>
        <w:t> </w:t>
      </w:r>
      <w:r w:rsidRPr="00BA5A45">
        <w:rPr>
          <w:rFonts w:ascii="Times New Roman" w:hAnsi="Times New Roman"/>
          <w:b/>
          <w:iCs/>
          <w:sz w:val="24"/>
          <w:szCs w:val="24"/>
          <w:lang w:val="en-ZW"/>
        </w:rPr>
        <w:t xml:space="preserve">JA:   </w:t>
      </w:r>
      <w:r w:rsidR="004E7A4D">
        <w:rPr>
          <w:rFonts w:ascii="Times New Roman" w:hAnsi="Times New Roman"/>
          <w:b/>
          <w:iCs/>
          <w:sz w:val="24"/>
          <w:szCs w:val="24"/>
          <w:lang w:val="en-ZW"/>
        </w:rPr>
        <w:tab/>
      </w:r>
      <w:r w:rsidR="004E7A4D">
        <w:rPr>
          <w:rFonts w:ascii="Times New Roman" w:hAnsi="Times New Roman"/>
          <w:b/>
          <w:iCs/>
          <w:sz w:val="24"/>
          <w:szCs w:val="24"/>
          <w:lang w:val="en-ZW"/>
        </w:rPr>
        <w:tab/>
      </w:r>
      <w:r w:rsidRPr="00BA5A45">
        <w:rPr>
          <w:rFonts w:ascii="Times New Roman" w:hAnsi="Times New Roman"/>
          <w:iCs/>
          <w:sz w:val="24"/>
          <w:szCs w:val="24"/>
          <w:lang w:val="en-ZW"/>
        </w:rPr>
        <w:t>I agree</w:t>
      </w:r>
    </w:p>
    <w:p w14:paraId="336B047F" w14:textId="77777777" w:rsidR="00BA22CD" w:rsidRPr="00BA5A45" w:rsidRDefault="00BA22CD" w:rsidP="00F42946">
      <w:pPr>
        <w:spacing w:after="0" w:line="480" w:lineRule="auto"/>
        <w:jc w:val="both"/>
        <w:rPr>
          <w:rFonts w:ascii="Times New Roman" w:hAnsi="Times New Roman"/>
          <w:i/>
          <w:sz w:val="24"/>
          <w:szCs w:val="24"/>
          <w:lang w:val="en-GB"/>
        </w:rPr>
      </w:pPr>
    </w:p>
    <w:p w14:paraId="61A9A6F4" w14:textId="4476B658" w:rsidR="00FD2D4F" w:rsidRPr="00BA5A45" w:rsidRDefault="00C57C03" w:rsidP="00F42946">
      <w:pPr>
        <w:spacing w:after="0" w:line="480" w:lineRule="auto"/>
        <w:jc w:val="both"/>
        <w:rPr>
          <w:rFonts w:ascii="Times New Roman" w:hAnsi="Times New Roman"/>
          <w:i/>
          <w:sz w:val="24"/>
          <w:szCs w:val="24"/>
          <w:lang w:val="en-GB"/>
        </w:rPr>
      </w:pPr>
      <w:r w:rsidRPr="00BA5A45">
        <w:rPr>
          <w:rFonts w:ascii="Times New Roman" w:hAnsi="Times New Roman"/>
          <w:i/>
          <w:sz w:val="24"/>
          <w:szCs w:val="24"/>
          <w:lang w:val="en-GB"/>
        </w:rPr>
        <w:t>Manokore Attorneys</w:t>
      </w:r>
      <w:r w:rsidR="004F0A8C" w:rsidRPr="00BA5A45">
        <w:rPr>
          <w:rFonts w:ascii="Times New Roman" w:hAnsi="Times New Roman"/>
          <w:i/>
          <w:sz w:val="24"/>
          <w:szCs w:val="24"/>
          <w:lang w:val="en-GB"/>
        </w:rPr>
        <w:t xml:space="preserve">, </w:t>
      </w:r>
      <w:r w:rsidRPr="00BA5A45">
        <w:rPr>
          <w:rFonts w:ascii="Times New Roman" w:hAnsi="Times New Roman"/>
          <w:sz w:val="24"/>
          <w:szCs w:val="24"/>
          <w:lang w:val="en-GB"/>
        </w:rPr>
        <w:t>appellant’s legal practitioners</w:t>
      </w:r>
    </w:p>
    <w:sectPr w:rsidR="00FD2D4F" w:rsidRPr="00BA5A4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0D68B" w14:textId="77777777" w:rsidR="0069577D" w:rsidRDefault="0069577D" w:rsidP="000627D3">
      <w:pPr>
        <w:spacing w:after="0" w:line="240" w:lineRule="auto"/>
      </w:pPr>
      <w:r>
        <w:separator/>
      </w:r>
    </w:p>
  </w:endnote>
  <w:endnote w:type="continuationSeparator" w:id="0">
    <w:p w14:paraId="6677B6F9" w14:textId="77777777" w:rsidR="0069577D" w:rsidRDefault="0069577D" w:rsidP="00062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9F239" w14:textId="77777777" w:rsidR="0069577D" w:rsidRDefault="0069577D" w:rsidP="000627D3">
      <w:pPr>
        <w:spacing w:after="0" w:line="240" w:lineRule="auto"/>
      </w:pPr>
      <w:r>
        <w:separator/>
      </w:r>
    </w:p>
  </w:footnote>
  <w:footnote w:type="continuationSeparator" w:id="0">
    <w:p w14:paraId="5E54AB53" w14:textId="77777777" w:rsidR="0069577D" w:rsidRDefault="0069577D" w:rsidP="00062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C2069" w14:textId="610269C4" w:rsidR="002F16CF" w:rsidRDefault="00D81197">
    <w:pPr>
      <w:pStyle w:val="Header"/>
    </w:pPr>
    <w:r>
      <w:rPr>
        <w:noProof/>
        <w:lang w:val="en-GB" w:eastAsia="en-GB"/>
      </w:rPr>
      <mc:AlternateContent>
        <mc:Choice Requires="wps">
          <w:drawing>
            <wp:anchor distT="0" distB="0" distL="114300" distR="114300" simplePos="0" relativeHeight="251661312" behindDoc="0" locked="0" layoutInCell="0" allowOverlap="1" wp14:anchorId="4D04B031" wp14:editId="47E81F8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50B84" w14:textId="6126CBDC" w:rsidR="00D81197" w:rsidRPr="00BA5A45" w:rsidRDefault="00D81197">
                          <w:pPr>
                            <w:spacing w:after="0" w:line="240" w:lineRule="auto"/>
                            <w:jc w:val="right"/>
                            <w:rPr>
                              <w:rFonts w:ascii="Times New Roman" w:hAnsi="Times New Roman"/>
                              <w:b/>
                              <w:noProof/>
                            </w:rPr>
                          </w:pPr>
                          <w:r w:rsidRPr="00BA5A45">
                            <w:rPr>
                              <w:rFonts w:ascii="Times New Roman" w:hAnsi="Times New Roman"/>
                              <w:b/>
                              <w:noProof/>
                            </w:rPr>
                            <w:t xml:space="preserve">Judgment No. SC </w:t>
                          </w:r>
                          <w:r w:rsidR="00F343E6">
                            <w:rPr>
                              <w:rFonts w:ascii="Times New Roman" w:hAnsi="Times New Roman"/>
                              <w:b/>
                              <w:noProof/>
                            </w:rPr>
                            <w:t>70</w:t>
                          </w:r>
                          <w:r w:rsidRPr="00BA5A45">
                            <w:rPr>
                              <w:rFonts w:ascii="Times New Roman" w:hAnsi="Times New Roman"/>
                              <w:b/>
                              <w:noProof/>
                            </w:rPr>
                            <w:t>/22</w:t>
                          </w:r>
                        </w:p>
                        <w:p w14:paraId="4450B4EB" w14:textId="1624EF65" w:rsidR="00D81197" w:rsidRPr="00BA5A45" w:rsidRDefault="00D81197">
                          <w:pPr>
                            <w:spacing w:after="0" w:line="240" w:lineRule="auto"/>
                            <w:jc w:val="right"/>
                            <w:rPr>
                              <w:rFonts w:ascii="Times New Roman" w:hAnsi="Times New Roman"/>
                              <w:b/>
                              <w:noProof/>
                            </w:rPr>
                          </w:pPr>
                          <w:r w:rsidRPr="00BA5A45">
                            <w:rPr>
                              <w:rFonts w:ascii="Times New Roman" w:hAnsi="Times New Roman"/>
                              <w:b/>
                              <w:noProof/>
                            </w:rPr>
                            <w:t>Civil Appeal No. SC 100/21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D04B031" id="_x0000_t202" coordsize="21600,21600" o:spt="202" path="m,l,21600r21600,l21600,xe">
              <v:stroke joinstyle="miter"/>
              <v:path gradientshapeok="t" o:connecttype="rect"/>
            </v:shapetype>
            <v:shape id="Text Box 220" o:spid="_x0000_s1026" type="#_x0000_t202" style="position:absolute;margin-left:0;margin-top:0;width:468pt;height:13.7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9E50B84" w14:textId="6126CBDC" w:rsidR="00D81197" w:rsidRPr="00BA5A45" w:rsidRDefault="00D81197">
                    <w:pPr>
                      <w:spacing w:after="0" w:line="240" w:lineRule="auto"/>
                      <w:jc w:val="right"/>
                      <w:rPr>
                        <w:rFonts w:ascii="Times New Roman" w:hAnsi="Times New Roman"/>
                        <w:b/>
                        <w:noProof/>
                      </w:rPr>
                    </w:pPr>
                    <w:r w:rsidRPr="00BA5A45">
                      <w:rPr>
                        <w:rFonts w:ascii="Times New Roman" w:hAnsi="Times New Roman"/>
                        <w:b/>
                        <w:noProof/>
                      </w:rPr>
                      <w:t xml:space="preserve">Judgment No. SC </w:t>
                    </w:r>
                    <w:r w:rsidR="00F343E6">
                      <w:rPr>
                        <w:rFonts w:ascii="Times New Roman" w:hAnsi="Times New Roman"/>
                        <w:b/>
                        <w:noProof/>
                      </w:rPr>
                      <w:t>70</w:t>
                    </w:r>
                    <w:r w:rsidRPr="00BA5A45">
                      <w:rPr>
                        <w:rFonts w:ascii="Times New Roman" w:hAnsi="Times New Roman"/>
                        <w:b/>
                        <w:noProof/>
                      </w:rPr>
                      <w:t>/22</w:t>
                    </w:r>
                  </w:p>
                  <w:p w14:paraId="4450B4EB" w14:textId="1624EF65" w:rsidR="00D81197" w:rsidRPr="00BA5A45" w:rsidRDefault="00D81197">
                    <w:pPr>
                      <w:spacing w:after="0" w:line="240" w:lineRule="auto"/>
                      <w:jc w:val="right"/>
                      <w:rPr>
                        <w:rFonts w:ascii="Times New Roman" w:hAnsi="Times New Roman"/>
                        <w:b/>
                        <w:noProof/>
                      </w:rPr>
                    </w:pPr>
                    <w:r w:rsidRPr="00BA5A45">
                      <w:rPr>
                        <w:rFonts w:ascii="Times New Roman" w:hAnsi="Times New Roman"/>
                        <w:b/>
                        <w:noProof/>
                      </w:rPr>
                      <w:t>Civil Appeal No. SC 100/21</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0288" behindDoc="0" locked="0" layoutInCell="0" allowOverlap="1" wp14:anchorId="2F0EE5DF" wp14:editId="699575B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2F7866B" w14:textId="77777777" w:rsidR="00D81197" w:rsidRDefault="00D81197">
                          <w:pPr>
                            <w:spacing w:after="0" w:line="240" w:lineRule="auto"/>
                            <w:rPr>
                              <w:color w:val="FFFFFF" w:themeColor="background1"/>
                            </w:rPr>
                          </w:pPr>
                          <w:r>
                            <w:fldChar w:fldCharType="begin"/>
                          </w:r>
                          <w:r>
                            <w:instrText xml:space="preserve"> PAGE   \* MERGEFORMAT </w:instrText>
                          </w:r>
                          <w:r>
                            <w:fldChar w:fldCharType="separate"/>
                          </w:r>
                          <w:r w:rsidR="00A57D22" w:rsidRPr="00A57D2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F0EE5DF" id="_x0000_t202" coordsize="21600,21600" o:spt="202" path="m,l,21600r21600,l21600,xe">
              <v:stroke joinstyle="miter"/>
              <v:path gradientshapeok="t" o:connecttype="rect"/>
            </v:shapetype>
            <v:shape id="Text Box 221" o:spid="_x0000_s1027" type="#_x0000_t202" style="position:absolute;margin-left:20.6pt;margin-top:0;width:71.8pt;height:13.45pt;z-index:25166028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32F7866B" w14:textId="77777777" w:rsidR="00D81197" w:rsidRDefault="00D81197">
                    <w:pPr>
                      <w:spacing w:after="0" w:line="240" w:lineRule="auto"/>
                      <w:rPr>
                        <w:color w:val="FFFFFF" w:themeColor="background1"/>
                      </w:rPr>
                    </w:pPr>
                    <w:r>
                      <w:fldChar w:fldCharType="begin"/>
                    </w:r>
                    <w:r>
                      <w:instrText xml:space="preserve"> PAGE   \* MERGEFORMAT </w:instrText>
                    </w:r>
                    <w:r>
                      <w:fldChar w:fldCharType="separate"/>
                    </w:r>
                    <w:r w:rsidR="00A57D22" w:rsidRPr="00A57D2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86288"/>
    <w:multiLevelType w:val="hybridMultilevel"/>
    <w:tmpl w:val="A5AC6A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03C04"/>
    <w:multiLevelType w:val="hybridMultilevel"/>
    <w:tmpl w:val="BC6E70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DB05C07"/>
    <w:multiLevelType w:val="hybridMultilevel"/>
    <w:tmpl w:val="1AD601FA"/>
    <w:lvl w:ilvl="0" w:tplc="EC3E97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B555331"/>
    <w:multiLevelType w:val="hybridMultilevel"/>
    <w:tmpl w:val="D4B6E354"/>
    <w:lvl w:ilvl="0" w:tplc="30090011">
      <w:start w:val="1"/>
      <w:numFmt w:val="decimal"/>
      <w:lvlText w:val="%1)"/>
      <w:lvlJc w:val="left"/>
      <w:pPr>
        <w:ind w:left="36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DE93449"/>
    <w:multiLevelType w:val="hybridMultilevel"/>
    <w:tmpl w:val="3E4C56E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B13405E"/>
    <w:multiLevelType w:val="hybridMultilevel"/>
    <w:tmpl w:val="139814DA"/>
    <w:lvl w:ilvl="0" w:tplc="CCCE8202">
      <w:start w:val="4"/>
      <w:numFmt w:val="lowerLetter"/>
      <w:lvlText w:val="(%1)"/>
      <w:lvlJc w:val="left"/>
      <w:pPr>
        <w:ind w:left="1069" w:hanging="360"/>
      </w:pPr>
      <w:rPr>
        <w:rFonts w:hint="default"/>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6" w15:restartNumberingAfterBreak="0">
    <w:nsid w:val="44163963"/>
    <w:multiLevelType w:val="hybridMultilevel"/>
    <w:tmpl w:val="E97AAC2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5B86B0F"/>
    <w:multiLevelType w:val="hybridMultilevel"/>
    <w:tmpl w:val="368AC16A"/>
    <w:lvl w:ilvl="0" w:tplc="536E1D4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CE93D78"/>
    <w:multiLevelType w:val="hybridMultilevel"/>
    <w:tmpl w:val="CE7E3DE8"/>
    <w:lvl w:ilvl="0" w:tplc="F59ADD56">
      <w:start w:val="2"/>
      <w:numFmt w:val="lowerLetter"/>
      <w:lvlText w:val="(%1)"/>
      <w:lvlJc w:val="left"/>
      <w:pPr>
        <w:ind w:left="1069" w:hanging="360"/>
      </w:pPr>
      <w:rPr>
        <w:rFonts w:hint="default"/>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9" w15:restartNumberingAfterBreak="0">
    <w:nsid w:val="6EDD51B7"/>
    <w:multiLevelType w:val="hybridMultilevel"/>
    <w:tmpl w:val="77F4542E"/>
    <w:lvl w:ilvl="0" w:tplc="BD7495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427B93"/>
    <w:multiLevelType w:val="hybridMultilevel"/>
    <w:tmpl w:val="3940D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4"/>
  </w:num>
  <w:num w:numId="3">
    <w:abstractNumId w:val="0"/>
  </w:num>
  <w:num w:numId="4">
    <w:abstractNumId w:val="3"/>
  </w:num>
  <w:num w:numId="5">
    <w:abstractNumId w:val="1"/>
  </w:num>
  <w:num w:numId="6">
    <w:abstractNumId w:val="6"/>
  </w:num>
  <w:num w:numId="7">
    <w:abstractNumId w:val="7"/>
  </w:num>
  <w:num w:numId="8">
    <w:abstractNumId w:val="9"/>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7D3"/>
    <w:rsid w:val="00002455"/>
    <w:rsid w:val="00005427"/>
    <w:rsid w:val="00006C2B"/>
    <w:rsid w:val="00006FBC"/>
    <w:rsid w:val="00010A8E"/>
    <w:rsid w:val="00012194"/>
    <w:rsid w:val="00017DD2"/>
    <w:rsid w:val="00017DEE"/>
    <w:rsid w:val="00027F37"/>
    <w:rsid w:val="00032D87"/>
    <w:rsid w:val="00044EB4"/>
    <w:rsid w:val="000526D2"/>
    <w:rsid w:val="00053A12"/>
    <w:rsid w:val="0005776C"/>
    <w:rsid w:val="000627D3"/>
    <w:rsid w:val="00066515"/>
    <w:rsid w:val="00072577"/>
    <w:rsid w:val="000805C8"/>
    <w:rsid w:val="000A093F"/>
    <w:rsid w:val="000A108D"/>
    <w:rsid w:val="000A4209"/>
    <w:rsid w:val="000B17A5"/>
    <w:rsid w:val="000B38B5"/>
    <w:rsid w:val="000C122B"/>
    <w:rsid w:val="000C237D"/>
    <w:rsid w:val="000F682A"/>
    <w:rsid w:val="00103769"/>
    <w:rsid w:val="00105000"/>
    <w:rsid w:val="001175D9"/>
    <w:rsid w:val="00117FEE"/>
    <w:rsid w:val="001373E8"/>
    <w:rsid w:val="00140D57"/>
    <w:rsid w:val="00141C0D"/>
    <w:rsid w:val="001535C8"/>
    <w:rsid w:val="00157620"/>
    <w:rsid w:val="00166B9B"/>
    <w:rsid w:val="00174E58"/>
    <w:rsid w:val="00175D59"/>
    <w:rsid w:val="00175EB7"/>
    <w:rsid w:val="00186F60"/>
    <w:rsid w:val="00196B71"/>
    <w:rsid w:val="001A31EF"/>
    <w:rsid w:val="001A329C"/>
    <w:rsid w:val="001A4B88"/>
    <w:rsid w:val="001A628C"/>
    <w:rsid w:val="001A6874"/>
    <w:rsid w:val="001B1326"/>
    <w:rsid w:val="001B1E12"/>
    <w:rsid w:val="001B44E4"/>
    <w:rsid w:val="001C36E1"/>
    <w:rsid w:val="001D4889"/>
    <w:rsid w:val="001D5A57"/>
    <w:rsid w:val="001E5F7C"/>
    <w:rsid w:val="001F402E"/>
    <w:rsid w:val="00202677"/>
    <w:rsid w:val="0020642D"/>
    <w:rsid w:val="00210B7B"/>
    <w:rsid w:val="00216F21"/>
    <w:rsid w:val="0021782F"/>
    <w:rsid w:val="00217E5F"/>
    <w:rsid w:val="00227D19"/>
    <w:rsid w:val="0023354D"/>
    <w:rsid w:val="002362DB"/>
    <w:rsid w:val="0024140D"/>
    <w:rsid w:val="00251EF5"/>
    <w:rsid w:val="002550EC"/>
    <w:rsid w:val="00260E49"/>
    <w:rsid w:val="00273420"/>
    <w:rsid w:val="0027495D"/>
    <w:rsid w:val="00282D20"/>
    <w:rsid w:val="002830CE"/>
    <w:rsid w:val="00283F68"/>
    <w:rsid w:val="00292D03"/>
    <w:rsid w:val="00295289"/>
    <w:rsid w:val="002B4625"/>
    <w:rsid w:val="002C6914"/>
    <w:rsid w:val="002D46BE"/>
    <w:rsid w:val="002E0628"/>
    <w:rsid w:val="002F16CF"/>
    <w:rsid w:val="003079F6"/>
    <w:rsid w:val="00313D30"/>
    <w:rsid w:val="00320502"/>
    <w:rsid w:val="003214BA"/>
    <w:rsid w:val="00331ED3"/>
    <w:rsid w:val="003336FF"/>
    <w:rsid w:val="00340CD2"/>
    <w:rsid w:val="00343097"/>
    <w:rsid w:val="0034399F"/>
    <w:rsid w:val="0034469C"/>
    <w:rsid w:val="00347653"/>
    <w:rsid w:val="00355C52"/>
    <w:rsid w:val="00360CC9"/>
    <w:rsid w:val="00360FE6"/>
    <w:rsid w:val="00367906"/>
    <w:rsid w:val="003725C7"/>
    <w:rsid w:val="00376E00"/>
    <w:rsid w:val="00387185"/>
    <w:rsid w:val="003874B8"/>
    <w:rsid w:val="00391DAC"/>
    <w:rsid w:val="00396663"/>
    <w:rsid w:val="003A0744"/>
    <w:rsid w:val="003A081E"/>
    <w:rsid w:val="003A3B65"/>
    <w:rsid w:val="003B6656"/>
    <w:rsid w:val="003D7B38"/>
    <w:rsid w:val="003F20B6"/>
    <w:rsid w:val="003F2476"/>
    <w:rsid w:val="003F4CBB"/>
    <w:rsid w:val="0040728F"/>
    <w:rsid w:val="004204FB"/>
    <w:rsid w:val="00421862"/>
    <w:rsid w:val="00422C1B"/>
    <w:rsid w:val="00435B61"/>
    <w:rsid w:val="00446F75"/>
    <w:rsid w:val="0045314E"/>
    <w:rsid w:val="00464EC2"/>
    <w:rsid w:val="00474BC1"/>
    <w:rsid w:val="00476D4D"/>
    <w:rsid w:val="004818C3"/>
    <w:rsid w:val="004840F3"/>
    <w:rsid w:val="00490075"/>
    <w:rsid w:val="00493801"/>
    <w:rsid w:val="00495552"/>
    <w:rsid w:val="00495AEF"/>
    <w:rsid w:val="00496DA3"/>
    <w:rsid w:val="004A11AA"/>
    <w:rsid w:val="004A27CA"/>
    <w:rsid w:val="004B080C"/>
    <w:rsid w:val="004B0B12"/>
    <w:rsid w:val="004B12D0"/>
    <w:rsid w:val="004D2291"/>
    <w:rsid w:val="004E7A4D"/>
    <w:rsid w:val="004F0A8C"/>
    <w:rsid w:val="004F2393"/>
    <w:rsid w:val="00500D46"/>
    <w:rsid w:val="00510CC5"/>
    <w:rsid w:val="0051252E"/>
    <w:rsid w:val="00512DF8"/>
    <w:rsid w:val="00513216"/>
    <w:rsid w:val="00524639"/>
    <w:rsid w:val="00524E9F"/>
    <w:rsid w:val="005261EE"/>
    <w:rsid w:val="00531BE6"/>
    <w:rsid w:val="0056701D"/>
    <w:rsid w:val="00571D3D"/>
    <w:rsid w:val="005A1009"/>
    <w:rsid w:val="005B19FB"/>
    <w:rsid w:val="005C49FC"/>
    <w:rsid w:val="005C5665"/>
    <w:rsid w:val="005E0B06"/>
    <w:rsid w:val="005E3F8F"/>
    <w:rsid w:val="005E40B5"/>
    <w:rsid w:val="005E4640"/>
    <w:rsid w:val="005F40D6"/>
    <w:rsid w:val="00610D63"/>
    <w:rsid w:val="00612359"/>
    <w:rsid w:val="00612539"/>
    <w:rsid w:val="00616D96"/>
    <w:rsid w:val="0063719B"/>
    <w:rsid w:val="00646F82"/>
    <w:rsid w:val="00651012"/>
    <w:rsid w:val="00657121"/>
    <w:rsid w:val="00676BF2"/>
    <w:rsid w:val="006826FD"/>
    <w:rsid w:val="00684DAF"/>
    <w:rsid w:val="0069577D"/>
    <w:rsid w:val="006A21D8"/>
    <w:rsid w:val="006A54D0"/>
    <w:rsid w:val="006A6C79"/>
    <w:rsid w:val="006B2121"/>
    <w:rsid w:val="006B2309"/>
    <w:rsid w:val="006B45C9"/>
    <w:rsid w:val="006C429E"/>
    <w:rsid w:val="006D0D55"/>
    <w:rsid w:val="006D60BC"/>
    <w:rsid w:val="006D63C7"/>
    <w:rsid w:val="006D71F2"/>
    <w:rsid w:val="006E25FC"/>
    <w:rsid w:val="006E4A04"/>
    <w:rsid w:val="006E75F1"/>
    <w:rsid w:val="006F1D32"/>
    <w:rsid w:val="00714064"/>
    <w:rsid w:val="00716092"/>
    <w:rsid w:val="007248E7"/>
    <w:rsid w:val="0073235B"/>
    <w:rsid w:val="00735EF6"/>
    <w:rsid w:val="00736C79"/>
    <w:rsid w:val="007613D3"/>
    <w:rsid w:val="00770766"/>
    <w:rsid w:val="007961D7"/>
    <w:rsid w:val="007A793C"/>
    <w:rsid w:val="007B0FE6"/>
    <w:rsid w:val="007B57EE"/>
    <w:rsid w:val="007B7013"/>
    <w:rsid w:val="007E2539"/>
    <w:rsid w:val="007E5304"/>
    <w:rsid w:val="007F20C4"/>
    <w:rsid w:val="007F64B5"/>
    <w:rsid w:val="00800275"/>
    <w:rsid w:val="00802365"/>
    <w:rsid w:val="008056AF"/>
    <w:rsid w:val="008070DC"/>
    <w:rsid w:val="0081105D"/>
    <w:rsid w:val="00816A5B"/>
    <w:rsid w:val="00825E1B"/>
    <w:rsid w:val="00841DCB"/>
    <w:rsid w:val="00845578"/>
    <w:rsid w:val="00845A58"/>
    <w:rsid w:val="00851DA3"/>
    <w:rsid w:val="008619CE"/>
    <w:rsid w:val="0088543B"/>
    <w:rsid w:val="00891763"/>
    <w:rsid w:val="00892C1E"/>
    <w:rsid w:val="0089396C"/>
    <w:rsid w:val="008A19DB"/>
    <w:rsid w:val="008A1C02"/>
    <w:rsid w:val="008B0805"/>
    <w:rsid w:val="008B5EF7"/>
    <w:rsid w:val="008C1C4B"/>
    <w:rsid w:val="008E0FDC"/>
    <w:rsid w:val="008E309D"/>
    <w:rsid w:val="00901BDB"/>
    <w:rsid w:val="00904F8C"/>
    <w:rsid w:val="00927EB5"/>
    <w:rsid w:val="00930995"/>
    <w:rsid w:val="009320D5"/>
    <w:rsid w:val="00936BF1"/>
    <w:rsid w:val="0096371A"/>
    <w:rsid w:val="00966AD8"/>
    <w:rsid w:val="00970591"/>
    <w:rsid w:val="009742C5"/>
    <w:rsid w:val="00975CEE"/>
    <w:rsid w:val="00980FD7"/>
    <w:rsid w:val="0098230F"/>
    <w:rsid w:val="00984CDE"/>
    <w:rsid w:val="00993000"/>
    <w:rsid w:val="00995A38"/>
    <w:rsid w:val="009A5003"/>
    <w:rsid w:val="009A6181"/>
    <w:rsid w:val="009A7CF8"/>
    <w:rsid w:val="009B6187"/>
    <w:rsid w:val="009C08FA"/>
    <w:rsid w:val="009C0DF4"/>
    <w:rsid w:val="009D2496"/>
    <w:rsid w:val="009E6B37"/>
    <w:rsid w:val="009F0832"/>
    <w:rsid w:val="00A21FEA"/>
    <w:rsid w:val="00A3069F"/>
    <w:rsid w:val="00A3107A"/>
    <w:rsid w:val="00A312D7"/>
    <w:rsid w:val="00A37F22"/>
    <w:rsid w:val="00A41C6D"/>
    <w:rsid w:val="00A42AFD"/>
    <w:rsid w:val="00A43B92"/>
    <w:rsid w:val="00A50173"/>
    <w:rsid w:val="00A565F5"/>
    <w:rsid w:val="00A57D22"/>
    <w:rsid w:val="00A61E1B"/>
    <w:rsid w:val="00A80326"/>
    <w:rsid w:val="00A83D97"/>
    <w:rsid w:val="00A85350"/>
    <w:rsid w:val="00A862E0"/>
    <w:rsid w:val="00A907AE"/>
    <w:rsid w:val="00A93DFF"/>
    <w:rsid w:val="00AC004C"/>
    <w:rsid w:val="00AC27FC"/>
    <w:rsid w:val="00AC42BD"/>
    <w:rsid w:val="00AC54EA"/>
    <w:rsid w:val="00AC7857"/>
    <w:rsid w:val="00AE53CD"/>
    <w:rsid w:val="00AE6049"/>
    <w:rsid w:val="00AF53FF"/>
    <w:rsid w:val="00AF788E"/>
    <w:rsid w:val="00B0475B"/>
    <w:rsid w:val="00B04EE2"/>
    <w:rsid w:val="00B05267"/>
    <w:rsid w:val="00B05649"/>
    <w:rsid w:val="00B17D41"/>
    <w:rsid w:val="00B2116A"/>
    <w:rsid w:val="00B31476"/>
    <w:rsid w:val="00B31A21"/>
    <w:rsid w:val="00B47DE7"/>
    <w:rsid w:val="00B53BF6"/>
    <w:rsid w:val="00B57768"/>
    <w:rsid w:val="00B63A81"/>
    <w:rsid w:val="00B641ED"/>
    <w:rsid w:val="00B65031"/>
    <w:rsid w:val="00B84352"/>
    <w:rsid w:val="00B846F0"/>
    <w:rsid w:val="00BA22CD"/>
    <w:rsid w:val="00BA5A45"/>
    <w:rsid w:val="00BC31C6"/>
    <w:rsid w:val="00BC3240"/>
    <w:rsid w:val="00BC3A84"/>
    <w:rsid w:val="00BD10C6"/>
    <w:rsid w:val="00BE12E1"/>
    <w:rsid w:val="00BF4A17"/>
    <w:rsid w:val="00BF5D8D"/>
    <w:rsid w:val="00BF76D5"/>
    <w:rsid w:val="00C07557"/>
    <w:rsid w:val="00C14E55"/>
    <w:rsid w:val="00C15F1E"/>
    <w:rsid w:val="00C17FAF"/>
    <w:rsid w:val="00C23D1B"/>
    <w:rsid w:val="00C30A7D"/>
    <w:rsid w:val="00C35DBA"/>
    <w:rsid w:val="00C37451"/>
    <w:rsid w:val="00C43E98"/>
    <w:rsid w:val="00C45E2C"/>
    <w:rsid w:val="00C5682E"/>
    <w:rsid w:val="00C56B8D"/>
    <w:rsid w:val="00C57C03"/>
    <w:rsid w:val="00C83003"/>
    <w:rsid w:val="00C83930"/>
    <w:rsid w:val="00CA3A4B"/>
    <w:rsid w:val="00CA5F4C"/>
    <w:rsid w:val="00CB0497"/>
    <w:rsid w:val="00CC64AC"/>
    <w:rsid w:val="00CE2F29"/>
    <w:rsid w:val="00CF0F4D"/>
    <w:rsid w:val="00CF0F72"/>
    <w:rsid w:val="00D0069F"/>
    <w:rsid w:val="00D008AF"/>
    <w:rsid w:val="00D051F6"/>
    <w:rsid w:val="00D108A7"/>
    <w:rsid w:val="00D119F9"/>
    <w:rsid w:val="00D13041"/>
    <w:rsid w:val="00D1326D"/>
    <w:rsid w:val="00D1709A"/>
    <w:rsid w:val="00D177BB"/>
    <w:rsid w:val="00D278ED"/>
    <w:rsid w:val="00D30419"/>
    <w:rsid w:val="00D35D0B"/>
    <w:rsid w:val="00D3654F"/>
    <w:rsid w:val="00D37010"/>
    <w:rsid w:val="00D44A76"/>
    <w:rsid w:val="00D5150C"/>
    <w:rsid w:val="00D52490"/>
    <w:rsid w:val="00D630C0"/>
    <w:rsid w:val="00D638D9"/>
    <w:rsid w:val="00D70D16"/>
    <w:rsid w:val="00D75840"/>
    <w:rsid w:val="00D81197"/>
    <w:rsid w:val="00D81713"/>
    <w:rsid w:val="00D85D31"/>
    <w:rsid w:val="00D9542B"/>
    <w:rsid w:val="00D955D7"/>
    <w:rsid w:val="00D97D3D"/>
    <w:rsid w:val="00DB6592"/>
    <w:rsid w:val="00DB66E5"/>
    <w:rsid w:val="00DC24C5"/>
    <w:rsid w:val="00DC27B1"/>
    <w:rsid w:val="00DC4601"/>
    <w:rsid w:val="00E223D0"/>
    <w:rsid w:val="00E234AB"/>
    <w:rsid w:val="00E26A89"/>
    <w:rsid w:val="00E40C93"/>
    <w:rsid w:val="00E42745"/>
    <w:rsid w:val="00E52214"/>
    <w:rsid w:val="00E6192A"/>
    <w:rsid w:val="00E651CC"/>
    <w:rsid w:val="00E70F2D"/>
    <w:rsid w:val="00E80136"/>
    <w:rsid w:val="00E81451"/>
    <w:rsid w:val="00E82E44"/>
    <w:rsid w:val="00E84EA8"/>
    <w:rsid w:val="00E85D91"/>
    <w:rsid w:val="00E901CC"/>
    <w:rsid w:val="00E93317"/>
    <w:rsid w:val="00E97E9E"/>
    <w:rsid w:val="00EA1F2A"/>
    <w:rsid w:val="00EA1FA3"/>
    <w:rsid w:val="00EA7871"/>
    <w:rsid w:val="00EA7B75"/>
    <w:rsid w:val="00EB0CF4"/>
    <w:rsid w:val="00EB2725"/>
    <w:rsid w:val="00EB4091"/>
    <w:rsid w:val="00ED574F"/>
    <w:rsid w:val="00EE0341"/>
    <w:rsid w:val="00EE176B"/>
    <w:rsid w:val="00EE1839"/>
    <w:rsid w:val="00EE6FCF"/>
    <w:rsid w:val="00EF7F42"/>
    <w:rsid w:val="00F026D3"/>
    <w:rsid w:val="00F07FBC"/>
    <w:rsid w:val="00F120AC"/>
    <w:rsid w:val="00F22B1C"/>
    <w:rsid w:val="00F3018C"/>
    <w:rsid w:val="00F343E6"/>
    <w:rsid w:val="00F42946"/>
    <w:rsid w:val="00F44287"/>
    <w:rsid w:val="00F61500"/>
    <w:rsid w:val="00F6250E"/>
    <w:rsid w:val="00F64F37"/>
    <w:rsid w:val="00F71A18"/>
    <w:rsid w:val="00F75D89"/>
    <w:rsid w:val="00F90B30"/>
    <w:rsid w:val="00F93CEB"/>
    <w:rsid w:val="00F97761"/>
    <w:rsid w:val="00FA570F"/>
    <w:rsid w:val="00FA5BBD"/>
    <w:rsid w:val="00FA5F2E"/>
    <w:rsid w:val="00FA77C7"/>
    <w:rsid w:val="00FB2C6A"/>
    <w:rsid w:val="00FB4E94"/>
    <w:rsid w:val="00FB5466"/>
    <w:rsid w:val="00FC131C"/>
    <w:rsid w:val="00FC6B04"/>
    <w:rsid w:val="00FC6FC8"/>
    <w:rsid w:val="00FD2D4F"/>
    <w:rsid w:val="00FD6833"/>
    <w:rsid w:val="00FD6907"/>
    <w:rsid w:val="00FF5D5C"/>
    <w:rsid w:val="00FF7674"/>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D78D6D"/>
  <w15:docId w15:val="{38A8F730-1F25-4C7D-BF3D-33CC8383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27D3"/>
    <w:pPr>
      <w:spacing w:after="0" w:line="240" w:lineRule="auto"/>
    </w:pPr>
    <w:rPr>
      <w:sz w:val="20"/>
      <w:szCs w:val="20"/>
      <w:lang w:val="en-ZW"/>
    </w:rPr>
  </w:style>
  <w:style w:type="character" w:customStyle="1" w:styleId="FootnoteTextChar">
    <w:name w:val="Footnote Text Char"/>
    <w:link w:val="FootnoteText"/>
    <w:uiPriority w:val="99"/>
    <w:semiHidden/>
    <w:rsid w:val="000627D3"/>
    <w:rPr>
      <w:sz w:val="20"/>
      <w:szCs w:val="20"/>
      <w:lang w:val="en-ZW"/>
    </w:rPr>
  </w:style>
  <w:style w:type="character" w:styleId="FootnoteReference">
    <w:name w:val="footnote reference"/>
    <w:uiPriority w:val="99"/>
    <w:semiHidden/>
    <w:unhideWhenUsed/>
    <w:rsid w:val="000627D3"/>
    <w:rPr>
      <w:vertAlign w:val="superscript"/>
    </w:rPr>
  </w:style>
  <w:style w:type="paragraph" w:styleId="ListParagraph">
    <w:name w:val="List Paragraph"/>
    <w:basedOn w:val="Normal"/>
    <w:uiPriority w:val="34"/>
    <w:qFormat/>
    <w:rsid w:val="00157620"/>
    <w:pPr>
      <w:ind w:left="720"/>
      <w:contextualSpacing/>
    </w:pPr>
  </w:style>
  <w:style w:type="paragraph" w:styleId="Header">
    <w:name w:val="header"/>
    <w:basedOn w:val="Normal"/>
    <w:link w:val="HeaderChar"/>
    <w:uiPriority w:val="99"/>
    <w:unhideWhenUsed/>
    <w:rsid w:val="005261EE"/>
    <w:pPr>
      <w:tabs>
        <w:tab w:val="center" w:pos="4680"/>
        <w:tab w:val="right" w:pos="9360"/>
      </w:tabs>
    </w:pPr>
  </w:style>
  <w:style w:type="character" w:customStyle="1" w:styleId="HeaderChar">
    <w:name w:val="Header Char"/>
    <w:link w:val="Header"/>
    <w:uiPriority w:val="99"/>
    <w:rsid w:val="005261EE"/>
    <w:rPr>
      <w:sz w:val="22"/>
      <w:szCs w:val="22"/>
    </w:rPr>
  </w:style>
  <w:style w:type="paragraph" w:styleId="Footer">
    <w:name w:val="footer"/>
    <w:basedOn w:val="Normal"/>
    <w:link w:val="FooterChar"/>
    <w:uiPriority w:val="99"/>
    <w:unhideWhenUsed/>
    <w:rsid w:val="005261EE"/>
    <w:pPr>
      <w:tabs>
        <w:tab w:val="center" w:pos="4680"/>
        <w:tab w:val="right" w:pos="9360"/>
      </w:tabs>
    </w:pPr>
  </w:style>
  <w:style w:type="character" w:customStyle="1" w:styleId="FooterChar">
    <w:name w:val="Footer Char"/>
    <w:link w:val="Footer"/>
    <w:uiPriority w:val="99"/>
    <w:rsid w:val="005261EE"/>
    <w:rPr>
      <w:sz w:val="22"/>
      <w:szCs w:val="22"/>
    </w:rPr>
  </w:style>
  <w:style w:type="paragraph" w:styleId="BalloonText">
    <w:name w:val="Balloon Text"/>
    <w:basedOn w:val="Normal"/>
    <w:link w:val="BalloonTextChar"/>
    <w:uiPriority w:val="99"/>
    <w:semiHidden/>
    <w:unhideWhenUsed/>
    <w:rsid w:val="001A31E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A31EF"/>
    <w:rPr>
      <w:rFonts w:ascii="Segoe UI" w:hAnsi="Segoe UI" w:cs="Segoe UI"/>
      <w:sz w:val="18"/>
      <w:szCs w:val="18"/>
    </w:rPr>
  </w:style>
  <w:style w:type="character" w:styleId="Hyperlink">
    <w:name w:val="Hyperlink"/>
    <w:basedOn w:val="DefaultParagraphFont"/>
    <w:uiPriority w:val="99"/>
    <w:unhideWhenUsed/>
    <w:rsid w:val="003A0744"/>
    <w:rPr>
      <w:color w:val="0563C1" w:themeColor="hyperlink"/>
      <w:u w:val="single"/>
    </w:rPr>
  </w:style>
  <w:style w:type="paragraph" w:styleId="EndnoteText">
    <w:name w:val="endnote text"/>
    <w:basedOn w:val="Normal"/>
    <w:link w:val="EndnoteTextChar"/>
    <w:uiPriority w:val="99"/>
    <w:semiHidden/>
    <w:unhideWhenUsed/>
    <w:rsid w:val="008939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96C"/>
  </w:style>
  <w:style w:type="character" w:styleId="EndnoteReference">
    <w:name w:val="endnote reference"/>
    <w:basedOn w:val="DefaultParagraphFont"/>
    <w:uiPriority w:val="99"/>
    <w:semiHidden/>
    <w:unhideWhenUsed/>
    <w:rsid w:val="008939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526D0-8144-44E6-A92D-D4C13D1D6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7540</Words>
  <Characters>42983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2022-06-02T11:00:00Z</cp:lastPrinted>
  <dcterms:created xsi:type="dcterms:W3CDTF">2022-06-24T12:41:00Z</dcterms:created>
  <dcterms:modified xsi:type="dcterms:W3CDTF">2022-06-24T12:41:00Z</dcterms:modified>
</cp:coreProperties>
</file>