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12" w:rsidRDefault="00F33612" w:rsidP="00F33612">
      <w:pPr>
        <w:spacing w:line="360" w:lineRule="auto"/>
        <w:jc w:val="both"/>
        <w:rPr>
          <w:b/>
        </w:rPr>
      </w:pPr>
      <w:proofErr w:type="gramStart"/>
      <w:r w:rsidRPr="00047C13">
        <w:rPr>
          <w:b/>
        </w:rPr>
        <w:t>IN T</w:t>
      </w:r>
      <w:r>
        <w:rPr>
          <w:b/>
        </w:rPr>
        <w:t>HE LABOUR COURT OF ZIMBABWE      JUDGMENT NO.</w:t>
      </w:r>
      <w:proofErr w:type="gramEnd"/>
      <w:r>
        <w:rPr>
          <w:b/>
        </w:rPr>
        <w:t xml:space="preserve"> LC/H/</w:t>
      </w:r>
      <w:r w:rsidR="00D75CF8">
        <w:rPr>
          <w:b/>
        </w:rPr>
        <w:t>362</w:t>
      </w:r>
      <w:r>
        <w:rPr>
          <w:b/>
        </w:rPr>
        <w:t>/2016</w:t>
      </w:r>
    </w:p>
    <w:p w:rsidR="00F33612" w:rsidRDefault="00F33612" w:rsidP="00F33612">
      <w:pPr>
        <w:spacing w:line="360" w:lineRule="auto"/>
        <w:jc w:val="both"/>
        <w:rPr>
          <w:b/>
        </w:rPr>
      </w:pPr>
      <w:r w:rsidRPr="00047C13">
        <w:rPr>
          <w:b/>
        </w:rPr>
        <w:t xml:space="preserve">HARARE, </w:t>
      </w:r>
      <w:r>
        <w:rPr>
          <w:b/>
        </w:rPr>
        <w:t>23 FEBRUARY 2016</w:t>
      </w:r>
      <w:r>
        <w:rPr>
          <w:b/>
        </w:rPr>
        <w:tab/>
      </w:r>
      <w:r w:rsidRPr="00047C13">
        <w:rPr>
          <w:b/>
        </w:rPr>
        <w:t xml:space="preserve">  </w:t>
      </w:r>
      <w:r w:rsidRPr="00047C13">
        <w:rPr>
          <w:b/>
        </w:rPr>
        <w:tab/>
      </w:r>
      <w:r w:rsidRPr="00047C13">
        <w:rPr>
          <w:b/>
        </w:rPr>
        <w:tab/>
      </w:r>
      <w:r>
        <w:rPr>
          <w:b/>
        </w:rPr>
        <w:t xml:space="preserve">               </w:t>
      </w:r>
      <w:r w:rsidRPr="00047C13">
        <w:rPr>
          <w:b/>
        </w:rPr>
        <w:t>CASE NO. LC/H/</w:t>
      </w:r>
      <w:r>
        <w:rPr>
          <w:b/>
        </w:rPr>
        <w:t>567/13</w:t>
      </w:r>
    </w:p>
    <w:p w:rsidR="00F33612" w:rsidRDefault="00F33612" w:rsidP="00F33612">
      <w:pPr>
        <w:spacing w:line="360" w:lineRule="auto"/>
        <w:jc w:val="both"/>
        <w:rPr>
          <w:b/>
        </w:rPr>
      </w:pPr>
      <w:r>
        <w:rPr>
          <w:b/>
        </w:rPr>
        <w:t xml:space="preserve">AND </w:t>
      </w:r>
      <w:r w:rsidR="00D75CF8">
        <w:rPr>
          <w:b/>
        </w:rPr>
        <w:t>10 JUNE</w:t>
      </w:r>
      <w:r>
        <w:rPr>
          <w:b/>
        </w:rPr>
        <w:t xml:space="preserve"> 2016</w:t>
      </w:r>
    </w:p>
    <w:p w:rsidR="00F33612" w:rsidRPr="00047C13" w:rsidRDefault="00F33612" w:rsidP="00F33612">
      <w:pPr>
        <w:spacing w:line="360" w:lineRule="auto"/>
        <w:jc w:val="both"/>
      </w:pPr>
      <w:r w:rsidRPr="00047C13">
        <w:t>In the matter between</w:t>
      </w:r>
      <w:r>
        <w:t>:-</w:t>
      </w:r>
    </w:p>
    <w:p w:rsidR="00F33612" w:rsidRPr="00047C13" w:rsidRDefault="00F33612" w:rsidP="00F33612">
      <w:pPr>
        <w:spacing w:line="360" w:lineRule="auto"/>
        <w:jc w:val="both"/>
      </w:pPr>
    </w:p>
    <w:p w:rsidR="00F33612" w:rsidRDefault="00F24A5E" w:rsidP="00F33612">
      <w:pPr>
        <w:spacing w:line="360" w:lineRule="auto"/>
        <w:jc w:val="both"/>
        <w:rPr>
          <w:b/>
        </w:rPr>
      </w:pPr>
      <w:r>
        <w:rPr>
          <w:b/>
        </w:rPr>
        <w:t xml:space="preserve">LISTON BAASLUM </w:t>
      </w:r>
      <w:r w:rsidR="00F33612">
        <w:rPr>
          <w:b/>
        </w:rPr>
        <w:t>&amp; OR</w:t>
      </w:r>
      <w:r>
        <w:rPr>
          <w:b/>
        </w:rPr>
        <w:t>S</w:t>
      </w:r>
      <w:r w:rsidR="00F33612">
        <w:rPr>
          <w:b/>
        </w:rPr>
        <w:tab/>
      </w:r>
      <w:r w:rsidR="00F33612">
        <w:rPr>
          <w:b/>
        </w:rPr>
        <w:tab/>
      </w:r>
      <w:r w:rsidR="00F33612">
        <w:rPr>
          <w:b/>
        </w:rPr>
        <w:tab/>
      </w:r>
      <w:r w:rsidR="00F33612">
        <w:rPr>
          <w:b/>
        </w:rPr>
        <w:tab/>
      </w:r>
      <w:r w:rsidR="00F33612">
        <w:rPr>
          <w:b/>
        </w:rPr>
        <w:tab/>
        <w:t>Appellant</w:t>
      </w:r>
      <w:r>
        <w:rPr>
          <w:b/>
        </w:rPr>
        <w:t>s</w:t>
      </w:r>
      <w:r w:rsidR="00F33612">
        <w:rPr>
          <w:b/>
        </w:rPr>
        <w:t xml:space="preserve"> </w:t>
      </w:r>
    </w:p>
    <w:p w:rsidR="00F33612" w:rsidRDefault="00F33612" w:rsidP="00F33612">
      <w:pPr>
        <w:spacing w:line="360" w:lineRule="auto"/>
        <w:jc w:val="both"/>
      </w:pPr>
      <w:r>
        <w:t>And</w:t>
      </w:r>
    </w:p>
    <w:p w:rsidR="00F33612" w:rsidRPr="00E4649E" w:rsidRDefault="00F24A5E" w:rsidP="00F33612">
      <w:pPr>
        <w:spacing w:line="360" w:lineRule="auto"/>
        <w:jc w:val="both"/>
        <w:rPr>
          <w:b/>
        </w:rPr>
      </w:pPr>
      <w:r>
        <w:rPr>
          <w:b/>
        </w:rPr>
        <w:t>CRAZY CUTLERY</w:t>
      </w:r>
      <w:r>
        <w:rPr>
          <w:b/>
        </w:rPr>
        <w:tab/>
      </w:r>
      <w:r>
        <w:rPr>
          <w:b/>
        </w:rPr>
        <w:tab/>
      </w:r>
      <w:r w:rsidR="00F33612">
        <w:rPr>
          <w:b/>
        </w:rPr>
        <w:tab/>
      </w:r>
      <w:r w:rsidR="00F33612">
        <w:rPr>
          <w:b/>
        </w:rPr>
        <w:tab/>
      </w:r>
      <w:r w:rsidR="00F33612">
        <w:rPr>
          <w:b/>
        </w:rPr>
        <w:tab/>
      </w:r>
      <w:r w:rsidR="00F33612">
        <w:rPr>
          <w:b/>
        </w:rPr>
        <w:tab/>
      </w:r>
      <w:r w:rsidR="00F33612">
        <w:rPr>
          <w:b/>
        </w:rPr>
        <w:tab/>
        <w:t>Respondent</w:t>
      </w:r>
    </w:p>
    <w:p w:rsidR="00F33612" w:rsidRPr="00047C13" w:rsidRDefault="00F33612" w:rsidP="00F33612">
      <w:pPr>
        <w:spacing w:line="360" w:lineRule="auto"/>
        <w:jc w:val="both"/>
        <w:rPr>
          <w:b/>
        </w:rPr>
      </w:pPr>
    </w:p>
    <w:p w:rsidR="00F33612" w:rsidRPr="00047C13" w:rsidRDefault="00F33612" w:rsidP="00F33612">
      <w:pPr>
        <w:spacing w:line="360" w:lineRule="auto"/>
        <w:jc w:val="both"/>
      </w:pPr>
      <w:r>
        <w:t xml:space="preserve">Before </w:t>
      </w:r>
      <w:r w:rsidRPr="00047C13">
        <w:t>Honourable</w:t>
      </w:r>
      <w:r>
        <w:t xml:space="preserve"> R. Manyangadze, J</w:t>
      </w:r>
    </w:p>
    <w:p w:rsidR="00F33612" w:rsidRPr="00047C13" w:rsidRDefault="00F33612" w:rsidP="00F33612">
      <w:pPr>
        <w:spacing w:line="360" w:lineRule="auto"/>
        <w:jc w:val="both"/>
      </w:pPr>
      <w:r w:rsidRPr="00047C13">
        <w:tab/>
      </w:r>
      <w:r w:rsidRPr="00047C13">
        <w:tab/>
      </w:r>
      <w:r w:rsidRPr="00047C13">
        <w:tab/>
      </w:r>
    </w:p>
    <w:p w:rsidR="00F33612" w:rsidRDefault="00F33612" w:rsidP="00F33612">
      <w:pPr>
        <w:spacing w:line="360" w:lineRule="auto"/>
        <w:jc w:val="both"/>
        <w:rPr>
          <w:b/>
        </w:rPr>
      </w:pPr>
      <w:r>
        <w:rPr>
          <w:b/>
        </w:rPr>
        <w:t>For Appellant</w:t>
      </w:r>
      <w:r w:rsidR="00F24A5E">
        <w:rPr>
          <w:b/>
        </w:rPr>
        <w:t>s</w:t>
      </w:r>
      <w:r w:rsidRPr="00047C13">
        <w:rPr>
          <w:b/>
        </w:rPr>
        <w:t xml:space="preserve"> </w:t>
      </w:r>
      <w:r w:rsidRPr="00047C13">
        <w:rPr>
          <w:b/>
        </w:rPr>
        <w:tab/>
      </w:r>
      <w:r>
        <w:rPr>
          <w:b/>
        </w:rPr>
        <w:tab/>
      </w:r>
      <w:r w:rsidR="00E20058">
        <w:rPr>
          <w:b/>
        </w:rPr>
        <w:t xml:space="preserve">Mr T. </w:t>
      </w:r>
      <w:proofErr w:type="spellStart"/>
      <w:r w:rsidR="00E20058">
        <w:rPr>
          <w:b/>
        </w:rPr>
        <w:t>H</w:t>
      </w:r>
      <w:r w:rsidR="00F24A5E">
        <w:rPr>
          <w:b/>
        </w:rPr>
        <w:t>ombarume</w:t>
      </w:r>
      <w:proofErr w:type="spellEnd"/>
      <w:r w:rsidR="00F24A5E">
        <w:rPr>
          <w:b/>
        </w:rPr>
        <w:t xml:space="preserve"> (Trade Unionist)</w:t>
      </w:r>
    </w:p>
    <w:p w:rsidR="00F33612" w:rsidRPr="00CF1210" w:rsidRDefault="00F33612" w:rsidP="00F33612">
      <w:pPr>
        <w:pStyle w:val="NoSpacing"/>
        <w:spacing w:line="360" w:lineRule="auto"/>
        <w:rPr>
          <w:b/>
        </w:rPr>
      </w:pPr>
      <w:r w:rsidRPr="00494C95">
        <w:rPr>
          <w:b/>
        </w:rPr>
        <w:t>For Respondent</w:t>
      </w:r>
      <w:r>
        <w:tab/>
      </w:r>
      <w:r>
        <w:tab/>
      </w:r>
      <w:r w:rsidR="00FE6A7C">
        <w:rPr>
          <w:b/>
        </w:rPr>
        <w:t>Mr R. Mufuka</w:t>
      </w:r>
      <w:r>
        <w:rPr>
          <w:b/>
        </w:rPr>
        <w:t xml:space="preserve"> (Legal Practitioner)</w:t>
      </w:r>
    </w:p>
    <w:p w:rsidR="00F33612" w:rsidRDefault="00F33612" w:rsidP="00F33612">
      <w:pPr>
        <w:pStyle w:val="NoSpacing"/>
        <w:rPr>
          <w:b/>
        </w:rPr>
      </w:pPr>
      <w:r w:rsidRPr="00CF1210">
        <w:rPr>
          <w:b/>
        </w:rPr>
        <w:tab/>
      </w:r>
      <w:r w:rsidRPr="00CF1210">
        <w:rPr>
          <w:b/>
        </w:rPr>
        <w:tab/>
      </w:r>
      <w:r w:rsidRPr="00CF1210">
        <w:rPr>
          <w:b/>
        </w:rPr>
        <w:tab/>
      </w:r>
      <w:r w:rsidRPr="00CF1210">
        <w:rPr>
          <w:b/>
        </w:rPr>
        <w:tab/>
      </w:r>
      <w:r w:rsidRPr="00CF1210">
        <w:rPr>
          <w:b/>
        </w:rPr>
        <w:tab/>
      </w:r>
    </w:p>
    <w:p w:rsidR="00F33612" w:rsidRPr="00CF1210" w:rsidRDefault="00F33612" w:rsidP="00F33612">
      <w:pPr>
        <w:pStyle w:val="NoSpacing"/>
        <w:rPr>
          <w:b/>
        </w:rPr>
      </w:pPr>
    </w:p>
    <w:p w:rsidR="00F33612" w:rsidRDefault="00F33612" w:rsidP="00F33612">
      <w:pPr>
        <w:spacing w:line="360" w:lineRule="auto"/>
        <w:jc w:val="both"/>
        <w:rPr>
          <w:b/>
        </w:rPr>
      </w:pPr>
      <w:r>
        <w:rPr>
          <w:b/>
        </w:rPr>
        <w:t>MANYANGADZE, J:</w:t>
      </w:r>
    </w:p>
    <w:p w:rsidR="00F33612" w:rsidRDefault="00F33612" w:rsidP="00F33612">
      <w:pPr>
        <w:spacing w:line="360" w:lineRule="auto"/>
        <w:jc w:val="both"/>
      </w:pPr>
    </w:p>
    <w:p w:rsidR="00452A70" w:rsidRDefault="00CC7CF8" w:rsidP="00642062">
      <w:pPr>
        <w:spacing w:line="360" w:lineRule="auto"/>
        <w:jc w:val="both"/>
      </w:pPr>
      <w:r>
        <w:tab/>
        <w:t xml:space="preserve">This is an appeal against an arbitral award handed down on 16 July 2013, in terms of which the </w:t>
      </w:r>
      <w:r w:rsidR="003C65C1">
        <w:t xml:space="preserve">appellants’ </w:t>
      </w:r>
      <w:r w:rsidR="00010D81">
        <w:t xml:space="preserve">claim </w:t>
      </w:r>
      <w:r>
        <w:t>that they were unlawfully dismissed</w:t>
      </w:r>
      <w:r w:rsidR="003C65C1">
        <w:t xml:space="preserve"> and that they were</w:t>
      </w:r>
      <w:r w:rsidR="00452A70">
        <w:t xml:space="preserve"> owed terminal benefits was dismissed.</w:t>
      </w:r>
    </w:p>
    <w:p w:rsidR="00452A70" w:rsidRDefault="00452A70" w:rsidP="003A2699">
      <w:pPr>
        <w:jc w:val="both"/>
      </w:pPr>
    </w:p>
    <w:p w:rsidR="009A2840" w:rsidRDefault="00452A70" w:rsidP="00452A70">
      <w:pPr>
        <w:spacing w:line="360" w:lineRule="auto"/>
        <w:ind w:firstLine="720"/>
        <w:jc w:val="both"/>
      </w:pPr>
      <w:r>
        <w:t>The brief facts of the matter are that the appellants were employed by the respondent, in various capacities.  It appears they were engaged from 2010 to 2013.  The finding by the arbitrator</w:t>
      </w:r>
      <w:r w:rsidR="003C65C1">
        <w:t xml:space="preserve"> </w:t>
      </w:r>
      <w:r w:rsidR="00E20058">
        <w:t>was that they were employed on fixed</w:t>
      </w:r>
      <w:r w:rsidR="004943E0">
        <w:t xml:space="preserve"> term contrac</w:t>
      </w:r>
      <w:r w:rsidR="00B072D9">
        <w:t>ts, which were not further renew</w:t>
      </w:r>
      <w:r w:rsidR="004943E0">
        <w:t>ed</w:t>
      </w:r>
      <w:r w:rsidR="00EB07FD">
        <w:t>.  Thus</w:t>
      </w:r>
      <w:r w:rsidR="005D3BA0">
        <w:t>,</w:t>
      </w:r>
      <w:r w:rsidR="00EB07FD">
        <w:t xml:space="preserve"> the appellant</w:t>
      </w:r>
      <w:r w:rsidR="005D3BA0">
        <w:t>’</w:t>
      </w:r>
      <w:r w:rsidR="00EB07FD">
        <w:t>s contracts were terminated at the expiry of the fixed term contracts.</w:t>
      </w:r>
    </w:p>
    <w:p w:rsidR="00EB07FD" w:rsidRDefault="00EB07FD" w:rsidP="003A2699">
      <w:pPr>
        <w:ind w:firstLine="720"/>
        <w:jc w:val="both"/>
      </w:pPr>
    </w:p>
    <w:p w:rsidR="002F602D" w:rsidRDefault="00EB07FD" w:rsidP="00452A70">
      <w:pPr>
        <w:spacing w:line="360" w:lineRule="auto"/>
        <w:ind w:firstLine="720"/>
        <w:jc w:val="both"/>
      </w:pPr>
      <w:r>
        <w:t xml:space="preserve">Upon termination of their employment, the appellants </w:t>
      </w:r>
      <w:r w:rsidR="00B604BA">
        <w:t>lodged a complaint of unfair dismissal</w:t>
      </w:r>
      <w:r w:rsidR="005D3BA0">
        <w:t>,</w:t>
      </w:r>
      <w:r w:rsidR="00B604BA">
        <w:t xml:space="preserve"> alleging that they were on permanent contracts of </w:t>
      </w:r>
      <w:r w:rsidR="00315921">
        <w:t>employment</w:t>
      </w:r>
      <w:r w:rsidR="00B604BA">
        <w:t>.  Conciliation failed</w:t>
      </w:r>
      <w:r w:rsidR="00315921">
        <w:t xml:space="preserve">. </w:t>
      </w:r>
      <w:r w:rsidR="00E07A3A">
        <w:t xml:space="preserve"> The ma</w:t>
      </w:r>
      <w:r w:rsidR="00091329">
        <w:t>tter was referred to compulsory</w:t>
      </w:r>
      <w:r w:rsidR="00E07A3A">
        <w:t xml:space="preserve"> </w:t>
      </w:r>
      <w:r w:rsidR="00AD0F97">
        <w:t>arbitration, leading to the arbitral award in contention.</w:t>
      </w:r>
    </w:p>
    <w:p w:rsidR="002F602D" w:rsidRDefault="002F602D" w:rsidP="00452A70">
      <w:pPr>
        <w:spacing w:line="360" w:lineRule="auto"/>
        <w:ind w:firstLine="720"/>
        <w:jc w:val="both"/>
      </w:pPr>
    </w:p>
    <w:p w:rsidR="00323557" w:rsidRDefault="002F602D" w:rsidP="00452A70">
      <w:pPr>
        <w:spacing w:line="360" w:lineRule="auto"/>
        <w:ind w:firstLine="720"/>
        <w:jc w:val="both"/>
      </w:pPr>
      <w:r>
        <w:lastRenderedPageBreak/>
        <w:t xml:space="preserve">The grounds of appeal, which were </w:t>
      </w:r>
      <w:r w:rsidR="00107E71">
        <w:t>inelegantly d</w:t>
      </w:r>
      <w:r w:rsidR="00331239">
        <w:t xml:space="preserve">rafted by the appellant’s trade union </w:t>
      </w:r>
      <w:r w:rsidR="00323557">
        <w:t>representative, read as follows:</w:t>
      </w:r>
    </w:p>
    <w:p w:rsidR="00323557" w:rsidRDefault="00323557" w:rsidP="003A2699">
      <w:pPr>
        <w:ind w:firstLine="720"/>
        <w:jc w:val="both"/>
      </w:pPr>
    </w:p>
    <w:p w:rsidR="000608A7" w:rsidRPr="00AB2DA2" w:rsidRDefault="00AB2DA2" w:rsidP="00AB2DA2">
      <w:pPr>
        <w:pStyle w:val="ListParagraph"/>
        <w:numPr>
          <w:ilvl w:val="0"/>
          <w:numId w:val="4"/>
        </w:numPr>
        <w:spacing w:line="276" w:lineRule="auto"/>
        <w:jc w:val="both"/>
        <w:rPr>
          <w:sz w:val="22"/>
          <w:szCs w:val="22"/>
        </w:rPr>
      </w:pPr>
      <w:r w:rsidRPr="00AB2DA2">
        <w:rPr>
          <w:sz w:val="22"/>
          <w:szCs w:val="22"/>
        </w:rPr>
        <w:t>“</w:t>
      </w:r>
      <w:r w:rsidR="000608A7" w:rsidRPr="00AB2DA2">
        <w:rPr>
          <w:sz w:val="22"/>
          <w:szCs w:val="22"/>
        </w:rPr>
        <w:t>The Arbitrator’s award lacks merit.</w:t>
      </w:r>
    </w:p>
    <w:p w:rsidR="00A840A9" w:rsidRPr="005556F9" w:rsidRDefault="000608A7" w:rsidP="005556F9">
      <w:pPr>
        <w:pStyle w:val="ListParagraph"/>
        <w:numPr>
          <w:ilvl w:val="0"/>
          <w:numId w:val="4"/>
        </w:numPr>
        <w:spacing w:line="276" w:lineRule="auto"/>
        <w:jc w:val="both"/>
        <w:rPr>
          <w:sz w:val="22"/>
          <w:szCs w:val="22"/>
        </w:rPr>
      </w:pPr>
      <w:r w:rsidRPr="005556F9">
        <w:rPr>
          <w:sz w:val="22"/>
          <w:szCs w:val="22"/>
        </w:rPr>
        <w:t xml:space="preserve">The Arbitrator failed to consider whether the Applicants were paid accrued leave </w:t>
      </w:r>
      <w:r w:rsidR="00A840A9" w:rsidRPr="005556F9">
        <w:rPr>
          <w:sz w:val="22"/>
          <w:szCs w:val="22"/>
        </w:rPr>
        <w:t>days.</w:t>
      </w:r>
    </w:p>
    <w:p w:rsidR="00A840A9" w:rsidRPr="003A2699" w:rsidRDefault="00A840A9" w:rsidP="005556F9">
      <w:pPr>
        <w:pStyle w:val="ListParagraph"/>
        <w:numPr>
          <w:ilvl w:val="0"/>
          <w:numId w:val="4"/>
        </w:numPr>
        <w:spacing w:line="276" w:lineRule="auto"/>
        <w:jc w:val="both"/>
        <w:rPr>
          <w:sz w:val="22"/>
          <w:szCs w:val="22"/>
        </w:rPr>
      </w:pPr>
      <w:r w:rsidRPr="003A2699">
        <w:rPr>
          <w:sz w:val="22"/>
          <w:szCs w:val="22"/>
        </w:rPr>
        <w:t>The Arbitrator failed to consider the Applicants were on verbal contracts.</w:t>
      </w:r>
    </w:p>
    <w:p w:rsidR="00B83EC1" w:rsidRPr="003A2699" w:rsidRDefault="00B83EC1" w:rsidP="005556F9">
      <w:pPr>
        <w:pStyle w:val="ListParagraph"/>
        <w:numPr>
          <w:ilvl w:val="0"/>
          <w:numId w:val="4"/>
        </w:numPr>
        <w:spacing w:line="276" w:lineRule="auto"/>
        <w:jc w:val="both"/>
        <w:rPr>
          <w:sz w:val="22"/>
          <w:szCs w:val="22"/>
        </w:rPr>
      </w:pPr>
      <w:r w:rsidRPr="003A2699">
        <w:rPr>
          <w:sz w:val="22"/>
          <w:szCs w:val="22"/>
        </w:rPr>
        <w:t xml:space="preserve">The Arbitrator failed to note that the Applicants sometimes work for 3 days at 24 </w:t>
      </w:r>
      <w:proofErr w:type="spellStart"/>
      <w:r w:rsidRPr="003A2699">
        <w:rPr>
          <w:sz w:val="22"/>
          <w:szCs w:val="22"/>
        </w:rPr>
        <w:t>hrs</w:t>
      </w:r>
      <w:proofErr w:type="spellEnd"/>
      <w:r w:rsidRPr="003A2699">
        <w:rPr>
          <w:sz w:val="22"/>
          <w:szCs w:val="22"/>
        </w:rPr>
        <w:t xml:space="preserve"> in a week.</w:t>
      </w:r>
    </w:p>
    <w:p w:rsidR="003B41E8" w:rsidRPr="005556F9" w:rsidRDefault="00B83EC1" w:rsidP="005556F9">
      <w:pPr>
        <w:pStyle w:val="ListParagraph"/>
        <w:numPr>
          <w:ilvl w:val="0"/>
          <w:numId w:val="4"/>
        </w:numPr>
        <w:spacing w:line="276" w:lineRule="auto"/>
        <w:jc w:val="both"/>
        <w:rPr>
          <w:sz w:val="22"/>
          <w:szCs w:val="22"/>
        </w:rPr>
      </w:pPr>
      <w:r w:rsidRPr="005556F9">
        <w:rPr>
          <w:sz w:val="22"/>
          <w:szCs w:val="22"/>
        </w:rPr>
        <w:t>The Respondent should be taught for belittling the Labour Act and its statutes.</w:t>
      </w:r>
      <w:r w:rsidR="003247B4" w:rsidRPr="005556F9">
        <w:rPr>
          <w:sz w:val="22"/>
          <w:szCs w:val="22"/>
        </w:rPr>
        <w:t>”</w:t>
      </w:r>
    </w:p>
    <w:p w:rsidR="003B41E8" w:rsidRDefault="003B41E8" w:rsidP="003A2699">
      <w:pPr>
        <w:jc w:val="both"/>
      </w:pPr>
    </w:p>
    <w:p w:rsidR="00F926C2" w:rsidRDefault="003B41E8" w:rsidP="00F926C2">
      <w:pPr>
        <w:spacing w:line="360" w:lineRule="auto"/>
        <w:ind w:firstLine="720"/>
        <w:jc w:val="both"/>
      </w:pPr>
      <w:r>
        <w:t xml:space="preserve">A reading of the respondent’s heads of argument shows that it </w:t>
      </w:r>
      <w:r w:rsidR="003F23DB">
        <w:t>has mainly taken issue with</w:t>
      </w:r>
      <w:r w:rsidR="0089419A">
        <w:t xml:space="preserve"> the propriety of the appellants’ gro</w:t>
      </w:r>
      <w:r w:rsidR="00121277">
        <w:t xml:space="preserve">unds of appeal.  The respondent, </w:t>
      </w:r>
      <w:r w:rsidR="007A473B">
        <w:t>essentially</w:t>
      </w:r>
      <w:r w:rsidR="002E2DEE">
        <w:t>, avers</w:t>
      </w:r>
      <w:r w:rsidR="007A473B">
        <w:t xml:space="preserve"> that the </w:t>
      </w:r>
      <w:r w:rsidR="00890BE0">
        <w:t xml:space="preserve">grounds of appeal are </w:t>
      </w:r>
      <w:r w:rsidR="003F23DB">
        <w:t>too</w:t>
      </w:r>
      <w:r w:rsidR="00EB375C">
        <w:t xml:space="preserve"> vague</w:t>
      </w:r>
      <w:r w:rsidR="00890BE0">
        <w:t xml:space="preserve"> </w:t>
      </w:r>
      <w:r w:rsidR="00FF7EF8">
        <w:t>a</w:t>
      </w:r>
      <w:r w:rsidR="00890BE0">
        <w:t xml:space="preserve">nd general, and as such do not </w:t>
      </w:r>
      <w:r w:rsidR="00974BF7">
        <w:t>con</w:t>
      </w:r>
      <w:r w:rsidR="00890BE0">
        <w:t>stitute proper grounds of appeal.  It is not clear what questions of law and fact the grounds are challenging.  It is not c</w:t>
      </w:r>
      <w:r w:rsidR="009573B9">
        <w:t xml:space="preserve">lear in what </w:t>
      </w:r>
      <w:r w:rsidR="00555A9E">
        <w:t>specific</w:t>
      </w:r>
      <w:r w:rsidR="009573B9">
        <w:t xml:space="preserve"> </w:t>
      </w:r>
      <w:r w:rsidR="00F926C2">
        <w:t>respect</w:t>
      </w:r>
      <w:r w:rsidR="00974BF7">
        <w:t>s</w:t>
      </w:r>
      <w:r w:rsidR="00F926C2">
        <w:t xml:space="preserve"> the arbitral award is being </w:t>
      </w:r>
      <w:r w:rsidR="00974BF7">
        <w:t>impugned.</w:t>
      </w:r>
    </w:p>
    <w:p w:rsidR="00F926C2" w:rsidRDefault="00F926C2" w:rsidP="003A2699">
      <w:pPr>
        <w:ind w:firstLine="720"/>
        <w:jc w:val="both"/>
      </w:pPr>
    </w:p>
    <w:p w:rsidR="00F926C2" w:rsidRDefault="00F926C2" w:rsidP="00F926C2">
      <w:pPr>
        <w:spacing w:line="360" w:lineRule="auto"/>
        <w:ind w:firstLine="720"/>
        <w:jc w:val="both"/>
      </w:pPr>
      <w:r>
        <w:t xml:space="preserve">Indeed, the </w:t>
      </w:r>
      <w:r w:rsidR="00974BF7">
        <w:t>inele</w:t>
      </w:r>
      <w:r w:rsidR="00136A37">
        <w:t>gantly</w:t>
      </w:r>
      <w:r w:rsidR="0018612E">
        <w:t xml:space="preserve"> p</w:t>
      </w:r>
      <w:r w:rsidR="00136A37">
        <w:t>e</w:t>
      </w:r>
      <w:r w:rsidR="0018612E">
        <w:t xml:space="preserve">nned grounds of appeal are </w:t>
      </w:r>
      <w:r w:rsidR="00136A37">
        <w:t>too</w:t>
      </w:r>
      <w:r w:rsidR="0018612E">
        <w:t xml:space="preserve"> broad, general </w:t>
      </w:r>
      <w:r w:rsidR="00136A37">
        <w:t>and vague.  It is not clear in w</w:t>
      </w:r>
      <w:r w:rsidR="0018612E">
        <w:t>hat specific</w:t>
      </w:r>
      <w:r w:rsidR="00FF7EF8">
        <w:t xml:space="preserve"> aspects</w:t>
      </w:r>
      <w:r w:rsidR="00555A9E">
        <w:t xml:space="preserve"> the arbitral award is being </w:t>
      </w:r>
      <w:r w:rsidR="00136A37">
        <w:t>challenged</w:t>
      </w:r>
      <w:r w:rsidR="00555A9E">
        <w:t>.</w:t>
      </w:r>
      <w:r w:rsidR="0018612E">
        <w:t xml:space="preserve"> </w:t>
      </w:r>
      <w:r w:rsidR="00DA4474">
        <w:t xml:space="preserve">The need for clear and specific grounds of appeal was emphasised in the case of </w:t>
      </w:r>
      <w:r w:rsidR="00DA4474" w:rsidRPr="00616F6C">
        <w:rPr>
          <w:i/>
        </w:rPr>
        <w:t>Christopher Nyamukapa</w:t>
      </w:r>
      <w:r w:rsidR="00DA4474">
        <w:t xml:space="preserve"> v </w:t>
      </w:r>
      <w:r w:rsidR="00DA4474" w:rsidRPr="00616F6C">
        <w:rPr>
          <w:i/>
        </w:rPr>
        <w:t>The State</w:t>
      </w:r>
      <w:r w:rsidR="00DA4474">
        <w:t>, HH 60/11</w:t>
      </w:r>
      <w:r w:rsidR="00136A37">
        <w:t>.</w:t>
      </w:r>
    </w:p>
    <w:p w:rsidR="00DA4474" w:rsidRDefault="00DA4474" w:rsidP="003A2699">
      <w:pPr>
        <w:ind w:firstLine="720"/>
        <w:jc w:val="both"/>
      </w:pPr>
    </w:p>
    <w:p w:rsidR="00DA4474" w:rsidRDefault="00DA4474" w:rsidP="00F926C2">
      <w:pPr>
        <w:spacing w:line="360" w:lineRule="auto"/>
        <w:ind w:firstLine="720"/>
        <w:jc w:val="both"/>
      </w:pPr>
      <w:r>
        <w:t xml:space="preserve">Although the judge in that case was dealing with a criminal appeal, the remarks made are </w:t>
      </w:r>
      <w:r w:rsidR="000F5BF5">
        <w:t>equally</w:t>
      </w:r>
      <w:r w:rsidR="00616F6C">
        <w:t xml:space="preserve"> applicable in civil appeals.  </w:t>
      </w:r>
      <w:r w:rsidR="000F5BF5">
        <w:t>DUBE</w:t>
      </w:r>
      <w:r w:rsidR="00616F6C">
        <w:t xml:space="preserve"> J stated;</w:t>
      </w:r>
    </w:p>
    <w:p w:rsidR="00A860A4" w:rsidRDefault="00A860A4" w:rsidP="003A2699">
      <w:pPr>
        <w:ind w:firstLine="720"/>
        <w:jc w:val="both"/>
      </w:pPr>
    </w:p>
    <w:p w:rsidR="00A860A4" w:rsidRPr="003A2699" w:rsidRDefault="003A2699" w:rsidP="003A2699">
      <w:pPr>
        <w:spacing w:line="276" w:lineRule="auto"/>
        <w:ind w:left="720"/>
        <w:jc w:val="both"/>
        <w:rPr>
          <w:sz w:val="22"/>
          <w:szCs w:val="22"/>
        </w:rPr>
      </w:pPr>
      <w:r w:rsidRPr="003A2699">
        <w:rPr>
          <w:sz w:val="22"/>
          <w:szCs w:val="22"/>
        </w:rPr>
        <w:t>“Grounds of appeal should be clearly stated and s</w:t>
      </w:r>
      <w:r w:rsidR="000F5BF5">
        <w:rPr>
          <w:sz w:val="22"/>
          <w:szCs w:val="22"/>
        </w:rPr>
        <w:t xml:space="preserve">hould not be in general form.  As enunciated in </w:t>
      </w:r>
      <w:r w:rsidR="000F5BF5" w:rsidRPr="00CA7BD7">
        <w:rPr>
          <w:i/>
          <w:sz w:val="22"/>
          <w:szCs w:val="22"/>
        </w:rPr>
        <w:t>R</w:t>
      </w:r>
      <w:r w:rsidR="000F5BF5">
        <w:rPr>
          <w:sz w:val="22"/>
          <w:szCs w:val="22"/>
        </w:rPr>
        <w:t xml:space="preserve"> v </w:t>
      </w:r>
      <w:r w:rsidR="000F5BF5" w:rsidRPr="00CA7BD7">
        <w:rPr>
          <w:i/>
          <w:sz w:val="22"/>
          <w:szCs w:val="22"/>
        </w:rPr>
        <w:t>J</w:t>
      </w:r>
      <w:r w:rsidRPr="00CA7BD7">
        <w:rPr>
          <w:i/>
          <w:sz w:val="22"/>
          <w:szCs w:val="22"/>
        </w:rPr>
        <w:t>ack</w:t>
      </w:r>
      <w:r w:rsidRPr="003A2699">
        <w:rPr>
          <w:sz w:val="22"/>
          <w:szCs w:val="22"/>
        </w:rPr>
        <w:t xml:space="preserve"> 1990 (2) </w:t>
      </w:r>
      <w:r w:rsidR="00906BB4" w:rsidRPr="003A2699">
        <w:rPr>
          <w:sz w:val="22"/>
          <w:szCs w:val="22"/>
        </w:rPr>
        <w:t>ZLR</w:t>
      </w:r>
      <w:r w:rsidRPr="003A2699">
        <w:rPr>
          <w:sz w:val="22"/>
          <w:szCs w:val="22"/>
        </w:rPr>
        <w:t xml:space="preserve"> 166, a notice without meaningful grounds of appe</w:t>
      </w:r>
      <w:r w:rsidR="00C91FD6">
        <w:rPr>
          <w:sz w:val="22"/>
          <w:szCs w:val="22"/>
        </w:rPr>
        <w:t xml:space="preserve">al is not a notice of </w:t>
      </w:r>
      <w:proofErr w:type="gramStart"/>
      <w:r w:rsidR="00C91FD6">
        <w:rPr>
          <w:sz w:val="22"/>
          <w:szCs w:val="22"/>
        </w:rPr>
        <w:t>appeal, …</w:t>
      </w:r>
      <w:proofErr w:type="gramEnd"/>
    </w:p>
    <w:p w:rsidR="00370AFF" w:rsidRPr="00C91FD6" w:rsidRDefault="00370AFF" w:rsidP="006E3B70">
      <w:pPr>
        <w:spacing w:line="276" w:lineRule="auto"/>
        <w:ind w:left="720"/>
        <w:jc w:val="both"/>
        <w:rPr>
          <w:sz w:val="22"/>
          <w:szCs w:val="22"/>
        </w:rPr>
      </w:pPr>
      <w:r w:rsidRPr="00C91FD6">
        <w:rPr>
          <w:sz w:val="22"/>
          <w:szCs w:val="22"/>
        </w:rPr>
        <w:t>The first ground avers</w:t>
      </w:r>
      <w:r w:rsidR="00891819" w:rsidRPr="00C91FD6">
        <w:rPr>
          <w:sz w:val="22"/>
          <w:szCs w:val="22"/>
        </w:rPr>
        <w:t xml:space="preserve"> that the trial magistrate relied on unsafe evidence to convict.  If the ground is meant to challenge the magistrate’s findings of fact, it is not specifically so stated.  In </w:t>
      </w:r>
      <w:r w:rsidR="00891819" w:rsidRPr="00C91FD6">
        <w:rPr>
          <w:i/>
          <w:sz w:val="22"/>
          <w:szCs w:val="22"/>
        </w:rPr>
        <w:t>R</w:t>
      </w:r>
      <w:r w:rsidR="00891819" w:rsidRPr="00C91FD6">
        <w:rPr>
          <w:sz w:val="22"/>
          <w:szCs w:val="22"/>
        </w:rPr>
        <w:t xml:space="preserve"> v </w:t>
      </w:r>
      <w:r w:rsidR="00891819" w:rsidRPr="00C91FD6">
        <w:rPr>
          <w:i/>
          <w:sz w:val="22"/>
          <w:szCs w:val="22"/>
        </w:rPr>
        <w:t>Emmerson</w:t>
      </w:r>
      <w:r w:rsidR="00891819" w:rsidRPr="00C91FD6">
        <w:rPr>
          <w:sz w:val="22"/>
          <w:szCs w:val="22"/>
        </w:rPr>
        <w:t xml:space="preserve"> 1958 (1) SA </w:t>
      </w:r>
      <w:r w:rsidR="00503EB8" w:rsidRPr="00C91FD6">
        <w:rPr>
          <w:sz w:val="22"/>
          <w:szCs w:val="22"/>
        </w:rPr>
        <w:t>442 at 442, BEADLE J said</w:t>
      </w:r>
    </w:p>
    <w:p w:rsidR="00503EB8" w:rsidRPr="000543CE" w:rsidRDefault="00503EB8" w:rsidP="006E3B70">
      <w:pPr>
        <w:spacing w:line="276" w:lineRule="auto"/>
        <w:ind w:left="720"/>
        <w:jc w:val="both"/>
        <w:rPr>
          <w:sz w:val="22"/>
          <w:szCs w:val="22"/>
        </w:rPr>
      </w:pPr>
      <w:r w:rsidRPr="000543CE">
        <w:rPr>
          <w:sz w:val="22"/>
          <w:szCs w:val="22"/>
        </w:rPr>
        <w:t>“If the ground of appeal is that the magistrate erred in law this should be stated, and the particular</w:t>
      </w:r>
      <w:r w:rsidR="00825BB1" w:rsidRPr="000543CE">
        <w:rPr>
          <w:sz w:val="22"/>
          <w:szCs w:val="22"/>
        </w:rPr>
        <w:t xml:space="preserve"> mistake of law which the magistrate is alleged to have made should be set ou</w:t>
      </w:r>
      <w:r w:rsidR="000F5BF5">
        <w:rPr>
          <w:sz w:val="22"/>
          <w:szCs w:val="22"/>
        </w:rPr>
        <w:t>t.  I</w:t>
      </w:r>
      <w:r w:rsidR="0077196D">
        <w:rPr>
          <w:sz w:val="22"/>
          <w:szCs w:val="22"/>
        </w:rPr>
        <w:t>f</w:t>
      </w:r>
      <w:r w:rsidR="00825BB1" w:rsidRPr="000543CE">
        <w:rPr>
          <w:sz w:val="22"/>
          <w:szCs w:val="22"/>
        </w:rPr>
        <w:t xml:space="preserve"> however, the ground of appeal is that the magistrate erred on the facts this should be stated,</w:t>
      </w:r>
      <w:r w:rsidR="006E3B70">
        <w:rPr>
          <w:sz w:val="22"/>
          <w:szCs w:val="22"/>
        </w:rPr>
        <w:t xml:space="preserve"> and</w:t>
      </w:r>
      <w:r w:rsidR="00825BB1" w:rsidRPr="000543CE">
        <w:rPr>
          <w:sz w:val="22"/>
          <w:szCs w:val="22"/>
        </w:rPr>
        <w:t xml:space="preserve"> the applicant should go further and state whether the magistrate erred in accepting the evidence led or in regarding that evidence as sufficient to prove the offence.”</w:t>
      </w:r>
    </w:p>
    <w:p w:rsidR="00336DFF" w:rsidRDefault="00336DFF" w:rsidP="000543CE">
      <w:pPr>
        <w:ind w:firstLine="720"/>
        <w:jc w:val="both"/>
      </w:pPr>
    </w:p>
    <w:p w:rsidR="00336DFF" w:rsidRDefault="00336DFF" w:rsidP="00F926C2">
      <w:pPr>
        <w:spacing w:line="360" w:lineRule="auto"/>
        <w:ind w:firstLine="720"/>
        <w:jc w:val="both"/>
      </w:pPr>
      <w:r w:rsidRPr="00F86FA8">
        <w:rPr>
          <w:i/>
        </w:rPr>
        <w:lastRenderedPageBreak/>
        <w:t>In casu</w:t>
      </w:r>
      <w:r>
        <w:t xml:space="preserve">, the grounds of appeal are such that the Court has to figure out what it is the appellant is </w:t>
      </w:r>
      <w:r w:rsidR="00B87066">
        <w:t>averring</w:t>
      </w:r>
      <w:r>
        <w:t xml:space="preserve">.  This places </w:t>
      </w:r>
      <w:r w:rsidR="00B87066">
        <w:t xml:space="preserve">an unnecessary </w:t>
      </w:r>
      <w:r w:rsidR="00A41214">
        <w:t>burden</w:t>
      </w:r>
      <w:r w:rsidR="00B87066">
        <w:t xml:space="preserve"> on the court.  It must be clear, from a </w:t>
      </w:r>
      <w:r w:rsidR="00A41214">
        <w:t>reading</w:t>
      </w:r>
      <w:r w:rsidR="00B87066">
        <w:t xml:space="preserve"> </w:t>
      </w:r>
      <w:r w:rsidR="001565FC">
        <w:t xml:space="preserve">of the grounds of appeal, what issues are being appealed against and on what basis.  The issues </w:t>
      </w:r>
      <w:r w:rsidR="006B3FA7">
        <w:t xml:space="preserve">must </w:t>
      </w:r>
      <w:r w:rsidR="00A41214">
        <w:t>be concisely</w:t>
      </w:r>
      <w:r w:rsidR="006B3FA7">
        <w:t xml:space="preserve"> and specifically averred.  They must be clear </w:t>
      </w:r>
      <w:r w:rsidR="006B3FA7" w:rsidRPr="00A41214">
        <w:rPr>
          <w:i/>
        </w:rPr>
        <w:t>ex facie</w:t>
      </w:r>
      <w:r w:rsidR="006B3FA7">
        <w:t xml:space="preserve"> the grounds of appeal.  The court must not be made to </w:t>
      </w:r>
      <w:r w:rsidR="00887360">
        <w:t>painstakingly glean</w:t>
      </w:r>
      <w:r w:rsidR="00260BFF">
        <w:t xml:space="preserve"> from the record what it is the appellant is impugning in the arbitral award.  For instance, the first ground of</w:t>
      </w:r>
      <w:r w:rsidR="00AA4B33">
        <w:t xml:space="preserve"> appeal simply states</w:t>
      </w:r>
    </w:p>
    <w:p w:rsidR="00A36594" w:rsidRDefault="00A36594" w:rsidP="000543CE">
      <w:pPr>
        <w:ind w:firstLine="720"/>
        <w:jc w:val="both"/>
      </w:pPr>
    </w:p>
    <w:p w:rsidR="00BB31DE" w:rsidRDefault="00A36594" w:rsidP="005C3473">
      <w:pPr>
        <w:spacing w:line="360" w:lineRule="auto"/>
        <w:ind w:firstLine="720"/>
        <w:jc w:val="both"/>
        <w:rPr>
          <w:sz w:val="22"/>
          <w:szCs w:val="22"/>
        </w:rPr>
      </w:pPr>
      <w:r w:rsidRPr="000543CE">
        <w:rPr>
          <w:sz w:val="22"/>
          <w:szCs w:val="22"/>
        </w:rPr>
        <w:t>“The Arbitrator’s award lacks merit</w:t>
      </w:r>
      <w:r w:rsidR="00A16F82" w:rsidRPr="000543CE">
        <w:rPr>
          <w:sz w:val="22"/>
          <w:szCs w:val="22"/>
        </w:rPr>
        <w:t xml:space="preserve">”.  </w:t>
      </w:r>
    </w:p>
    <w:p w:rsidR="00BB31DE" w:rsidRDefault="00BB31DE" w:rsidP="000D3DB3">
      <w:pPr>
        <w:ind w:firstLine="720"/>
        <w:jc w:val="both"/>
        <w:rPr>
          <w:sz w:val="22"/>
          <w:szCs w:val="22"/>
        </w:rPr>
      </w:pPr>
    </w:p>
    <w:p w:rsidR="00A36594" w:rsidRPr="005C3473" w:rsidRDefault="00A16F82" w:rsidP="005C3473">
      <w:pPr>
        <w:spacing w:line="360" w:lineRule="auto"/>
        <w:ind w:firstLine="720"/>
        <w:jc w:val="both"/>
      </w:pPr>
      <w:r w:rsidRPr="005C3473">
        <w:t>I refer to it as t</w:t>
      </w:r>
      <w:r w:rsidR="005C3473" w:rsidRPr="005C3473">
        <w:t>he first ground of appeal as</w:t>
      </w:r>
      <w:r w:rsidR="00054908">
        <w:t xml:space="preserve"> it</w:t>
      </w:r>
      <w:r w:rsidR="005C3473" w:rsidRPr="005C3473">
        <w:t xml:space="preserve"> </w:t>
      </w:r>
      <w:r w:rsidRPr="005C3473">
        <w:t xml:space="preserve">appears first on the unnumbered grounds of appeal.  The appellant’s representative marked </w:t>
      </w:r>
      <w:r w:rsidR="00A219AC">
        <w:t>the</w:t>
      </w:r>
      <w:r w:rsidR="00263596" w:rsidRPr="005C3473">
        <w:t xml:space="preserve"> ground</w:t>
      </w:r>
      <w:r w:rsidR="00A219AC">
        <w:t>s</w:t>
      </w:r>
      <w:r w:rsidR="00263596" w:rsidRPr="005C3473">
        <w:t xml:space="preserve"> of appeal by </w:t>
      </w:r>
      <w:r w:rsidR="00A219AC">
        <w:t>means of</w:t>
      </w:r>
      <w:r w:rsidR="00263596" w:rsidRPr="005C3473">
        <w:t xml:space="preserve"> bullet</w:t>
      </w:r>
      <w:r w:rsidR="00A219AC">
        <w:t>s</w:t>
      </w:r>
      <w:r w:rsidR="00263596" w:rsidRPr="005C3473">
        <w:t xml:space="preserve">.  The title of the document </w:t>
      </w:r>
      <w:r w:rsidR="000962D7">
        <w:t>cites</w:t>
      </w:r>
      <w:r w:rsidR="00263596" w:rsidRPr="005C3473">
        <w:t xml:space="preserve"> the appellant</w:t>
      </w:r>
      <w:r w:rsidR="000962D7">
        <w:t>s</w:t>
      </w:r>
      <w:r w:rsidR="00663C81" w:rsidRPr="005C3473">
        <w:t xml:space="preserve"> as the applicants.  It</w:t>
      </w:r>
      <w:r w:rsidR="008817D1">
        <w:t xml:space="preserve"> is not pointed out in what</w:t>
      </w:r>
      <w:r w:rsidR="00663C81" w:rsidRPr="005C3473">
        <w:t xml:space="preserve"> respects the arbitrator</w:t>
      </w:r>
      <w:r w:rsidR="008817D1">
        <w:t>’</w:t>
      </w:r>
      <w:r w:rsidR="00663C81" w:rsidRPr="005C3473">
        <w:t xml:space="preserve">s award lacks merit.  The subsequent grounds, </w:t>
      </w:r>
      <w:r w:rsidR="00C324BC" w:rsidRPr="005C3473">
        <w:t xml:space="preserve">quoted </w:t>
      </w:r>
      <w:r w:rsidR="00C324BC" w:rsidRPr="005C3473">
        <w:rPr>
          <w:i/>
        </w:rPr>
        <w:t>supra</w:t>
      </w:r>
      <w:r w:rsidR="00C324BC" w:rsidRPr="005C3473">
        <w:t xml:space="preserve">, are similarly broad and vague.  The last bullet sounds emotional, </w:t>
      </w:r>
      <w:r w:rsidR="00EA0BBE" w:rsidRPr="005C3473">
        <w:t xml:space="preserve">without showing what it is the respondent has violated.  This ground states that “the respondent </w:t>
      </w:r>
      <w:r w:rsidR="00D267D5" w:rsidRPr="005C3473">
        <w:t xml:space="preserve">should </w:t>
      </w:r>
      <w:r w:rsidR="0042002C" w:rsidRPr="005C3473">
        <w:t>be taught for be</w:t>
      </w:r>
      <w:r w:rsidR="00D267D5" w:rsidRPr="005C3473">
        <w:t>littling the Labour</w:t>
      </w:r>
      <w:r w:rsidR="0042002C" w:rsidRPr="005C3473">
        <w:t xml:space="preserve"> </w:t>
      </w:r>
      <w:r w:rsidR="00601EDE" w:rsidRPr="005C3473">
        <w:t>Act and its statutes.”</w:t>
      </w:r>
    </w:p>
    <w:p w:rsidR="00601EDE" w:rsidRDefault="00601EDE" w:rsidP="00836A7D">
      <w:pPr>
        <w:ind w:firstLine="720"/>
        <w:jc w:val="both"/>
      </w:pPr>
    </w:p>
    <w:p w:rsidR="00601EDE" w:rsidRDefault="00601EDE" w:rsidP="00F926C2">
      <w:pPr>
        <w:spacing w:line="360" w:lineRule="auto"/>
        <w:ind w:firstLine="720"/>
        <w:jc w:val="both"/>
      </w:pPr>
      <w:r>
        <w:t>It simply shows the appellant</w:t>
      </w:r>
      <w:r w:rsidR="00D43BAB">
        <w:t xml:space="preserve">s are </w:t>
      </w:r>
      <w:r w:rsidR="00DE07B5">
        <w:t>angry</w:t>
      </w:r>
      <w:r w:rsidR="002955FA">
        <w:t xml:space="preserve"> and want the respondent</w:t>
      </w:r>
      <w:r w:rsidR="00DE07B5">
        <w:t xml:space="preserve"> to be</w:t>
      </w:r>
      <w:r w:rsidR="002955FA">
        <w:t xml:space="preserve"> taught a lesson.  It leaves the court wondering what lesson </w:t>
      </w:r>
      <w:r w:rsidR="00F17CF7">
        <w:t>it is being called upon to teach the respondent.</w:t>
      </w:r>
    </w:p>
    <w:p w:rsidR="00F17CF7" w:rsidRDefault="00F17CF7" w:rsidP="00F926C2">
      <w:pPr>
        <w:spacing w:line="360" w:lineRule="auto"/>
        <w:ind w:firstLine="720"/>
        <w:jc w:val="both"/>
      </w:pPr>
      <w:r>
        <w:t>The grounds of appeal create the distinct</w:t>
      </w:r>
      <w:r w:rsidR="00C83D46">
        <w:t xml:space="preserve"> impression that the trade union official </w:t>
      </w:r>
      <w:r w:rsidR="0024665E">
        <w:t xml:space="preserve">the appellants engaged to </w:t>
      </w:r>
      <w:r w:rsidR="00A46D72">
        <w:t>note the appeal on their behalf was clueless as to how the task should be executed.  He clearly let them down.  It is essential that those engaged to appear in court on behalf of litigants have</w:t>
      </w:r>
      <w:r w:rsidR="00147736">
        <w:t xml:space="preserve"> the requisite knowledge and skills to articulate</w:t>
      </w:r>
      <w:r w:rsidR="0057468E">
        <w:t xml:space="preserve"> their client’s case.  This is important both in respect of oral </w:t>
      </w:r>
      <w:r w:rsidR="00012588">
        <w:t>arguments and the drafting of court</w:t>
      </w:r>
      <w:r w:rsidR="00C12615">
        <w:t xml:space="preserve"> documents such as notices of appeal.  The court should not be left to conj</w:t>
      </w:r>
      <w:r w:rsidR="00DE59F0">
        <w:t>ecture what issues the appellant</w:t>
      </w:r>
      <w:r w:rsidR="00C12615">
        <w:t xml:space="preserve"> is placing before it for consideration.  It is the duty of the appellant to clearly and concisely state those issues.</w:t>
      </w:r>
    </w:p>
    <w:p w:rsidR="00C12615" w:rsidRDefault="00C12615" w:rsidP="00836A7D">
      <w:pPr>
        <w:ind w:firstLine="720"/>
        <w:jc w:val="both"/>
      </w:pPr>
    </w:p>
    <w:p w:rsidR="00C12615" w:rsidRDefault="00C12615" w:rsidP="00F926C2">
      <w:pPr>
        <w:spacing w:line="360" w:lineRule="auto"/>
        <w:ind w:firstLine="720"/>
        <w:jc w:val="both"/>
      </w:pPr>
      <w:r>
        <w:lastRenderedPageBreak/>
        <w:t xml:space="preserve">In the circumstances the court upholds the respondent’s </w:t>
      </w:r>
      <w:r w:rsidR="000B6770">
        <w:t>contention</w:t>
      </w:r>
      <w:r>
        <w:t xml:space="preserve"> that the grounds of appeal stated by </w:t>
      </w:r>
      <w:r w:rsidR="009A2840">
        <w:t>the appellant</w:t>
      </w:r>
      <w:r w:rsidR="00D24995">
        <w:t>s</w:t>
      </w:r>
      <w:r w:rsidR="009A2840">
        <w:t xml:space="preserve"> are too vague and general to constitute proper grounds of appeal.  The appeal must be struck off the roll.</w:t>
      </w:r>
    </w:p>
    <w:p w:rsidR="009A2840" w:rsidRDefault="009A2840" w:rsidP="009A2840">
      <w:pPr>
        <w:spacing w:line="360" w:lineRule="auto"/>
        <w:jc w:val="both"/>
      </w:pPr>
    </w:p>
    <w:p w:rsidR="009A2840" w:rsidRDefault="009A2840" w:rsidP="009A2840">
      <w:pPr>
        <w:spacing w:line="360" w:lineRule="auto"/>
        <w:jc w:val="both"/>
      </w:pPr>
      <w:r>
        <w:t>It is accordingly ordered that</w:t>
      </w:r>
      <w:r w:rsidR="00216018">
        <w:t>;</w:t>
      </w:r>
    </w:p>
    <w:p w:rsidR="00216018" w:rsidRDefault="00216018" w:rsidP="009A2840">
      <w:pPr>
        <w:spacing w:line="360" w:lineRule="auto"/>
        <w:jc w:val="both"/>
      </w:pPr>
    </w:p>
    <w:p w:rsidR="00216018" w:rsidRDefault="00216018" w:rsidP="00216018">
      <w:pPr>
        <w:pStyle w:val="ListParagraph"/>
        <w:numPr>
          <w:ilvl w:val="0"/>
          <w:numId w:val="2"/>
        </w:numPr>
        <w:spacing w:line="360" w:lineRule="auto"/>
        <w:jc w:val="both"/>
      </w:pPr>
      <w:r>
        <w:t>The appeal be and is hereby struck off the roll.</w:t>
      </w:r>
    </w:p>
    <w:p w:rsidR="00216018" w:rsidRDefault="00216018" w:rsidP="00216018">
      <w:pPr>
        <w:pStyle w:val="ListParagraph"/>
        <w:numPr>
          <w:ilvl w:val="0"/>
          <w:numId w:val="2"/>
        </w:numPr>
        <w:spacing w:line="360" w:lineRule="auto"/>
        <w:jc w:val="both"/>
      </w:pPr>
      <w:r>
        <w:t xml:space="preserve">The appellants </w:t>
      </w:r>
      <w:r w:rsidR="004F16DA">
        <w:t>shall</w:t>
      </w:r>
      <w:bookmarkStart w:id="0" w:name="_GoBack"/>
      <w:bookmarkEnd w:id="0"/>
      <w:r>
        <w:t xml:space="preserve"> bear the respondent’s costs.</w:t>
      </w:r>
    </w:p>
    <w:p w:rsidR="000631D6" w:rsidRDefault="000631D6" w:rsidP="000631D6">
      <w:pPr>
        <w:spacing w:line="360" w:lineRule="auto"/>
        <w:jc w:val="both"/>
      </w:pPr>
    </w:p>
    <w:p w:rsidR="000631D6" w:rsidRDefault="000631D6" w:rsidP="000631D6">
      <w:pPr>
        <w:spacing w:line="360" w:lineRule="auto"/>
        <w:jc w:val="both"/>
      </w:pPr>
    </w:p>
    <w:p w:rsidR="000631D6" w:rsidRDefault="000631D6" w:rsidP="000631D6">
      <w:pPr>
        <w:spacing w:line="360" w:lineRule="auto"/>
        <w:jc w:val="both"/>
      </w:pPr>
      <w:r w:rsidRPr="00836A7D">
        <w:rPr>
          <w:i/>
        </w:rPr>
        <w:t>Mufuka &amp; Associates</w:t>
      </w:r>
      <w:r>
        <w:t xml:space="preserve">, </w:t>
      </w:r>
      <w:r w:rsidR="00836A7D">
        <w:t>respondent’s legal practitioners</w:t>
      </w:r>
    </w:p>
    <w:p w:rsidR="00EB07FD" w:rsidRDefault="00121277" w:rsidP="003B41E8">
      <w:pPr>
        <w:spacing w:line="360" w:lineRule="auto"/>
        <w:jc w:val="both"/>
      </w:pPr>
      <w:r>
        <w:t xml:space="preserve"> </w:t>
      </w:r>
    </w:p>
    <w:sectPr w:rsidR="00EB07FD" w:rsidSect="00BB586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A6B" w:rsidRDefault="00693A6B" w:rsidP="00BB586E">
      <w:r>
        <w:separator/>
      </w:r>
    </w:p>
  </w:endnote>
  <w:endnote w:type="continuationSeparator" w:id="0">
    <w:p w:rsidR="00693A6B" w:rsidRDefault="00693A6B" w:rsidP="00BB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508060"/>
      <w:docPartObj>
        <w:docPartGallery w:val="Page Numbers (Bottom of Page)"/>
        <w:docPartUnique/>
      </w:docPartObj>
    </w:sdtPr>
    <w:sdtEndPr>
      <w:rPr>
        <w:noProof/>
      </w:rPr>
    </w:sdtEndPr>
    <w:sdtContent>
      <w:p w:rsidR="009A2840" w:rsidRDefault="009A2840">
        <w:pPr>
          <w:pStyle w:val="Footer"/>
          <w:jc w:val="center"/>
        </w:pPr>
        <w:r>
          <w:fldChar w:fldCharType="begin"/>
        </w:r>
        <w:r>
          <w:instrText xml:space="preserve"> PAGE   \* MERGEFORMAT </w:instrText>
        </w:r>
        <w:r>
          <w:fldChar w:fldCharType="separate"/>
        </w:r>
        <w:r w:rsidR="004F16DA">
          <w:rPr>
            <w:noProof/>
          </w:rPr>
          <w:t>4</w:t>
        </w:r>
        <w:r>
          <w:rPr>
            <w:noProof/>
          </w:rPr>
          <w:fldChar w:fldCharType="end"/>
        </w:r>
      </w:p>
    </w:sdtContent>
  </w:sdt>
  <w:p w:rsidR="009A2840" w:rsidRDefault="009A2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A6B" w:rsidRDefault="00693A6B" w:rsidP="00BB586E">
      <w:r>
        <w:separator/>
      </w:r>
    </w:p>
  </w:footnote>
  <w:footnote w:type="continuationSeparator" w:id="0">
    <w:p w:rsidR="00693A6B" w:rsidRDefault="00693A6B" w:rsidP="00BB5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40" w:rsidRPr="00BB586E" w:rsidRDefault="009A2840">
    <w:pPr>
      <w:pStyle w:val="Header"/>
      <w:rPr>
        <w:lang w:val="en-ZW"/>
      </w:rPr>
    </w:pPr>
    <w:r>
      <w:rPr>
        <w:lang w:val="en-ZW"/>
      </w:rPr>
      <w:tab/>
    </w:r>
    <w:r>
      <w:rPr>
        <w:lang w:val="en-ZW"/>
      </w:rPr>
      <w:tab/>
      <w:t>JUDGMENT NO. LC/H/</w:t>
    </w:r>
    <w:r w:rsidR="00E17478">
      <w:rPr>
        <w:lang w:val="en-ZW"/>
      </w:rPr>
      <w:t>362</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65928"/>
    <w:multiLevelType w:val="hybridMultilevel"/>
    <w:tmpl w:val="E31058F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225833DF"/>
    <w:multiLevelType w:val="hybridMultilevel"/>
    <w:tmpl w:val="808CF9CE"/>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2">
    <w:nsid w:val="79C6057B"/>
    <w:multiLevelType w:val="hybridMultilevel"/>
    <w:tmpl w:val="7AD6031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nsid w:val="7FF828B5"/>
    <w:multiLevelType w:val="hybridMultilevel"/>
    <w:tmpl w:val="67CC66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612"/>
    <w:rsid w:val="00010D81"/>
    <w:rsid w:val="00012588"/>
    <w:rsid w:val="000543CE"/>
    <w:rsid w:val="00054908"/>
    <w:rsid w:val="00056F01"/>
    <w:rsid w:val="000608A7"/>
    <w:rsid w:val="000631D6"/>
    <w:rsid w:val="0007250F"/>
    <w:rsid w:val="00091329"/>
    <w:rsid w:val="000962D7"/>
    <w:rsid w:val="000B6770"/>
    <w:rsid w:val="000D3DB3"/>
    <w:rsid w:val="000F5BF5"/>
    <w:rsid w:val="00107E71"/>
    <w:rsid w:val="00121277"/>
    <w:rsid w:val="00136A37"/>
    <w:rsid w:val="00147736"/>
    <w:rsid w:val="001565FC"/>
    <w:rsid w:val="0016625B"/>
    <w:rsid w:val="0018612E"/>
    <w:rsid w:val="001D7EFF"/>
    <w:rsid w:val="00216018"/>
    <w:rsid w:val="002443F7"/>
    <w:rsid w:val="0024665E"/>
    <w:rsid w:val="00260BFF"/>
    <w:rsid w:val="00263596"/>
    <w:rsid w:val="002955FA"/>
    <w:rsid w:val="002A79AE"/>
    <w:rsid w:val="002E2DEE"/>
    <w:rsid w:val="002F602D"/>
    <w:rsid w:val="00305422"/>
    <w:rsid w:val="00315921"/>
    <w:rsid w:val="00323557"/>
    <w:rsid w:val="003247B4"/>
    <w:rsid w:val="00331239"/>
    <w:rsid w:val="00336DFF"/>
    <w:rsid w:val="00370AFF"/>
    <w:rsid w:val="003A2699"/>
    <w:rsid w:val="003A7C53"/>
    <w:rsid w:val="003B41E8"/>
    <w:rsid w:val="003C65C1"/>
    <w:rsid w:val="003F23DB"/>
    <w:rsid w:val="0042002C"/>
    <w:rsid w:val="00452A70"/>
    <w:rsid w:val="0049328E"/>
    <w:rsid w:val="004943E0"/>
    <w:rsid w:val="004E2A7A"/>
    <w:rsid w:val="004F16DA"/>
    <w:rsid w:val="00503EB8"/>
    <w:rsid w:val="00533329"/>
    <w:rsid w:val="00534DC1"/>
    <w:rsid w:val="005556F9"/>
    <w:rsid w:val="00555A9E"/>
    <w:rsid w:val="0057468E"/>
    <w:rsid w:val="005C3473"/>
    <w:rsid w:val="005D3BA0"/>
    <w:rsid w:val="00601EDE"/>
    <w:rsid w:val="00616F6C"/>
    <w:rsid w:val="00642062"/>
    <w:rsid w:val="00663C81"/>
    <w:rsid w:val="00693A6B"/>
    <w:rsid w:val="006B3FA7"/>
    <w:rsid w:val="006D0DF9"/>
    <w:rsid w:val="006E1EFB"/>
    <w:rsid w:val="006E3B70"/>
    <w:rsid w:val="00706942"/>
    <w:rsid w:val="0077196D"/>
    <w:rsid w:val="007965BD"/>
    <w:rsid w:val="007A473B"/>
    <w:rsid w:val="007C72EB"/>
    <w:rsid w:val="00825BB1"/>
    <w:rsid w:val="00836A7D"/>
    <w:rsid w:val="008817D1"/>
    <w:rsid w:val="00887360"/>
    <w:rsid w:val="00890BE0"/>
    <w:rsid w:val="00891819"/>
    <w:rsid w:val="0089419A"/>
    <w:rsid w:val="00902F28"/>
    <w:rsid w:val="00906BB4"/>
    <w:rsid w:val="00951921"/>
    <w:rsid w:val="009573B9"/>
    <w:rsid w:val="00974BF7"/>
    <w:rsid w:val="009A2840"/>
    <w:rsid w:val="009D4810"/>
    <w:rsid w:val="00A12DB9"/>
    <w:rsid w:val="00A16F82"/>
    <w:rsid w:val="00A219AC"/>
    <w:rsid w:val="00A32644"/>
    <w:rsid w:val="00A36594"/>
    <w:rsid w:val="00A41214"/>
    <w:rsid w:val="00A46D72"/>
    <w:rsid w:val="00A840A9"/>
    <w:rsid w:val="00A860A4"/>
    <w:rsid w:val="00AA4B33"/>
    <w:rsid w:val="00AB2DA2"/>
    <w:rsid w:val="00AD0F97"/>
    <w:rsid w:val="00B072D9"/>
    <w:rsid w:val="00B3441A"/>
    <w:rsid w:val="00B51E4E"/>
    <w:rsid w:val="00B604BA"/>
    <w:rsid w:val="00B83EC1"/>
    <w:rsid w:val="00B87066"/>
    <w:rsid w:val="00BB31DE"/>
    <w:rsid w:val="00BB586E"/>
    <w:rsid w:val="00BD318D"/>
    <w:rsid w:val="00C00EE4"/>
    <w:rsid w:val="00C12615"/>
    <w:rsid w:val="00C324BC"/>
    <w:rsid w:val="00C83D46"/>
    <w:rsid w:val="00C91FD6"/>
    <w:rsid w:val="00CA7BD7"/>
    <w:rsid w:val="00CC7CF8"/>
    <w:rsid w:val="00CD67E8"/>
    <w:rsid w:val="00D074C7"/>
    <w:rsid w:val="00D24995"/>
    <w:rsid w:val="00D267D5"/>
    <w:rsid w:val="00D43BAB"/>
    <w:rsid w:val="00D67B96"/>
    <w:rsid w:val="00D75CF8"/>
    <w:rsid w:val="00DA4474"/>
    <w:rsid w:val="00DC0552"/>
    <w:rsid w:val="00DE07B5"/>
    <w:rsid w:val="00DE59F0"/>
    <w:rsid w:val="00E07A3A"/>
    <w:rsid w:val="00E17478"/>
    <w:rsid w:val="00E20058"/>
    <w:rsid w:val="00E57F79"/>
    <w:rsid w:val="00EA0BBE"/>
    <w:rsid w:val="00EB03BD"/>
    <w:rsid w:val="00EB07FD"/>
    <w:rsid w:val="00EB256F"/>
    <w:rsid w:val="00EB375C"/>
    <w:rsid w:val="00F17CF7"/>
    <w:rsid w:val="00F24A5E"/>
    <w:rsid w:val="00F33612"/>
    <w:rsid w:val="00F356AB"/>
    <w:rsid w:val="00F7509C"/>
    <w:rsid w:val="00F86FA8"/>
    <w:rsid w:val="00F926C2"/>
    <w:rsid w:val="00FE6A7C"/>
    <w:rsid w:val="00FF7E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61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3612"/>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7965BD"/>
    <w:pPr>
      <w:ind w:left="720"/>
      <w:contextualSpacing/>
    </w:pPr>
  </w:style>
  <w:style w:type="paragraph" w:styleId="Header">
    <w:name w:val="header"/>
    <w:basedOn w:val="Normal"/>
    <w:link w:val="HeaderChar"/>
    <w:uiPriority w:val="99"/>
    <w:unhideWhenUsed/>
    <w:rsid w:val="00BB586E"/>
    <w:pPr>
      <w:tabs>
        <w:tab w:val="center" w:pos="4513"/>
        <w:tab w:val="right" w:pos="9026"/>
      </w:tabs>
    </w:pPr>
  </w:style>
  <w:style w:type="character" w:customStyle="1" w:styleId="HeaderChar">
    <w:name w:val="Header Char"/>
    <w:basedOn w:val="DefaultParagraphFont"/>
    <w:link w:val="Header"/>
    <w:uiPriority w:val="99"/>
    <w:rsid w:val="00BB586E"/>
    <w:rPr>
      <w:rFonts w:ascii="Tahoma" w:eastAsia="Times New Roman" w:hAnsi="Tahoma" w:cs="Times New Roman"/>
      <w:sz w:val="24"/>
      <w:szCs w:val="24"/>
      <w:lang w:val="en-US"/>
    </w:rPr>
  </w:style>
  <w:style w:type="paragraph" w:styleId="Footer">
    <w:name w:val="footer"/>
    <w:basedOn w:val="Normal"/>
    <w:link w:val="FooterChar"/>
    <w:uiPriority w:val="99"/>
    <w:unhideWhenUsed/>
    <w:rsid w:val="00BB586E"/>
    <w:pPr>
      <w:tabs>
        <w:tab w:val="center" w:pos="4513"/>
        <w:tab w:val="right" w:pos="9026"/>
      </w:tabs>
    </w:pPr>
  </w:style>
  <w:style w:type="character" w:customStyle="1" w:styleId="FooterChar">
    <w:name w:val="Footer Char"/>
    <w:basedOn w:val="DefaultParagraphFont"/>
    <w:link w:val="Footer"/>
    <w:uiPriority w:val="99"/>
    <w:rsid w:val="00BB586E"/>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61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3612"/>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7965BD"/>
    <w:pPr>
      <w:ind w:left="720"/>
      <w:contextualSpacing/>
    </w:pPr>
  </w:style>
  <w:style w:type="paragraph" w:styleId="Header">
    <w:name w:val="header"/>
    <w:basedOn w:val="Normal"/>
    <w:link w:val="HeaderChar"/>
    <w:uiPriority w:val="99"/>
    <w:unhideWhenUsed/>
    <w:rsid w:val="00BB586E"/>
    <w:pPr>
      <w:tabs>
        <w:tab w:val="center" w:pos="4513"/>
        <w:tab w:val="right" w:pos="9026"/>
      </w:tabs>
    </w:pPr>
  </w:style>
  <w:style w:type="character" w:customStyle="1" w:styleId="HeaderChar">
    <w:name w:val="Header Char"/>
    <w:basedOn w:val="DefaultParagraphFont"/>
    <w:link w:val="Header"/>
    <w:uiPriority w:val="99"/>
    <w:rsid w:val="00BB586E"/>
    <w:rPr>
      <w:rFonts w:ascii="Tahoma" w:eastAsia="Times New Roman" w:hAnsi="Tahoma" w:cs="Times New Roman"/>
      <w:sz w:val="24"/>
      <w:szCs w:val="24"/>
      <w:lang w:val="en-US"/>
    </w:rPr>
  </w:style>
  <w:style w:type="paragraph" w:styleId="Footer">
    <w:name w:val="footer"/>
    <w:basedOn w:val="Normal"/>
    <w:link w:val="FooterChar"/>
    <w:uiPriority w:val="99"/>
    <w:unhideWhenUsed/>
    <w:rsid w:val="00BB586E"/>
    <w:pPr>
      <w:tabs>
        <w:tab w:val="center" w:pos="4513"/>
        <w:tab w:val="right" w:pos="9026"/>
      </w:tabs>
    </w:pPr>
  </w:style>
  <w:style w:type="character" w:customStyle="1" w:styleId="FooterChar">
    <w:name w:val="Footer Char"/>
    <w:basedOn w:val="DefaultParagraphFont"/>
    <w:link w:val="Footer"/>
    <w:uiPriority w:val="99"/>
    <w:rsid w:val="00BB586E"/>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20</cp:revision>
  <cp:lastPrinted>2016-05-12T14:20:00Z</cp:lastPrinted>
  <dcterms:created xsi:type="dcterms:W3CDTF">2016-05-12T10:19:00Z</dcterms:created>
  <dcterms:modified xsi:type="dcterms:W3CDTF">2016-06-02T12:43:00Z</dcterms:modified>
</cp:coreProperties>
</file>