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4A" w:rsidRDefault="00E73F4A">
      <w:pPr>
        <w:rPr>
          <w:b/>
        </w:rPr>
      </w:pPr>
      <w:bookmarkStart w:id="0" w:name="_GoBack"/>
      <w:bookmarkEnd w:id="0"/>
      <w:proofErr w:type="gramStart"/>
      <w:r>
        <w:rPr>
          <w:b/>
        </w:rPr>
        <w:t>IN TH</w:t>
      </w:r>
      <w:r w:rsidR="002841FB">
        <w:rPr>
          <w:b/>
        </w:rPr>
        <w:t>E LABOUR COURT OF ZIMBABWE     JUDG</w:t>
      </w:r>
      <w:r>
        <w:rPr>
          <w:b/>
        </w:rPr>
        <w:t>MENT NO.</w:t>
      </w:r>
      <w:proofErr w:type="gramEnd"/>
      <w:r>
        <w:rPr>
          <w:b/>
        </w:rPr>
        <w:t xml:space="preserve"> LC/H/</w:t>
      </w:r>
      <w:r w:rsidR="002841FB">
        <w:rPr>
          <w:b/>
        </w:rPr>
        <w:t>783</w:t>
      </w:r>
      <w:r>
        <w:rPr>
          <w:b/>
        </w:rPr>
        <w:t>/2014</w:t>
      </w:r>
    </w:p>
    <w:p w:rsidR="008B0062" w:rsidRDefault="00E73F4A">
      <w:pPr>
        <w:rPr>
          <w:b/>
        </w:rPr>
      </w:pPr>
      <w:r>
        <w:rPr>
          <w:b/>
        </w:rPr>
        <w:t>HARARE, 13</w:t>
      </w:r>
      <w:r w:rsidR="00922A2F">
        <w:rPr>
          <w:b/>
        </w:rPr>
        <w:t xml:space="preserve"> &amp; 21 NOVEM</w:t>
      </w:r>
      <w:r w:rsidR="0003534B">
        <w:rPr>
          <w:b/>
        </w:rPr>
        <w:t>B</w:t>
      </w:r>
      <w:r w:rsidR="00922A2F">
        <w:rPr>
          <w:b/>
        </w:rPr>
        <w:t>E</w:t>
      </w:r>
      <w:r w:rsidR="0003534B">
        <w:rPr>
          <w:b/>
        </w:rPr>
        <w:t xml:space="preserve">R 2014              </w:t>
      </w:r>
      <w:r w:rsidR="002C2711">
        <w:rPr>
          <w:b/>
        </w:rPr>
        <w:t>Case N0.</w:t>
      </w:r>
      <w:r w:rsidR="00CB1A9D">
        <w:rPr>
          <w:b/>
        </w:rPr>
        <w:t>LC/H/685/14</w:t>
      </w:r>
    </w:p>
    <w:p w:rsidR="0003534B" w:rsidRDefault="0003534B">
      <w:pPr>
        <w:rPr>
          <w:b/>
        </w:rPr>
      </w:pPr>
    </w:p>
    <w:p w:rsidR="00CB1A9D" w:rsidRDefault="00E73F4A">
      <w:r>
        <w:t>In the matter between</w:t>
      </w:r>
    </w:p>
    <w:p w:rsidR="00E73F4A" w:rsidRPr="00E73F4A" w:rsidRDefault="00E73F4A"/>
    <w:p w:rsidR="00CB1A9D" w:rsidRDefault="00CB1A9D">
      <w:pPr>
        <w:rPr>
          <w:b/>
        </w:rPr>
      </w:pPr>
      <w:r>
        <w:rPr>
          <w:b/>
        </w:rPr>
        <w:t>LINDA MUSEMWA AND 5 OTHERS</w:t>
      </w:r>
      <w:r w:rsidR="002D185A">
        <w:rPr>
          <w:b/>
        </w:rPr>
        <w:tab/>
      </w:r>
      <w:r w:rsidR="002D185A">
        <w:rPr>
          <w:b/>
        </w:rPr>
        <w:tab/>
      </w:r>
      <w:r w:rsidR="002D185A">
        <w:rPr>
          <w:b/>
        </w:rPr>
        <w:tab/>
        <w:t>Appellant</w:t>
      </w:r>
      <w:r>
        <w:rPr>
          <w:b/>
        </w:rPr>
        <w:t xml:space="preserve"> </w:t>
      </w:r>
    </w:p>
    <w:p w:rsidR="00CB1A9D" w:rsidRDefault="00E73F4A">
      <w:pPr>
        <w:rPr>
          <w:b/>
        </w:rPr>
      </w:pPr>
      <w:r>
        <w:t>And</w:t>
      </w:r>
    </w:p>
    <w:p w:rsidR="00CB1A9D" w:rsidRDefault="00CB1A9D">
      <w:pPr>
        <w:rPr>
          <w:b/>
        </w:rPr>
      </w:pPr>
      <w:r>
        <w:rPr>
          <w:b/>
        </w:rPr>
        <w:t>TN HARLEQUI</w:t>
      </w:r>
      <w:r w:rsidR="000C6F45">
        <w:rPr>
          <w:b/>
        </w:rPr>
        <w:t>N</w:t>
      </w:r>
      <w:r>
        <w:rPr>
          <w:b/>
        </w:rPr>
        <w:t xml:space="preserve"> LUXAIRE</w:t>
      </w:r>
      <w:r w:rsidR="002D185A">
        <w:rPr>
          <w:b/>
        </w:rPr>
        <w:tab/>
      </w:r>
      <w:r w:rsidR="002D185A">
        <w:rPr>
          <w:b/>
        </w:rPr>
        <w:tab/>
      </w:r>
      <w:r w:rsidR="002D185A">
        <w:rPr>
          <w:b/>
        </w:rPr>
        <w:tab/>
      </w:r>
      <w:r w:rsidR="002D185A">
        <w:rPr>
          <w:b/>
        </w:rPr>
        <w:tab/>
        <w:t>Respondent</w:t>
      </w:r>
      <w:r>
        <w:rPr>
          <w:b/>
        </w:rPr>
        <w:t xml:space="preserve"> </w:t>
      </w:r>
    </w:p>
    <w:p w:rsidR="002C2711" w:rsidRDefault="002C2711">
      <w:pPr>
        <w:rPr>
          <w:b/>
        </w:rPr>
      </w:pPr>
    </w:p>
    <w:p w:rsidR="002C2711" w:rsidRPr="002C2711" w:rsidRDefault="002C2711">
      <w:r>
        <w:t xml:space="preserve">Before The Honourable B.T </w:t>
      </w:r>
      <w:proofErr w:type="spellStart"/>
      <w:r>
        <w:t>Chivizhe</w:t>
      </w:r>
      <w:proofErr w:type="spellEnd"/>
      <w:r>
        <w:t>, Judge</w:t>
      </w:r>
    </w:p>
    <w:p w:rsidR="00CB1A9D" w:rsidRDefault="00E73F4A">
      <w:pPr>
        <w:rPr>
          <w:b/>
        </w:rPr>
      </w:pPr>
      <w:r>
        <w:rPr>
          <w:b/>
        </w:rPr>
        <w:t xml:space="preserve">For Appellant:  Mr M. </w:t>
      </w:r>
      <w:proofErr w:type="spellStart"/>
      <w:r>
        <w:rPr>
          <w:b/>
        </w:rPr>
        <w:t>Muzengeza</w:t>
      </w:r>
      <w:proofErr w:type="spellEnd"/>
      <w:r w:rsidR="0003534B">
        <w:rPr>
          <w:b/>
        </w:rPr>
        <w:t xml:space="preserve"> (Employee Representative)</w:t>
      </w:r>
    </w:p>
    <w:p w:rsidR="00E73F4A" w:rsidRDefault="00E73F4A">
      <w:pPr>
        <w:rPr>
          <w:b/>
        </w:rPr>
      </w:pPr>
      <w:r>
        <w:rPr>
          <w:b/>
        </w:rPr>
        <w:t xml:space="preserve">For Respondent: Mr D. </w:t>
      </w:r>
      <w:proofErr w:type="spellStart"/>
      <w:proofErr w:type="gramStart"/>
      <w:r>
        <w:rPr>
          <w:b/>
        </w:rPr>
        <w:t>Musengi</w:t>
      </w:r>
      <w:proofErr w:type="spellEnd"/>
      <w:r w:rsidR="002C2711">
        <w:rPr>
          <w:b/>
        </w:rPr>
        <w:t>(</w:t>
      </w:r>
      <w:proofErr w:type="gramEnd"/>
      <w:r w:rsidR="002C2711">
        <w:rPr>
          <w:b/>
        </w:rPr>
        <w:t>Legal Practitioner)</w:t>
      </w:r>
    </w:p>
    <w:p w:rsidR="002C2711" w:rsidRDefault="002C2711">
      <w:pPr>
        <w:rPr>
          <w:b/>
        </w:rPr>
      </w:pPr>
    </w:p>
    <w:p w:rsidR="00B60961" w:rsidRDefault="002C2711">
      <w:pPr>
        <w:rPr>
          <w:b/>
        </w:rPr>
      </w:pPr>
      <w:proofErr w:type="spellStart"/>
      <w:r>
        <w:rPr>
          <w:b/>
        </w:rPr>
        <w:t>Chivizhe</w:t>
      </w:r>
      <w:proofErr w:type="spellEnd"/>
      <w:r>
        <w:rPr>
          <w:b/>
        </w:rPr>
        <w:t>, J</w:t>
      </w:r>
      <w:r w:rsidR="00A358A0">
        <w:rPr>
          <w:b/>
        </w:rPr>
        <w:t>:</w:t>
      </w:r>
    </w:p>
    <w:p w:rsidR="00A358A0" w:rsidRDefault="00A358A0">
      <w:pPr>
        <w:rPr>
          <w:b/>
        </w:rPr>
      </w:pPr>
    </w:p>
    <w:p w:rsidR="00B60961" w:rsidRDefault="00B60961" w:rsidP="00B60961">
      <w:pPr>
        <w:spacing w:line="360" w:lineRule="auto"/>
        <w:ind w:firstLine="720"/>
      </w:pPr>
      <w:r w:rsidRPr="00B60961">
        <w:t>This is an appeal against an arbitral award handed down on the 18</w:t>
      </w:r>
      <w:r w:rsidRPr="00B60961">
        <w:rPr>
          <w:vertAlign w:val="superscript"/>
        </w:rPr>
        <w:t>th</w:t>
      </w:r>
      <w:r w:rsidRPr="00B60961">
        <w:t xml:space="preserve"> of July 2014.</w:t>
      </w:r>
    </w:p>
    <w:p w:rsidR="00B60961" w:rsidRDefault="00B60961" w:rsidP="00B60961">
      <w:pPr>
        <w:spacing w:before="240" w:line="360" w:lineRule="auto"/>
        <w:ind w:firstLine="720"/>
      </w:pPr>
      <w:r>
        <w:t xml:space="preserve">On the date of hearing the Respondent counsel took two points in </w:t>
      </w:r>
      <w:proofErr w:type="spellStart"/>
      <w:r>
        <w:rPr>
          <w:i/>
        </w:rPr>
        <w:t>limine</w:t>
      </w:r>
      <w:proofErr w:type="spellEnd"/>
      <w:r>
        <w:rPr>
          <w:i/>
        </w:rPr>
        <w:t xml:space="preserve">, </w:t>
      </w:r>
      <w:r>
        <w:t>firstly that the grounds of appeal are vague, embarrassing, incomprehensible and not meaningful. Secondly, the Respondent contended that the grounds of</w:t>
      </w:r>
      <w:r w:rsidR="00A358A0">
        <w:t xml:space="preserve"> appeal being based on factual</w:t>
      </w:r>
      <w:r>
        <w:t xml:space="preserve"> findings made by the Arbitrator were not competent grounds by the virtue of </w:t>
      </w:r>
      <w:r>
        <w:rPr>
          <w:b/>
        </w:rPr>
        <w:t xml:space="preserve">Section 98(10) </w:t>
      </w:r>
      <w:r>
        <w:t xml:space="preserve">of the </w:t>
      </w:r>
      <w:r>
        <w:rPr>
          <w:b/>
        </w:rPr>
        <w:t xml:space="preserve">Labour Act. </w:t>
      </w:r>
      <w:r>
        <w:t xml:space="preserve">Both points in </w:t>
      </w:r>
      <w:proofErr w:type="spellStart"/>
      <w:r>
        <w:rPr>
          <w:i/>
        </w:rPr>
        <w:t>limine</w:t>
      </w:r>
      <w:proofErr w:type="spellEnd"/>
      <w:r>
        <w:t xml:space="preserve"> were vigorously opposed by the Appellant Representative.</w:t>
      </w:r>
    </w:p>
    <w:p w:rsidR="00B60961" w:rsidRDefault="00B60961" w:rsidP="00B60961">
      <w:pPr>
        <w:spacing w:before="240" w:line="360" w:lineRule="auto"/>
        <w:ind w:firstLine="720"/>
      </w:pPr>
      <w:r>
        <w:rPr>
          <w:b/>
        </w:rPr>
        <w:lastRenderedPageBreak/>
        <w:t xml:space="preserve">Section 98(10) </w:t>
      </w:r>
      <w:r>
        <w:t xml:space="preserve">of the </w:t>
      </w:r>
      <w:r>
        <w:rPr>
          <w:b/>
        </w:rPr>
        <w:t xml:space="preserve">Labour Act [Cap 28:01] </w:t>
      </w:r>
      <w:r>
        <w:t xml:space="preserve">provides as follows; </w:t>
      </w:r>
    </w:p>
    <w:p w:rsidR="00B60961" w:rsidRPr="00B97BEA" w:rsidRDefault="00B97BEA" w:rsidP="00B97BEA">
      <w:pPr>
        <w:spacing w:before="240" w:line="276" w:lineRule="auto"/>
        <w:ind w:left="720"/>
        <w:rPr>
          <w:sz w:val="22"/>
          <w:szCs w:val="22"/>
        </w:rPr>
      </w:pPr>
      <w:r w:rsidRPr="00B97BEA">
        <w:rPr>
          <w:sz w:val="22"/>
          <w:szCs w:val="22"/>
        </w:rPr>
        <w:t>“(10) An appeal on a question of law shall lie to the Labour Court from any decision of an arbitrator appointed in terms of this section.”</w:t>
      </w:r>
    </w:p>
    <w:p w:rsidR="00FD2B3D" w:rsidRDefault="00FD2B3D" w:rsidP="00B60961">
      <w:pPr>
        <w:spacing w:before="240" w:line="360" w:lineRule="auto"/>
        <w:ind w:firstLine="720"/>
      </w:pPr>
      <w:r>
        <w:t xml:space="preserve">Clearly therefore before this court is seized with an appeal under </w:t>
      </w:r>
      <w:r w:rsidRPr="00FD2B3D">
        <w:rPr>
          <w:b/>
        </w:rPr>
        <w:t>Section 98(10)</w:t>
      </w:r>
      <w:r>
        <w:t xml:space="preserve"> of the Act the court ought to address the aspect as to whether or</w:t>
      </w:r>
      <w:r w:rsidR="00A358A0">
        <w:t xml:space="preserve"> not</w:t>
      </w:r>
      <w:r>
        <w:t xml:space="preserve"> the appeal raises ‘questions of law’.</w:t>
      </w:r>
    </w:p>
    <w:p w:rsidR="00FD2B3D" w:rsidRDefault="00FD2B3D" w:rsidP="00FD2B3D">
      <w:pPr>
        <w:spacing w:before="240" w:line="360" w:lineRule="auto"/>
        <w:ind w:firstLine="720"/>
      </w:pPr>
      <w:r>
        <w:t xml:space="preserve">The term ‘question of Law’ </w:t>
      </w:r>
      <w:proofErr w:type="gramStart"/>
      <w:r>
        <w:t>itself</w:t>
      </w:r>
      <w:proofErr w:type="gramEnd"/>
      <w:r>
        <w:t xml:space="preserve"> has been discussed in a plethora of decisions from the Supreme Court. The leading decision however is </w:t>
      </w:r>
      <w:proofErr w:type="spellStart"/>
      <w:r>
        <w:rPr>
          <w:b/>
        </w:rPr>
        <w:t>Muzuva</w:t>
      </w:r>
      <w:proofErr w:type="spellEnd"/>
      <w:r w:rsidR="0003534B">
        <w:rPr>
          <w:b/>
        </w:rPr>
        <w:t xml:space="preserve"> </w:t>
      </w:r>
      <w:proofErr w:type="spellStart"/>
      <w:r>
        <w:rPr>
          <w:b/>
        </w:rPr>
        <w:t>vs</w:t>
      </w:r>
      <w:proofErr w:type="spellEnd"/>
      <w:r>
        <w:rPr>
          <w:b/>
        </w:rPr>
        <w:t xml:space="preserve"> United Bottlers (Private) Limited 1994 (1) ZLR 217 (5) </w:t>
      </w:r>
      <w:r>
        <w:t>where the term ‘question of law’ was defined in three classific</w:t>
      </w:r>
      <w:r w:rsidR="00A358A0">
        <w:t>ation. The term was defined</w:t>
      </w:r>
      <w:r>
        <w:t xml:space="preserve"> to mean either </w:t>
      </w:r>
    </w:p>
    <w:p w:rsidR="00FD2B3D" w:rsidRDefault="00A358A0" w:rsidP="00FD2B3D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 question which the law itself has automatically answered to the exclusion of the right of court to answer as it thinks fit in accordance </w:t>
      </w:r>
      <w:r w:rsidR="0003534B">
        <w:t>with what is considered</w:t>
      </w:r>
      <w:r>
        <w:t xml:space="preserve"> to be the truth and justice of the matter.</w:t>
      </w:r>
    </w:p>
    <w:p w:rsidR="00FD2B3D" w:rsidRDefault="00A358A0" w:rsidP="00FD2B3D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 A question as to what the law is - the question for argument and determination is </w:t>
      </w:r>
      <w:proofErr w:type="gramStart"/>
      <w:r>
        <w:t>what is the true rule of law on a certain matter</w:t>
      </w:r>
      <w:proofErr w:type="gramEnd"/>
      <w:r>
        <w:t>.</w:t>
      </w:r>
    </w:p>
    <w:p w:rsidR="00147231" w:rsidRDefault="00A358A0" w:rsidP="00147231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 A question which is within the province of the judge instead of the jury.</w:t>
      </w:r>
    </w:p>
    <w:p w:rsidR="008C0AC2" w:rsidRDefault="00147231" w:rsidP="00147231">
      <w:pPr>
        <w:spacing w:before="240" w:line="360" w:lineRule="auto"/>
        <w:ind w:firstLine="720"/>
      </w:pPr>
      <w:r>
        <w:t xml:space="preserve">Further down the line the Supreme Court expanded the meaning of ‘question of law’ in </w:t>
      </w:r>
      <w:r>
        <w:rPr>
          <w:b/>
        </w:rPr>
        <w:t>Nation</w:t>
      </w:r>
      <w:r w:rsidR="008C0AC2">
        <w:rPr>
          <w:b/>
        </w:rPr>
        <w:t xml:space="preserve">al Foods Limited </w:t>
      </w:r>
      <w:proofErr w:type="spellStart"/>
      <w:r w:rsidR="008C0AC2">
        <w:rPr>
          <w:b/>
        </w:rPr>
        <w:t>Vs</w:t>
      </w:r>
      <w:proofErr w:type="spellEnd"/>
      <w:r w:rsidR="008C0AC2">
        <w:rPr>
          <w:b/>
        </w:rPr>
        <w:t xml:space="preserve"> Stewart </w:t>
      </w:r>
      <w:proofErr w:type="spellStart"/>
      <w:r w:rsidR="008C0AC2">
        <w:rPr>
          <w:b/>
        </w:rPr>
        <w:t>Mug</w:t>
      </w:r>
      <w:r>
        <w:rPr>
          <w:b/>
        </w:rPr>
        <w:t>adze</w:t>
      </w:r>
      <w:proofErr w:type="spellEnd"/>
      <w:r>
        <w:rPr>
          <w:b/>
        </w:rPr>
        <w:t xml:space="preserve"> SC 105/95</w:t>
      </w:r>
      <w:r w:rsidR="00A358A0">
        <w:rPr>
          <w:b/>
        </w:rPr>
        <w:t xml:space="preserve">. </w:t>
      </w:r>
      <w:r w:rsidR="00A358A0">
        <w:t>T</w:t>
      </w:r>
      <w:r w:rsidR="008C0AC2">
        <w:t>he court laid down the principle that a serious misdirection on the facts can amount to misdirection in law.</w:t>
      </w:r>
    </w:p>
    <w:p w:rsidR="008C0AC2" w:rsidRDefault="008C0AC2" w:rsidP="00147231">
      <w:pPr>
        <w:spacing w:before="240" w:line="360" w:lineRule="auto"/>
        <w:ind w:firstLine="720"/>
      </w:pPr>
      <w:r>
        <w:lastRenderedPageBreak/>
        <w:t xml:space="preserve">Finally in </w:t>
      </w:r>
      <w:r>
        <w:rPr>
          <w:b/>
        </w:rPr>
        <w:t xml:space="preserve">Reserve Bank of Zimbabwe </w:t>
      </w:r>
      <w:proofErr w:type="spellStart"/>
      <w:r>
        <w:rPr>
          <w:b/>
        </w:rPr>
        <w:t>Vs</w:t>
      </w:r>
      <w:proofErr w:type="spellEnd"/>
      <w:r>
        <w:rPr>
          <w:b/>
        </w:rPr>
        <w:t xml:space="preserve"> (i) Corrine Granger (ii) Martha </w:t>
      </w:r>
      <w:proofErr w:type="spellStart"/>
      <w:r>
        <w:rPr>
          <w:b/>
        </w:rPr>
        <w:t>Mataruka</w:t>
      </w:r>
      <w:proofErr w:type="spellEnd"/>
      <w:r>
        <w:rPr>
          <w:b/>
        </w:rPr>
        <w:t xml:space="preserve"> SC 34/2001 </w:t>
      </w:r>
      <w:r w:rsidR="00A358A0">
        <w:t>the</w:t>
      </w:r>
      <w:r>
        <w:t xml:space="preserve"> Supreme Court defined the term to include a ‘misdirection on the facts which is so unreasonable that no sensible person who applied his mind to the facts would</w:t>
      </w:r>
      <w:r w:rsidR="0003534B">
        <w:t xml:space="preserve"> </w:t>
      </w:r>
      <w:r>
        <w:t>have arrived at such a decision. In the same case a misdirection of fact</w:t>
      </w:r>
      <w:r w:rsidR="0003534B">
        <w:t>s</w:t>
      </w:r>
      <w:r>
        <w:t xml:space="preserve"> was said to be either a failure to appreciate a fact at all, or </w:t>
      </w:r>
      <w:r w:rsidR="00A358A0">
        <w:t xml:space="preserve">a </w:t>
      </w:r>
      <w:r>
        <w:t xml:space="preserve">finding of fact that is contrary to the evidence actually presented. I have deliberately gone to some length to define the term solely for the benefit of the Appellants who are self-actors and who may not be </w:t>
      </w:r>
      <w:r w:rsidR="00A358A0">
        <w:t xml:space="preserve">privy </w:t>
      </w:r>
      <w:r>
        <w:t>to the provisions of the law.</w:t>
      </w:r>
    </w:p>
    <w:p w:rsidR="001E1823" w:rsidRDefault="008C0AC2" w:rsidP="00147231">
      <w:pPr>
        <w:spacing w:before="240" w:line="360" w:lineRule="auto"/>
        <w:ind w:firstLine="720"/>
      </w:pPr>
      <w:r>
        <w:t>Applying any of the principle</w:t>
      </w:r>
      <w:r w:rsidR="00A358A0">
        <w:t>s</w:t>
      </w:r>
      <w:r>
        <w:t xml:space="preserve"> as outlined by the Supreme Court I am satisfied that</w:t>
      </w:r>
      <w:r w:rsidR="0003534B">
        <w:t xml:space="preserve"> </w:t>
      </w:r>
      <w:r>
        <w:t>the present appeal does not raise questions of law. A perusal of the</w:t>
      </w:r>
      <w:r w:rsidR="001E1823">
        <w:t xml:space="preserve"> purported grounds of appeal will show this clearly.</w:t>
      </w:r>
    </w:p>
    <w:p w:rsidR="001F6037" w:rsidRDefault="001E1823" w:rsidP="00147231">
      <w:pPr>
        <w:spacing w:before="240" w:line="360" w:lineRule="auto"/>
        <w:ind w:firstLine="720"/>
      </w:pPr>
      <w:r>
        <w:t xml:space="preserve">The appeal was noted on the </w:t>
      </w:r>
      <w:r w:rsidR="001F6037">
        <w:t>basis of the following grounds;</w:t>
      </w:r>
    </w:p>
    <w:p w:rsidR="001F6037" w:rsidRDefault="001F6037" w:rsidP="001F6037">
      <w:pPr>
        <w:pStyle w:val="ListParagraph"/>
        <w:numPr>
          <w:ilvl w:val="0"/>
          <w:numId w:val="3"/>
        </w:numPr>
        <w:spacing w:before="240" w:line="360" w:lineRule="auto"/>
      </w:pPr>
      <w:r>
        <w:t>The Arbitrator erred that the claimants were aware that the matter was being handled elsewhere.</w:t>
      </w:r>
    </w:p>
    <w:p w:rsidR="001F6037" w:rsidRDefault="001F6037" w:rsidP="001F6037">
      <w:pPr>
        <w:pStyle w:val="ListParagraph"/>
        <w:numPr>
          <w:ilvl w:val="0"/>
          <w:numId w:val="3"/>
        </w:numPr>
        <w:spacing w:before="240" w:line="360" w:lineRule="auto"/>
      </w:pPr>
      <w:r>
        <w:t>The Arbitrator erred that the claimants had sued the employer.</w:t>
      </w:r>
    </w:p>
    <w:p w:rsidR="001F6037" w:rsidRDefault="001F6037" w:rsidP="001F6037">
      <w:pPr>
        <w:pStyle w:val="ListParagraph"/>
        <w:numPr>
          <w:ilvl w:val="0"/>
          <w:numId w:val="3"/>
        </w:numPr>
        <w:spacing w:before="240" w:line="360" w:lineRule="auto"/>
      </w:pPr>
      <w:r>
        <w:t xml:space="preserve">The Arbitrator erred at law by dismissing the claim of unfair dismissal. </w:t>
      </w:r>
    </w:p>
    <w:p w:rsidR="001F6037" w:rsidRDefault="001F6037" w:rsidP="001F6037">
      <w:pPr>
        <w:pStyle w:val="ListParagraph"/>
        <w:numPr>
          <w:ilvl w:val="0"/>
          <w:numId w:val="3"/>
        </w:numPr>
        <w:spacing w:before="240" w:line="360" w:lineRule="auto"/>
      </w:pPr>
      <w:r>
        <w:t>The Arbitrator erred at law by not awarding claimants their outstanding salaries.</w:t>
      </w:r>
    </w:p>
    <w:p w:rsidR="003C347A" w:rsidRDefault="001F6037" w:rsidP="001F6037">
      <w:pPr>
        <w:spacing w:before="240" w:line="360" w:lineRule="auto"/>
        <w:ind w:firstLine="720"/>
      </w:pPr>
      <w:r>
        <w:t>It is clear that the grounds of appeal are premised on factual findings made by the Arbitrator</w:t>
      </w:r>
      <w:r w:rsidR="00576D6C">
        <w:t>, f</w:t>
      </w:r>
      <w:r>
        <w:t>or example</w:t>
      </w:r>
      <w:r w:rsidR="00A358A0">
        <w:t>,</w:t>
      </w:r>
      <w:r>
        <w:t xml:space="preserve"> ground number one</w:t>
      </w:r>
      <w:r w:rsidR="00576D6C">
        <w:t xml:space="preserve">. </w:t>
      </w:r>
      <w:proofErr w:type="gramStart"/>
      <w:r w:rsidR="00576D6C">
        <w:t>The issue as to whether the matter was being handled elsewhere or not is purely a factual issue.</w:t>
      </w:r>
      <w:proofErr w:type="gramEnd"/>
      <w:r w:rsidR="00576D6C">
        <w:t xml:space="preserve"> In ground </w:t>
      </w:r>
      <w:r w:rsidR="00576D6C">
        <w:lastRenderedPageBreak/>
        <w:t>number two the Arbitrator having in his award noted</w:t>
      </w:r>
      <w:r w:rsidR="0003534B">
        <w:t xml:space="preserve"> that</w:t>
      </w:r>
      <w:r w:rsidR="00576D6C">
        <w:t xml:space="preserve"> the Appellants were suing the Resp</w:t>
      </w:r>
      <w:r w:rsidR="00277272">
        <w:t>ondent the Appellants challenge that finding. The</w:t>
      </w:r>
      <w:r w:rsidR="00576D6C">
        <w:t xml:space="preserve"> finding that</w:t>
      </w:r>
      <w:r w:rsidR="00277272">
        <w:t xml:space="preserve"> the</w:t>
      </w:r>
      <w:r w:rsidR="00576D6C">
        <w:t xml:space="preserve"> Appellant had sued or were suing Respondent is purely a factual issue that one cannot appeal against in the Labour Court. The next ground although underpinned by reference to ‘erred in law’ also does not </w:t>
      </w:r>
      <w:r w:rsidR="003C347A">
        <w:t>raise a question of law. The Appellant should have proceeded to indicate clearly how the A</w:t>
      </w:r>
      <w:r w:rsidR="00277272">
        <w:t>rbitrator misdirected himself in</w:t>
      </w:r>
      <w:r w:rsidR="003C347A">
        <w:t xml:space="preserve"> law in reaching the conclusion that the Appellants were fairly dismissed. The last ground once again despite reference to ‘erred at law’ does not raise a point of law.</w:t>
      </w:r>
    </w:p>
    <w:p w:rsidR="00DA2F30" w:rsidRDefault="003C347A" w:rsidP="00685097">
      <w:pPr>
        <w:spacing w:before="240" w:line="360" w:lineRule="auto"/>
        <w:ind w:firstLine="720"/>
      </w:pPr>
      <w:r>
        <w:t>The Appellants Represent</w:t>
      </w:r>
      <w:r w:rsidR="00277272">
        <w:t>ative</w:t>
      </w:r>
      <w:r>
        <w:t xml:space="preserve"> opposed vigorously bo</w:t>
      </w:r>
      <w:r w:rsidR="002D185A">
        <w:t>t</w:t>
      </w:r>
      <w:r>
        <w:t xml:space="preserve">h point in </w:t>
      </w:r>
      <w:proofErr w:type="spellStart"/>
      <w:r>
        <w:rPr>
          <w:i/>
        </w:rPr>
        <w:t>limine</w:t>
      </w:r>
      <w:proofErr w:type="spellEnd"/>
      <w:r>
        <w:t xml:space="preserve">. </w:t>
      </w:r>
      <w:r w:rsidR="0003534B">
        <w:t>T</w:t>
      </w:r>
      <w:r>
        <w:t xml:space="preserve">he bottom line </w:t>
      </w:r>
      <w:r w:rsidR="0003534B">
        <w:t xml:space="preserve">however </w:t>
      </w:r>
      <w:r>
        <w:t>is whether the appeal placed before the Labour Court is</w:t>
      </w:r>
      <w:r w:rsidR="0003534B">
        <w:t xml:space="preserve"> a</w:t>
      </w:r>
      <w:r>
        <w:t xml:space="preserve"> premised on </w:t>
      </w:r>
      <w:r w:rsidR="00D11051">
        <w:t xml:space="preserve">a </w:t>
      </w:r>
      <w:r>
        <w:t>question</w:t>
      </w:r>
      <w:r w:rsidR="00277272">
        <w:t xml:space="preserve"> of law or not. This is important</w:t>
      </w:r>
      <w:r>
        <w:t xml:space="preserve"> because in terms of</w:t>
      </w:r>
      <w:r w:rsidR="002D185A">
        <w:t xml:space="preserve"> </w:t>
      </w:r>
      <w:r w:rsidR="00B075F1">
        <w:rPr>
          <w:b/>
        </w:rPr>
        <w:t xml:space="preserve">Section 98(10) </w:t>
      </w:r>
      <w:r w:rsidR="00B075F1">
        <w:t xml:space="preserve">of the </w:t>
      </w:r>
      <w:r w:rsidR="00B075F1" w:rsidRPr="00B075F1">
        <w:rPr>
          <w:b/>
        </w:rPr>
        <w:t>Labour Act</w:t>
      </w:r>
      <w:r w:rsidR="0003534B">
        <w:rPr>
          <w:b/>
        </w:rPr>
        <w:t xml:space="preserve"> </w:t>
      </w:r>
      <w:r w:rsidR="00B075F1">
        <w:rPr>
          <w:b/>
        </w:rPr>
        <w:t xml:space="preserve">[Cap 28:01] </w:t>
      </w:r>
      <w:r w:rsidR="00B075F1">
        <w:t>appeals to the Labour Court from Arbitral</w:t>
      </w:r>
      <w:r w:rsidR="00277272">
        <w:t xml:space="preserve"> awards have to be on points</w:t>
      </w:r>
      <w:r w:rsidR="00B075F1">
        <w:t xml:space="preserve"> of law. The court was also aptly referred to </w:t>
      </w:r>
      <w:r w:rsidR="00277272">
        <w:t xml:space="preserve">the </w:t>
      </w:r>
      <w:r w:rsidR="00B075F1">
        <w:t xml:space="preserve">decision in </w:t>
      </w:r>
      <w:r w:rsidR="00B97BEA" w:rsidRPr="0003534B">
        <w:rPr>
          <w:b/>
        </w:rPr>
        <w:t xml:space="preserve">L. </w:t>
      </w:r>
      <w:proofErr w:type="spellStart"/>
      <w:r w:rsidR="00B97BEA" w:rsidRPr="0003534B">
        <w:rPr>
          <w:b/>
        </w:rPr>
        <w:t>Jeche</w:t>
      </w:r>
      <w:proofErr w:type="spellEnd"/>
      <w:r w:rsidR="00B97BEA" w:rsidRPr="0003534B">
        <w:rPr>
          <w:b/>
        </w:rPr>
        <w:t xml:space="preserve"> and </w:t>
      </w:r>
      <w:proofErr w:type="spellStart"/>
      <w:r w:rsidR="00B97BEA" w:rsidRPr="0003534B">
        <w:rPr>
          <w:b/>
        </w:rPr>
        <w:t>Ors</w:t>
      </w:r>
      <w:proofErr w:type="spellEnd"/>
      <w:r w:rsidR="00B97BEA" w:rsidRPr="0003534B">
        <w:rPr>
          <w:b/>
        </w:rPr>
        <w:t xml:space="preserve"> </w:t>
      </w:r>
      <w:proofErr w:type="spellStart"/>
      <w:r w:rsidR="00B97BEA" w:rsidRPr="0003534B">
        <w:rPr>
          <w:b/>
        </w:rPr>
        <w:t>vs</w:t>
      </w:r>
      <w:proofErr w:type="spellEnd"/>
      <w:r w:rsidR="00B97BEA" w:rsidRPr="0003534B">
        <w:rPr>
          <w:b/>
        </w:rPr>
        <w:t xml:space="preserve"> ZUPCO LC/H/739/13</w:t>
      </w:r>
      <w:r w:rsidR="00B075F1">
        <w:t xml:space="preserve"> where this court came to </w:t>
      </w:r>
      <w:r w:rsidR="00B97BEA">
        <w:t>a similar</w:t>
      </w:r>
      <w:r w:rsidR="00B075F1">
        <w:t xml:space="preserve"> conclusion.</w:t>
      </w:r>
      <w:r w:rsidR="00277272">
        <w:t xml:space="preserve"> I am satisfied that</w:t>
      </w:r>
      <w:r w:rsidR="00685097">
        <w:t xml:space="preserve"> the present appeal</w:t>
      </w:r>
      <w:r w:rsidR="0003534B">
        <w:t>,</w:t>
      </w:r>
      <w:r w:rsidR="00685097">
        <w:t xml:space="preserve"> not being on points of law as required under </w:t>
      </w:r>
      <w:r w:rsidR="0003534B">
        <w:rPr>
          <w:b/>
        </w:rPr>
        <w:t>Section 98 (10),</w:t>
      </w:r>
      <w:r w:rsidR="00685097">
        <w:rPr>
          <w:b/>
        </w:rPr>
        <w:t xml:space="preserve"> </w:t>
      </w:r>
      <w:r w:rsidR="00B075F1">
        <w:t xml:space="preserve">clearly stands to be dismissed as I hereby do.  </w:t>
      </w:r>
    </w:p>
    <w:p w:rsidR="00B97BEA" w:rsidRPr="00685097" w:rsidRDefault="00B97BEA" w:rsidP="00B97BEA">
      <w:pPr>
        <w:spacing w:before="240" w:line="360" w:lineRule="auto"/>
        <w:rPr>
          <w:b/>
        </w:rPr>
      </w:pPr>
    </w:p>
    <w:p w:rsidR="00B60961" w:rsidRDefault="00B60961" w:rsidP="002D185A">
      <w:pPr>
        <w:spacing w:before="240" w:line="360" w:lineRule="auto"/>
      </w:pPr>
    </w:p>
    <w:p w:rsidR="002D185A" w:rsidRPr="00B60961" w:rsidRDefault="002D185A" w:rsidP="002D185A">
      <w:pPr>
        <w:spacing w:before="240" w:line="360" w:lineRule="auto"/>
      </w:pPr>
      <w:r w:rsidRPr="002D185A">
        <w:rPr>
          <w:b/>
          <w:i/>
        </w:rPr>
        <w:t>MUSENGI &amp; SIGAUKE</w:t>
      </w:r>
      <w:r>
        <w:t>, Respondent’s legal practitioners</w:t>
      </w:r>
    </w:p>
    <w:p w:rsidR="00B60961" w:rsidRPr="00CB1A9D" w:rsidRDefault="00B60961">
      <w:pPr>
        <w:rPr>
          <w:b/>
        </w:rPr>
      </w:pPr>
      <w:r>
        <w:rPr>
          <w:b/>
        </w:rPr>
        <w:tab/>
      </w:r>
    </w:p>
    <w:sectPr w:rsidR="00B60961" w:rsidRPr="00CB1A9D" w:rsidSect="00194110">
      <w:headerReference w:type="default" r:id="rId9"/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2F" w:rsidRDefault="0045572F" w:rsidP="00367510">
      <w:pPr>
        <w:spacing w:line="240" w:lineRule="auto"/>
      </w:pPr>
      <w:r>
        <w:separator/>
      </w:r>
    </w:p>
  </w:endnote>
  <w:endnote w:type="continuationSeparator" w:id="0">
    <w:p w:rsidR="0045572F" w:rsidRDefault="0045572F" w:rsidP="00367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901"/>
      <w:docPartObj>
        <w:docPartGallery w:val="Page Numbers (Bottom of Page)"/>
        <w:docPartUnique/>
      </w:docPartObj>
    </w:sdtPr>
    <w:sdtEndPr/>
    <w:sdtContent>
      <w:p w:rsidR="00194110" w:rsidRDefault="00455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6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41FB" w:rsidRDefault="002841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0" w:rsidRDefault="00194110">
    <w:pPr>
      <w:pStyle w:val="Footer"/>
      <w:jc w:val="center"/>
    </w:pPr>
  </w:p>
  <w:p w:rsidR="002841FB" w:rsidRDefault="00284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2F" w:rsidRDefault="0045572F" w:rsidP="00367510">
      <w:pPr>
        <w:spacing w:line="240" w:lineRule="auto"/>
      </w:pPr>
      <w:r>
        <w:separator/>
      </w:r>
    </w:p>
  </w:footnote>
  <w:footnote w:type="continuationSeparator" w:id="0">
    <w:p w:rsidR="0045572F" w:rsidRDefault="0045572F" w:rsidP="00367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0" w:rsidRDefault="00194110">
    <w:pPr>
      <w:pStyle w:val="Header"/>
    </w:pPr>
    <w:r>
      <w:rPr>
        <w:b/>
      </w:rPr>
      <w:tab/>
    </w:r>
    <w:r>
      <w:rPr>
        <w:b/>
      </w:rPr>
      <w:tab/>
      <w:t xml:space="preserve">       JUDGMENT NO. LC/H/783/2014</w:t>
    </w:r>
  </w:p>
  <w:p w:rsidR="002841FB" w:rsidRPr="002841FB" w:rsidRDefault="002841FB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1992"/>
    <w:multiLevelType w:val="hybridMultilevel"/>
    <w:tmpl w:val="61882236"/>
    <w:lvl w:ilvl="0" w:tplc="E98C2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D86EEE"/>
    <w:multiLevelType w:val="hybridMultilevel"/>
    <w:tmpl w:val="158853DA"/>
    <w:lvl w:ilvl="0" w:tplc="FFDEB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BD3C50"/>
    <w:multiLevelType w:val="hybridMultilevel"/>
    <w:tmpl w:val="F5B4B458"/>
    <w:lvl w:ilvl="0" w:tplc="1C5EC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D"/>
    <w:rsid w:val="0003534B"/>
    <w:rsid w:val="000C6F45"/>
    <w:rsid w:val="00147231"/>
    <w:rsid w:val="00194110"/>
    <w:rsid w:val="001E1823"/>
    <w:rsid w:val="001F6037"/>
    <w:rsid w:val="00277272"/>
    <w:rsid w:val="002841FB"/>
    <w:rsid w:val="002C2711"/>
    <w:rsid w:val="002D185A"/>
    <w:rsid w:val="00367510"/>
    <w:rsid w:val="003C347A"/>
    <w:rsid w:val="00425652"/>
    <w:rsid w:val="0045572F"/>
    <w:rsid w:val="00554A70"/>
    <w:rsid w:val="00576D6C"/>
    <w:rsid w:val="00622C26"/>
    <w:rsid w:val="006404AB"/>
    <w:rsid w:val="00685097"/>
    <w:rsid w:val="00784E7D"/>
    <w:rsid w:val="008B0062"/>
    <w:rsid w:val="008C0AC2"/>
    <w:rsid w:val="00922A2F"/>
    <w:rsid w:val="009256F9"/>
    <w:rsid w:val="00A358A0"/>
    <w:rsid w:val="00AD7AE6"/>
    <w:rsid w:val="00B075F1"/>
    <w:rsid w:val="00B60961"/>
    <w:rsid w:val="00B97BEA"/>
    <w:rsid w:val="00BB40C6"/>
    <w:rsid w:val="00BF0F22"/>
    <w:rsid w:val="00C70084"/>
    <w:rsid w:val="00CB1A9D"/>
    <w:rsid w:val="00D11051"/>
    <w:rsid w:val="00D22A6B"/>
    <w:rsid w:val="00DA2849"/>
    <w:rsid w:val="00DA2F30"/>
    <w:rsid w:val="00DC4A27"/>
    <w:rsid w:val="00DF1987"/>
    <w:rsid w:val="00E22788"/>
    <w:rsid w:val="00E73F4A"/>
    <w:rsid w:val="00FD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A9D"/>
    <w:pPr>
      <w:spacing w:line="480" w:lineRule="auto"/>
      <w:jc w:val="both"/>
    </w:pPr>
    <w:rPr>
      <w:rFonts w:ascii="Courier New" w:hAnsi="Courier New"/>
      <w:sz w:val="26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675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10"/>
    <w:rPr>
      <w:rFonts w:ascii="Courier New" w:hAnsi="Courier New"/>
      <w:sz w:val="26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675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10"/>
    <w:rPr>
      <w:rFonts w:ascii="Courier New" w:hAnsi="Courier New"/>
      <w:sz w:val="26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1941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110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A9D"/>
    <w:pPr>
      <w:spacing w:line="480" w:lineRule="auto"/>
      <w:jc w:val="both"/>
    </w:pPr>
    <w:rPr>
      <w:rFonts w:ascii="Courier New" w:hAnsi="Courier New"/>
      <w:sz w:val="26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675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10"/>
    <w:rPr>
      <w:rFonts w:ascii="Courier New" w:hAnsi="Courier New"/>
      <w:sz w:val="26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675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10"/>
    <w:rPr>
      <w:rFonts w:ascii="Courier New" w:hAnsi="Courier New"/>
      <w:sz w:val="26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1941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11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2308-8253-4DDF-8691-CA29CD5B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M Chivizhe</dc:creator>
  <cp:lastModifiedBy>HP</cp:lastModifiedBy>
  <cp:revision>2</cp:revision>
  <cp:lastPrinted>2014-11-20T10:48:00Z</cp:lastPrinted>
  <dcterms:created xsi:type="dcterms:W3CDTF">2017-04-06T09:52:00Z</dcterms:created>
  <dcterms:modified xsi:type="dcterms:W3CDTF">2017-04-06T09:52:00Z</dcterms:modified>
</cp:coreProperties>
</file>