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78" w:rsidRPr="00592BCC" w:rsidRDefault="00592BCC" w:rsidP="00E543D4">
      <w:pPr>
        <w:spacing w:after="0" w:line="240" w:lineRule="auto"/>
        <w:jc w:val="both"/>
        <w:rPr>
          <w:rFonts w:ascii="Times New Roman" w:eastAsia="Times New Roman" w:hAnsi="Times New Roman" w:cs="Times New Roman"/>
          <w:b/>
          <w:sz w:val="24"/>
          <w:szCs w:val="24"/>
          <w:lang w:val="en-GB"/>
        </w:rPr>
      </w:pPr>
      <w:bookmarkStart w:id="0" w:name="_GoBack"/>
      <w:bookmarkEnd w:id="0"/>
      <w:r w:rsidRPr="00592BCC">
        <w:rPr>
          <w:rFonts w:ascii="Times New Roman" w:eastAsia="Times New Roman" w:hAnsi="Times New Roman" w:cs="Times New Roman"/>
          <w:b/>
          <w:sz w:val="24"/>
          <w:szCs w:val="24"/>
          <w:u w:val="single"/>
          <w:lang w:val="en-GB"/>
        </w:rPr>
        <w:t>DISTRIBUTABLE</w:t>
      </w:r>
      <w:r w:rsidRPr="00592BCC">
        <w:rPr>
          <w:rFonts w:ascii="Times New Roman" w:eastAsia="Times New Roman" w:hAnsi="Times New Roman" w:cs="Times New Roman"/>
          <w:b/>
          <w:sz w:val="24"/>
          <w:szCs w:val="24"/>
          <w:lang w:val="en-GB"/>
        </w:rPr>
        <w:tab/>
        <w:t>(</w:t>
      </w:r>
      <w:r w:rsidR="00765CE0">
        <w:rPr>
          <w:rFonts w:ascii="Times New Roman" w:eastAsia="Times New Roman" w:hAnsi="Times New Roman" w:cs="Times New Roman"/>
          <w:b/>
          <w:sz w:val="24"/>
          <w:szCs w:val="24"/>
          <w:lang w:val="en-GB"/>
        </w:rPr>
        <w:t>69</w:t>
      </w:r>
      <w:r w:rsidRPr="00592BCC">
        <w:rPr>
          <w:rFonts w:ascii="Times New Roman" w:eastAsia="Times New Roman" w:hAnsi="Times New Roman" w:cs="Times New Roman"/>
          <w:b/>
          <w:sz w:val="24"/>
          <w:szCs w:val="24"/>
          <w:lang w:val="en-GB"/>
        </w:rPr>
        <w:t>)</w:t>
      </w:r>
    </w:p>
    <w:p w:rsidR="007E7D8C" w:rsidRDefault="008B6C78" w:rsidP="00E543D4">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005538">
        <w:rPr>
          <w:rFonts w:ascii="Times New Roman" w:eastAsia="Times New Roman" w:hAnsi="Times New Roman" w:cs="Times New Roman"/>
          <w:b/>
          <w:sz w:val="24"/>
          <w:szCs w:val="24"/>
          <w:lang w:val="en-GB"/>
        </w:rPr>
        <w:t xml:space="preserve">                      </w:t>
      </w:r>
    </w:p>
    <w:p w:rsidR="007E7D8C" w:rsidRDefault="007E7D8C" w:rsidP="00E543D4">
      <w:pPr>
        <w:spacing w:after="0" w:line="240" w:lineRule="auto"/>
        <w:jc w:val="both"/>
        <w:rPr>
          <w:rFonts w:ascii="Times New Roman" w:eastAsia="Times New Roman" w:hAnsi="Times New Roman" w:cs="Times New Roman"/>
          <w:b/>
          <w:sz w:val="24"/>
          <w:szCs w:val="24"/>
          <w:lang w:val="en-GB"/>
        </w:rPr>
      </w:pPr>
    </w:p>
    <w:p w:rsidR="007E7D8C" w:rsidRDefault="007E7D8C" w:rsidP="00E543D4">
      <w:pPr>
        <w:spacing w:after="0" w:line="240" w:lineRule="auto"/>
        <w:jc w:val="both"/>
        <w:rPr>
          <w:rFonts w:ascii="Times New Roman" w:eastAsia="Times New Roman" w:hAnsi="Times New Roman" w:cs="Times New Roman"/>
          <w:b/>
          <w:sz w:val="24"/>
          <w:szCs w:val="24"/>
          <w:lang w:val="en-GB"/>
        </w:rPr>
      </w:pPr>
    </w:p>
    <w:p w:rsidR="008B6C78" w:rsidRDefault="00005538" w:rsidP="007E7D8C">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LINDA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KATSANDE</w:t>
      </w:r>
    </w:p>
    <w:p w:rsidR="008B6C78" w:rsidRDefault="007E7D8C" w:rsidP="007E7D8C">
      <w:pPr>
        <w:spacing w:after="0" w:line="240" w:lineRule="auto"/>
        <w:jc w:val="center"/>
        <w:rPr>
          <w:rFonts w:ascii="Times New Roman" w:eastAsia="Times New Roman" w:hAnsi="Times New Roman" w:cs="Times New Roman"/>
          <w:b/>
          <w:sz w:val="24"/>
          <w:szCs w:val="24"/>
          <w:lang w:val="en-GB"/>
        </w:rPr>
      </w:pPr>
      <w:proofErr w:type="gramStart"/>
      <w:r>
        <w:rPr>
          <w:rFonts w:ascii="Times New Roman" w:eastAsia="Times New Roman" w:hAnsi="Times New Roman" w:cs="Times New Roman"/>
          <w:b/>
          <w:sz w:val="24"/>
          <w:szCs w:val="24"/>
          <w:lang w:val="en-GB"/>
        </w:rPr>
        <w:t>v</w:t>
      </w:r>
      <w:proofErr w:type="gramEnd"/>
    </w:p>
    <w:p w:rsidR="007E7D8C" w:rsidRDefault="00005538" w:rsidP="007E7D8C">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w:t>
      </w:r>
      <w:r w:rsidR="008B6C78">
        <w:rPr>
          <w:rFonts w:ascii="Times New Roman" w:eastAsia="Times New Roman" w:hAnsi="Times New Roman" w:cs="Times New Roman"/>
          <w:b/>
          <w:sz w:val="24"/>
          <w:szCs w:val="24"/>
          <w:lang w:val="en-GB"/>
        </w:rPr>
        <w:t xml:space="preserve">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GETRUDE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SIHLE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SIBANDA</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(2)</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KIZITO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ZVAVAHERA</w:t>
      </w:r>
      <w:r w:rsidR="007E7D8C">
        <w:rPr>
          <w:rFonts w:ascii="Times New Roman" w:eastAsia="Times New Roman" w:hAnsi="Times New Roman" w:cs="Times New Roman"/>
          <w:b/>
          <w:sz w:val="24"/>
          <w:szCs w:val="24"/>
          <w:lang w:val="en-GB"/>
        </w:rPr>
        <w:t xml:space="preserve">     </w:t>
      </w:r>
    </w:p>
    <w:p w:rsidR="008B6C78" w:rsidRDefault="00005538" w:rsidP="007E7D8C">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(3)</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REGISTRAR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OF </w:t>
      </w:r>
      <w:r w:rsidR="007E7D8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DEEDS</w:t>
      </w:r>
    </w:p>
    <w:p w:rsidR="008B6C78" w:rsidRDefault="008B6C78" w:rsidP="00E543D4">
      <w:pPr>
        <w:spacing w:after="0" w:line="240" w:lineRule="auto"/>
        <w:jc w:val="both"/>
        <w:rPr>
          <w:rFonts w:ascii="Times New Roman" w:eastAsia="Times New Roman" w:hAnsi="Times New Roman" w:cs="Times New Roman"/>
          <w:b/>
          <w:sz w:val="24"/>
          <w:szCs w:val="24"/>
          <w:lang w:val="en-GB"/>
        </w:rPr>
      </w:pPr>
    </w:p>
    <w:p w:rsidR="008B6C78" w:rsidRDefault="008B6C78" w:rsidP="00E543D4">
      <w:pPr>
        <w:spacing w:after="0" w:line="240" w:lineRule="auto"/>
        <w:jc w:val="both"/>
        <w:rPr>
          <w:rFonts w:ascii="Times New Roman" w:eastAsia="Times New Roman" w:hAnsi="Times New Roman" w:cs="Times New Roman"/>
          <w:b/>
          <w:sz w:val="24"/>
          <w:szCs w:val="24"/>
          <w:lang w:val="en-GB"/>
        </w:rPr>
      </w:pPr>
    </w:p>
    <w:p w:rsidR="008B6C78" w:rsidRDefault="008B6C78" w:rsidP="00E543D4">
      <w:pPr>
        <w:spacing w:after="0" w:line="240" w:lineRule="auto"/>
        <w:jc w:val="both"/>
        <w:rPr>
          <w:rFonts w:ascii="Times New Roman" w:eastAsia="Times New Roman" w:hAnsi="Times New Roman" w:cs="Times New Roman"/>
          <w:b/>
          <w:sz w:val="24"/>
          <w:szCs w:val="24"/>
          <w:lang w:val="en-GB"/>
        </w:rPr>
      </w:pPr>
    </w:p>
    <w:p w:rsidR="008B6C78" w:rsidRDefault="008B6C78" w:rsidP="00E543D4">
      <w:pPr>
        <w:spacing w:after="0" w:line="240" w:lineRule="auto"/>
        <w:jc w:val="both"/>
        <w:rPr>
          <w:rFonts w:ascii="Times New Roman" w:eastAsia="Times New Roman" w:hAnsi="Times New Roman" w:cs="Times New Roman"/>
          <w:b/>
          <w:sz w:val="24"/>
          <w:szCs w:val="24"/>
          <w:lang w:val="en-GB"/>
        </w:rPr>
      </w:pPr>
    </w:p>
    <w:p w:rsidR="00E543D4" w:rsidRDefault="00E543D4" w:rsidP="00E543D4">
      <w:pPr>
        <w:spacing w:after="0" w:line="240" w:lineRule="auto"/>
        <w:jc w:val="both"/>
        <w:rPr>
          <w:rFonts w:ascii="Times New Roman" w:eastAsia="Times New Roman" w:hAnsi="Times New Roman" w:cs="Times New Roman"/>
          <w:b/>
          <w:sz w:val="24"/>
          <w:szCs w:val="24"/>
          <w:lang w:val="en-GB"/>
        </w:rPr>
      </w:pPr>
      <w:r w:rsidRPr="00E543D4">
        <w:rPr>
          <w:rFonts w:ascii="Times New Roman" w:eastAsia="Times New Roman" w:hAnsi="Times New Roman" w:cs="Times New Roman"/>
          <w:b/>
          <w:sz w:val="24"/>
          <w:szCs w:val="24"/>
          <w:lang w:val="en-GB"/>
        </w:rPr>
        <w:t>SUPREME COURT OF ZIMBABWE</w:t>
      </w:r>
    </w:p>
    <w:p w:rsidR="008B6C78" w:rsidRDefault="008B6C78" w:rsidP="00E543D4">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GUVAVA JA</w:t>
      </w:r>
    </w:p>
    <w:p w:rsidR="008B6C78" w:rsidRDefault="008B6C78" w:rsidP="00E543D4">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HARARE:</w:t>
      </w:r>
      <w:r w:rsidR="00005538">
        <w:rPr>
          <w:rFonts w:ascii="Times New Roman" w:eastAsia="Times New Roman" w:hAnsi="Times New Roman" w:cs="Times New Roman"/>
          <w:b/>
          <w:sz w:val="24"/>
          <w:szCs w:val="24"/>
          <w:lang w:val="en-GB"/>
        </w:rPr>
        <w:t xml:space="preserve"> DECEMBER 6</w:t>
      </w:r>
      <w:r>
        <w:rPr>
          <w:rFonts w:ascii="Times New Roman" w:eastAsia="Times New Roman" w:hAnsi="Times New Roman" w:cs="Times New Roman"/>
          <w:b/>
          <w:sz w:val="24"/>
          <w:szCs w:val="24"/>
          <w:lang w:val="en-GB"/>
        </w:rPr>
        <w:t>, 2018</w:t>
      </w:r>
      <w:r w:rsidR="0081235F">
        <w:rPr>
          <w:rFonts w:ascii="Times New Roman" w:eastAsia="Times New Roman" w:hAnsi="Times New Roman" w:cs="Times New Roman"/>
          <w:b/>
          <w:sz w:val="24"/>
          <w:szCs w:val="24"/>
          <w:lang w:val="en-GB"/>
        </w:rPr>
        <w:t xml:space="preserve"> &amp;</w:t>
      </w:r>
      <w:r w:rsidR="007E7D8C">
        <w:rPr>
          <w:rFonts w:ascii="Times New Roman" w:eastAsia="Times New Roman" w:hAnsi="Times New Roman" w:cs="Times New Roman"/>
          <w:b/>
          <w:sz w:val="24"/>
          <w:szCs w:val="24"/>
          <w:lang w:val="en-GB"/>
        </w:rPr>
        <w:t xml:space="preserve"> DECEMBER 24, 2018</w:t>
      </w:r>
    </w:p>
    <w:p w:rsidR="008B6C78" w:rsidRPr="00E543D4" w:rsidRDefault="008B6C78" w:rsidP="00E543D4">
      <w:pPr>
        <w:spacing w:after="0" w:line="240" w:lineRule="auto"/>
        <w:jc w:val="both"/>
        <w:rPr>
          <w:rFonts w:ascii="Times New Roman" w:eastAsia="Times New Roman" w:hAnsi="Times New Roman" w:cs="Times New Roman"/>
          <w:b/>
          <w:sz w:val="24"/>
          <w:szCs w:val="24"/>
          <w:lang w:val="en-GB"/>
        </w:rPr>
      </w:pPr>
    </w:p>
    <w:p w:rsidR="00E543D4" w:rsidRPr="00E543D4" w:rsidRDefault="00E543D4" w:rsidP="00E543D4">
      <w:pPr>
        <w:spacing w:after="0" w:line="240" w:lineRule="auto"/>
        <w:jc w:val="both"/>
        <w:rPr>
          <w:rFonts w:ascii="Times New Roman" w:eastAsia="Times New Roman" w:hAnsi="Times New Roman" w:cs="Times New Roman"/>
          <w:sz w:val="24"/>
          <w:szCs w:val="24"/>
          <w:lang w:val="en-GB"/>
        </w:rPr>
      </w:pPr>
    </w:p>
    <w:p w:rsidR="00E543D4" w:rsidRDefault="00E543D4" w:rsidP="00E543D4">
      <w:pPr>
        <w:spacing w:after="0" w:line="240" w:lineRule="auto"/>
        <w:jc w:val="both"/>
        <w:rPr>
          <w:rFonts w:ascii="Times New Roman" w:eastAsia="Times New Roman" w:hAnsi="Times New Roman" w:cs="Times New Roman"/>
          <w:sz w:val="24"/>
          <w:szCs w:val="24"/>
          <w:lang w:val="en-GB"/>
        </w:rPr>
      </w:pPr>
    </w:p>
    <w:p w:rsidR="007E7D8C" w:rsidRPr="00E543D4" w:rsidRDefault="007E7D8C" w:rsidP="00E543D4">
      <w:pPr>
        <w:spacing w:after="0" w:line="240" w:lineRule="auto"/>
        <w:jc w:val="both"/>
        <w:rPr>
          <w:rFonts w:ascii="Times New Roman" w:eastAsia="Times New Roman" w:hAnsi="Times New Roman" w:cs="Times New Roman"/>
          <w:sz w:val="24"/>
          <w:szCs w:val="24"/>
          <w:lang w:val="en-GB"/>
        </w:rPr>
      </w:pPr>
    </w:p>
    <w:p w:rsidR="00E543D4" w:rsidRPr="00E543D4" w:rsidRDefault="00005538" w:rsidP="00E543D4">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i/>
          <w:sz w:val="24"/>
          <w:szCs w:val="24"/>
          <w:lang w:val="en-GB"/>
        </w:rPr>
        <w:t xml:space="preserve">F. </w:t>
      </w:r>
      <w:proofErr w:type="spellStart"/>
      <w:r>
        <w:rPr>
          <w:rFonts w:ascii="Times New Roman" w:eastAsia="Times New Roman" w:hAnsi="Times New Roman" w:cs="Times New Roman"/>
          <w:i/>
          <w:sz w:val="24"/>
          <w:szCs w:val="24"/>
          <w:lang w:val="en-GB"/>
        </w:rPr>
        <w:t>Mahere</w:t>
      </w:r>
      <w:proofErr w:type="spellEnd"/>
      <w:r>
        <w:rPr>
          <w:rFonts w:ascii="Times New Roman" w:eastAsia="Times New Roman" w:hAnsi="Times New Roman" w:cs="Times New Roman"/>
          <w:i/>
          <w:sz w:val="24"/>
          <w:szCs w:val="24"/>
          <w:lang w:val="en-GB"/>
        </w:rPr>
        <w:t xml:space="preserve">, </w:t>
      </w:r>
      <w:r w:rsidR="005079F2">
        <w:rPr>
          <w:rFonts w:ascii="Times New Roman" w:eastAsia="Times New Roman" w:hAnsi="Times New Roman" w:cs="Times New Roman"/>
          <w:sz w:val="24"/>
          <w:szCs w:val="24"/>
          <w:lang w:val="en-GB"/>
        </w:rPr>
        <w:t>for the applica</w:t>
      </w:r>
      <w:r w:rsidR="00E543D4" w:rsidRPr="00E543D4">
        <w:rPr>
          <w:rFonts w:ascii="Times New Roman" w:eastAsia="Times New Roman" w:hAnsi="Times New Roman" w:cs="Times New Roman"/>
          <w:sz w:val="24"/>
          <w:szCs w:val="24"/>
          <w:lang w:val="en-GB"/>
        </w:rPr>
        <w:t>nt</w:t>
      </w:r>
    </w:p>
    <w:p w:rsidR="00E543D4" w:rsidRDefault="00005538" w:rsidP="00E543D4">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i/>
          <w:sz w:val="24"/>
          <w:szCs w:val="24"/>
          <w:lang w:val="en-GB"/>
        </w:rPr>
        <w:t xml:space="preserve">B. </w:t>
      </w:r>
      <w:proofErr w:type="spellStart"/>
      <w:r>
        <w:rPr>
          <w:rFonts w:ascii="Times New Roman" w:eastAsia="Times New Roman" w:hAnsi="Times New Roman" w:cs="Times New Roman"/>
          <w:i/>
          <w:sz w:val="24"/>
          <w:szCs w:val="24"/>
          <w:lang w:val="en-GB"/>
        </w:rPr>
        <w:t>Mtetwa</w:t>
      </w:r>
      <w:proofErr w:type="spellEnd"/>
      <w:r w:rsidR="00E543D4" w:rsidRPr="00E543D4">
        <w:rPr>
          <w:rFonts w:ascii="Times New Roman" w:eastAsia="Times New Roman" w:hAnsi="Times New Roman" w:cs="Times New Roman"/>
          <w:sz w:val="24"/>
          <w:szCs w:val="24"/>
          <w:lang w:val="en-GB"/>
        </w:rPr>
        <w:t>, for the respondent</w:t>
      </w:r>
    </w:p>
    <w:p w:rsidR="00005538" w:rsidRDefault="00005538" w:rsidP="00E543D4">
      <w:pPr>
        <w:spacing w:after="0" w:line="480" w:lineRule="auto"/>
        <w:jc w:val="both"/>
        <w:rPr>
          <w:rFonts w:ascii="Times New Roman" w:eastAsia="Times New Roman" w:hAnsi="Times New Roman" w:cs="Times New Roman"/>
          <w:sz w:val="24"/>
          <w:szCs w:val="24"/>
          <w:lang w:val="en-GB"/>
        </w:rPr>
      </w:pPr>
      <w:r w:rsidRPr="007E7D8C">
        <w:rPr>
          <w:rFonts w:ascii="Times New Roman" w:eastAsia="Times New Roman" w:hAnsi="Times New Roman" w:cs="Times New Roman"/>
          <w:sz w:val="24"/>
          <w:szCs w:val="24"/>
          <w:lang w:val="en-GB"/>
        </w:rPr>
        <w:t>No appearance</w:t>
      </w:r>
      <w:r>
        <w:rPr>
          <w:rFonts w:ascii="Times New Roman" w:eastAsia="Times New Roman" w:hAnsi="Times New Roman" w:cs="Times New Roman"/>
          <w:sz w:val="24"/>
          <w:szCs w:val="24"/>
          <w:lang w:val="en-GB"/>
        </w:rPr>
        <w:t xml:space="preserve"> for the </w:t>
      </w:r>
      <w:r w:rsidR="007E7D8C">
        <w:rPr>
          <w:rFonts w:ascii="Times New Roman" w:eastAsia="Times New Roman" w:hAnsi="Times New Roman" w:cs="Times New Roman"/>
          <w:sz w:val="24"/>
          <w:szCs w:val="24"/>
          <w:lang w:val="en-GB"/>
        </w:rPr>
        <w:t xml:space="preserve">second </w:t>
      </w:r>
      <w:r>
        <w:rPr>
          <w:rFonts w:ascii="Times New Roman" w:eastAsia="Times New Roman" w:hAnsi="Times New Roman" w:cs="Times New Roman"/>
          <w:sz w:val="24"/>
          <w:szCs w:val="24"/>
          <w:lang w:val="en-GB"/>
        </w:rPr>
        <w:t>respondent</w:t>
      </w:r>
    </w:p>
    <w:p w:rsidR="00005538" w:rsidRDefault="00005538" w:rsidP="00E543D4">
      <w:pPr>
        <w:spacing w:after="0" w:line="480" w:lineRule="auto"/>
        <w:jc w:val="both"/>
        <w:rPr>
          <w:rFonts w:ascii="Times New Roman" w:eastAsia="Times New Roman" w:hAnsi="Times New Roman" w:cs="Times New Roman"/>
          <w:sz w:val="24"/>
          <w:szCs w:val="24"/>
          <w:lang w:val="en-GB"/>
        </w:rPr>
      </w:pPr>
      <w:r w:rsidRPr="007E7D8C">
        <w:rPr>
          <w:rFonts w:ascii="Times New Roman" w:eastAsia="Times New Roman" w:hAnsi="Times New Roman" w:cs="Times New Roman"/>
          <w:sz w:val="24"/>
          <w:szCs w:val="24"/>
          <w:lang w:val="en-GB"/>
        </w:rPr>
        <w:t>No appearance</w:t>
      </w:r>
      <w:r>
        <w:rPr>
          <w:rFonts w:ascii="Times New Roman" w:eastAsia="Times New Roman" w:hAnsi="Times New Roman" w:cs="Times New Roman"/>
          <w:sz w:val="24"/>
          <w:szCs w:val="24"/>
          <w:lang w:val="en-GB"/>
        </w:rPr>
        <w:t xml:space="preserve"> for the </w:t>
      </w:r>
      <w:r w:rsidR="007E7D8C">
        <w:rPr>
          <w:rFonts w:ascii="Times New Roman" w:eastAsia="Times New Roman" w:hAnsi="Times New Roman" w:cs="Times New Roman"/>
          <w:sz w:val="24"/>
          <w:szCs w:val="24"/>
          <w:lang w:val="en-GB"/>
        </w:rPr>
        <w:t>third</w:t>
      </w:r>
      <w:r>
        <w:rPr>
          <w:rFonts w:ascii="Times New Roman" w:eastAsia="Times New Roman" w:hAnsi="Times New Roman" w:cs="Times New Roman"/>
          <w:sz w:val="24"/>
          <w:szCs w:val="24"/>
          <w:lang w:val="en-GB"/>
        </w:rPr>
        <w:t xml:space="preserve"> respondent</w:t>
      </w:r>
    </w:p>
    <w:p w:rsidR="00005538" w:rsidRDefault="00005538" w:rsidP="00E543D4">
      <w:pPr>
        <w:spacing w:after="0" w:line="480" w:lineRule="auto"/>
        <w:jc w:val="both"/>
        <w:rPr>
          <w:rFonts w:ascii="Times New Roman" w:eastAsia="Times New Roman" w:hAnsi="Times New Roman" w:cs="Times New Roman"/>
          <w:sz w:val="24"/>
          <w:szCs w:val="24"/>
          <w:lang w:val="en-GB"/>
        </w:rPr>
      </w:pPr>
    </w:p>
    <w:p w:rsidR="00EA3C22" w:rsidRDefault="00EA3C22" w:rsidP="00E543D4">
      <w:pPr>
        <w:spacing w:after="0" w:line="480" w:lineRule="auto"/>
        <w:jc w:val="both"/>
        <w:rPr>
          <w:rFonts w:ascii="Times New Roman" w:eastAsia="Times New Roman" w:hAnsi="Times New Roman" w:cs="Times New Roman"/>
          <w:sz w:val="24"/>
          <w:szCs w:val="24"/>
          <w:lang w:val="en-GB"/>
        </w:rPr>
      </w:pPr>
    </w:p>
    <w:p w:rsidR="00E543D4" w:rsidRPr="00AF45D7" w:rsidRDefault="00EA3C22" w:rsidP="00E543D4">
      <w:pPr>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IN CHAMBERS</w:t>
      </w:r>
    </w:p>
    <w:p w:rsidR="00E543D4" w:rsidRPr="00E543D4" w:rsidRDefault="00E543D4" w:rsidP="00E543D4">
      <w:pPr>
        <w:spacing w:after="0" w:line="480" w:lineRule="auto"/>
        <w:jc w:val="both"/>
        <w:rPr>
          <w:rFonts w:ascii="Times New Roman" w:eastAsia="Times New Roman" w:hAnsi="Times New Roman" w:cs="Times New Roman"/>
          <w:sz w:val="24"/>
          <w:szCs w:val="24"/>
          <w:lang w:val="en-GB"/>
        </w:rPr>
      </w:pPr>
    </w:p>
    <w:p w:rsidR="00AF45D7" w:rsidRDefault="008B6C78" w:rsidP="006A15C3">
      <w:pPr>
        <w:spacing w:after="0" w:line="480" w:lineRule="auto"/>
        <w:ind w:firstLine="1134"/>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GUVAVA </w:t>
      </w:r>
      <w:r w:rsidR="00E543D4" w:rsidRPr="00E543D4">
        <w:rPr>
          <w:rFonts w:ascii="Times New Roman" w:eastAsia="Times New Roman" w:hAnsi="Times New Roman" w:cs="Times New Roman"/>
          <w:b/>
          <w:sz w:val="24"/>
          <w:szCs w:val="24"/>
          <w:lang w:val="en-GB"/>
        </w:rPr>
        <w:t>JA:</w:t>
      </w:r>
      <w:r>
        <w:rPr>
          <w:rFonts w:ascii="Times New Roman" w:eastAsia="Times New Roman" w:hAnsi="Times New Roman" w:cs="Times New Roman"/>
          <w:b/>
          <w:sz w:val="24"/>
          <w:szCs w:val="24"/>
          <w:lang w:val="en-GB"/>
        </w:rPr>
        <w:t xml:space="preserve"> </w:t>
      </w:r>
      <w:r w:rsidR="007E7D8C">
        <w:rPr>
          <w:rFonts w:ascii="Times New Roman" w:eastAsia="Times New Roman" w:hAnsi="Times New Roman" w:cs="Times New Roman"/>
          <w:b/>
          <w:sz w:val="24"/>
          <w:szCs w:val="24"/>
          <w:lang w:val="en-GB"/>
        </w:rPr>
        <w:tab/>
      </w:r>
      <w:r>
        <w:rPr>
          <w:rFonts w:ascii="Times New Roman" w:eastAsia="Times New Roman" w:hAnsi="Times New Roman" w:cs="Times New Roman"/>
          <w:sz w:val="24"/>
          <w:szCs w:val="24"/>
          <w:lang w:val="en-GB"/>
        </w:rPr>
        <w:t xml:space="preserve">This is a chamber application for condonation and extension of time </w:t>
      </w:r>
      <w:r w:rsidR="003152CB">
        <w:rPr>
          <w:rFonts w:ascii="Times New Roman" w:eastAsia="Times New Roman" w:hAnsi="Times New Roman" w:cs="Times New Roman"/>
          <w:sz w:val="24"/>
          <w:szCs w:val="24"/>
          <w:lang w:val="en-GB"/>
        </w:rPr>
        <w:t>within which to note an</w:t>
      </w:r>
      <w:r w:rsidR="00005538">
        <w:rPr>
          <w:rFonts w:ascii="Times New Roman" w:eastAsia="Times New Roman" w:hAnsi="Times New Roman" w:cs="Times New Roman"/>
          <w:sz w:val="24"/>
          <w:szCs w:val="24"/>
          <w:lang w:val="en-GB"/>
        </w:rPr>
        <w:t xml:space="preserve"> appeal made in terms of Rule 43</w:t>
      </w:r>
      <w:r w:rsidR="003152CB">
        <w:rPr>
          <w:rFonts w:ascii="Times New Roman" w:eastAsia="Times New Roman" w:hAnsi="Times New Roman" w:cs="Times New Roman"/>
          <w:sz w:val="24"/>
          <w:szCs w:val="24"/>
          <w:lang w:val="en-GB"/>
        </w:rPr>
        <w:t xml:space="preserve"> </w:t>
      </w:r>
      <w:r w:rsidR="00005538">
        <w:rPr>
          <w:rFonts w:ascii="Times New Roman" w:eastAsia="Times New Roman" w:hAnsi="Times New Roman" w:cs="Times New Roman"/>
          <w:sz w:val="24"/>
          <w:szCs w:val="24"/>
          <w:lang w:val="en-GB"/>
        </w:rPr>
        <w:t>of the Supreme Court Rules, 2018</w:t>
      </w:r>
      <w:r w:rsidR="003152CB">
        <w:rPr>
          <w:rFonts w:ascii="Times New Roman" w:eastAsia="Times New Roman" w:hAnsi="Times New Roman" w:cs="Times New Roman"/>
          <w:sz w:val="24"/>
          <w:szCs w:val="24"/>
          <w:lang w:val="en-GB"/>
        </w:rPr>
        <w:t>.</w:t>
      </w:r>
      <w:r w:rsidR="00CB2520">
        <w:rPr>
          <w:rFonts w:ascii="Times New Roman" w:eastAsia="Times New Roman" w:hAnsi="Times New Roman" w:cs="Times New Roman"/>
          <w:sz w:val="24"/>
          <w:szCs w:val="24"/>
          <w:lang w:val="en-GB"/>
        </w:rPr>
        <w:t xml:space="preserve"> </w:t>
      </w:r>
    </w:p>
    <w:p w:rsidR="005079F2" w:rsidRPr="00533A2E" w:rsidRDefault="005079F2" w:rsidP="00533A2E">
      <w:pPr>
        <w:tabs>
          <w:tab w:val="left" w:pos="1188"/>
        </w:tabs>
        <w:rPr>
          <w:rFonts w:ascii="Times New Roman" w:eastAsia="Times New Roman" w:hAnsi="Times New Roman" w:cs="Times New Roman"/>
          <w:sz w:val="24"/>
          <w:szCs w:val="24"/>
          <w:lang w:val="en-GB"/>
        </w:rPr>
      </w:pPr>
    </w:p>
    <w:p w:rsidR="00533A2E" w:rsidRDefault="00AF45D7" w:rsidP="00533A2E">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533A2E">
        <w:rPr>
          <w:rFonts w:ascii="Times New Roman" w:eastAsia="Times New Roman" w:hAnsi="Times New Roman" w:cs="Times New Roman"/>
          <w:sz w:val="24"/>
          <w:szCs w:val="24"/>
          <w:lang w:val="en-GB"/>
        </w:rPr>
        <w:t xml:space="preserve">          The brief background of this application may be summarised as follows:</w:t>
      </w:r>
    </w:p>
    <w:p w:rsidR="00C839CE" w:rsidRDefault="00AF45D7" w:rsidP="00E543D4">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rsidR="006C4C14" w:rsidRDefault="00CE78E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C839CE" w:rsidRPr="00C839CE">
        <w:rPr>
          <w:rFonts w:ascii="Times New Roman" w:eastAsia="Times New Roman" w:hAnsi="Times New Roman" w:cs="Times New Roman"/>
          <w:sz w:val="24"/>
          <w:szCs w:val="24"/>
          <w:lang w:val="en-US"/>
        </w:rPr>
        <w:t xml:space="preserve">The applicant and </w:t>
      </w:r>
      <w:r w:rsidR="007E7D8C">
        <w:rPr>
          <w:rFonts w:ascii="Times New Roman" w:eastAsia="Times New Roman" w:hAnsi="Times New Roman" w:cs="Times New Roman"/>
          <w:sz w:val="24"/>
          <w:szCs w:val="24"/>
          <w:lang w:val="en-US"/>
        </w:rPr>
        <w:t>second</w:t>
      </w:r>
      <w:r w:rsidR="00C839CE" w:rsidRPr="00C839CE">
        <w:rPr>
          <w:rFonts w:ascii="Times New Roman" w:eastAsia="Times New Roman" w:hAnsi="Times New Roman" w:cs="Times New Roman"/>
          <w:sz w:val="24"/>
          <w:szCs w:val="24"/>
          <w:vertAlign w:val="superscript"/>
          <w:lang w:val="en-US"/>
        </w:rPr>
        <w:t xml:space="preserve"> </w:t>
      </w:r>
      <w:r w:rsidR="00C839CE" w:rsidRPr="00C839CE">
        <w:rPr>
          <w:rFonts w:ascii="Times New Roman" w:eastAsia="Times New Roman" w:hAnsi="Times New Roman" w:cs="Times New Roman"/>
          <w:sz w:val="24"/>
          <w:szCs w:val="24"/>
          <w:lang w:val="en-US"/>
        </w:rPr>
        <w:t xml:space="preserve">respondent </w:t>
      </w:r>
      <w:r>
        <w:rPr>
          <w:rFonts w:ascii="Times New Roman" w:eastAsia="Times New Roman" w:hAnsi="Times New Roman" w:cs="Times New Roman"/>
          <w:sz w:val="24"/>
          <w:szCs w:val="24"/>
          <w:lang w:val="en-US"/>
        </w:rPr>
        <w:t xml:space="preserve">who </w:t>
      </w:r>
      <w:r w:rsidR="00C839CE" w:rsidRPr="00C839CE">
        <w:rPr>
          <w:rFonts w:ascii="Times New Roman" w:eastAsia="Times New Roman" w:hAnsi="Times New Roman" w:cs="Times New Roman"/>
          <w:sz w:val="24"/>
          <w:szCs w:val="24"/>
          <w:lang w:val="en-US"/>
        </w:rPr>
        <w:t>were once husband and wife</w:t>
      </w:r>
      <w:r>
        <w:rPr>
          <w:rFonts w:ascii="Times New Roman" w:eastAsia="Times New Roman" w:hAnsi="Times New Roman" w:cs="Times New Roman"/>
          <w:sz w:val="24"/>
          <w:szCs w:val="24"/>
          <w:lang w:val="en-US"/>
        </w:rPr>
        <w:t xml:space="preserve"> entered into a written agreement of sale with the </w:t>
      </w:r>
      <w:r w:rsidR="007E7D8C">
        <w:rPr>
          <w:rFonts w:ascii="Times New Roman" w:eastAsia="Times New Roman" w:hAnsi="Times New Roman" w:cs="Times New Roman"/>
          <w:sz w:val="24"/>
          <w:szCs w:val="24"/>
          <w:lang w:val="en-US"/>
        </w:rPr>
        <w:t>first</w:t>
      </w:r>
      <w:r>
        <w:rPr>
          <w:rFonts w:ascii="Times New Roman" w:eastAsia="Times New Roman" w:hAnsi="Times New Roman" w:cs="Times New Roman"/>
          <w:sz w:val="24"/>
          <w:szCs w:val="24"/>
          <w:lang w:val="en-US"/>
        </w:rPr>
        <w:t xml:space="preserve"> respondent</w:t>
      </w:r>
      <w:r w:rsidR="00F72ABF" w:rsidRPr="00F72ABF">
        <w:rPr>
          <w:rFonts w:ascii="Times New Roman" w:eastAsia="Times New Roman" w:hAnsi="Times New Roman" w:cs="Times New Roman"/>
          <w:sz w:val="24"/>
          <w:szCs w:val="24"/>
          <w:lang w:val="en-US"/>
        </w:rPr>
        <w:t xml:space="preserve"> sometime in October 2007 in respect of an immovable property known as Stand No. 4306 </w:t>
      </w:r>
      <w:proofErr w:type="spellStart"/>
      <w:r w:rsidR="00F72ABF" w:rsidRPr="00F72ABF">
        <w:rPr>
          <w:rFonts w:ascii="Times New Roman" w:eastAsia="Times New Roman" w:hAnsi="Times New Roman" w:cs="Times New Roman"/>
          <w:sz w:val="24"/>
          <w:szCs w:val="24"/>
          <w:lang w:val="en-US"/>
        </w:rPr>
        <w:t>Fountainbleau</w:t>
      </w:r>
      <w:proofErr w:type="spellEnd"/>
      <w:r w:rsidR="00F72ABF" w:rsidRPr="00F72ABF">
        <w:rPr>
          <w:rFonts w:ascii="Times New Roman" w:eastAsia="Times New Roman" w:hAnsi="Times New Roman" w:cs="Times New Roman"/>
          <w:sz w:val="24"/>
          <w:szCs w:val="24"/>
          <w:lang w:val="en-US"/>
        </w:rPr>
        <w:t xml:space="preserve"> Estate measuring 185 square </w:t>
      </w:r>
      <w:proofErr w:type="spellStart"/>
      <w:r w:rsidR="00F72ABF" w:rsidRPr="00F72ABF">
        <w:rPr>
          <w:rFonts w:ascii="Times New Roman" w:eastAsia="Times New Roman" w:hAnsi="Times New Roman" w:cs="Times New Roman"/>
          <w:sz w:val="24"/>
          <w:szCs w:val="24"/>
          <w:lang w:val="en-US"/>
        </w:rPr>
        <w:t>metres</w:t>
      </w:r>
      <w:proofErr w:type="spellEnd"/>
      <w:r w:rsidR="00F72ABF" w:rsidRPr="00F72ABF">
        <w:rPr>
          <w:rFonts w:ascii="Times New Roman" w:eastAsia="Times New Roman" w:hAnsi="Times New Roman" w:cs="Times New Roman"/>
          <w:sz w:val="24"/>
          <w:szCs w:val="24"/>
          <w:lang w:val="en-US"/>
        </w:rPr>
        <w:t xml:space="preserve"> held under deed of grant number 00117/05.</w:t>
      </w:r>
      <w:r>
        <w:rPr>
          <w:rFonts w:ascii="Times New Roman" w:eastAsia="Times New Roman" w:hAnsi="Times New Roman" w:cs="Times New Roman"/>
          <w:sz w:val="24"/>
          <w:szCs w:val="24"/>
          <w:lang w:val="en-US"/>
        </w:rPr>
        <w:t xml:space="preserve"> The agreed terms of the agreement were that transfer of the property was to be effected upon full payment of the purchase price. </w:t>
      </w:r>
    </w:p>
    <w:p w:rsidR="00CE78E8" w:rsidRDefault="00CE78E8" w:rsidP="00C839CE">
      <w:pPr>
        <w:spacing w:after="0" w:line="480" w:lineRule="auto"/>
        <w:jc w:val="both"/>
        <w:rPr>
          <w:rFonts w:ascii="Times New Roman" w:eastAsia="Times New Roman" w:hAnsi="Times New Roman" w:cs="Times New Roman"/>
          <w:sz w:val="24"/>
          <w:szCs w:val="24"/>
          <w:lang w:val="en-US"/>
        </w:rPr>
      </w:pPr>
    </w:p>
    <w:p w:rsidR="00E30FEC" w:rsidRDefault="00CE78E8" w:rsidP="006A15C3">
      <w:pPr>
        <w:tabs>
          <w:tab w:val="left" w:pos="1134"/>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In terms of the papers filed of recor</w:t>
      </w:r>
      <w:r w:rsidR="007E7D8C">
        <w:rPr>
          <w:rFonts w:ascii="Times New Roman" w:eastAsia="Times New Roman" w:hAnsi="Times New Roman" w:cs="Times New Roman"/>
          <w:sz w:val="24"/>
          <w:szCs w:val="24"/>
          <w:lang w:val="en-US"/>
        </w:rPr>
        <w:t>d, it was established that the first</w:t>
      </w:r>
      <w:r>
        <w:rPr>
          <w:rFonts w:ascii="Times New Roman" w:eastAsia="Times New Roman" w:hAnsi="Times New Roman" w:cs="Times New Roman"/>
          <w:sz w:val="24"/>
          <w:szCs w:val="24"/>
          <w:lang w:val="en-US"/>
        </w:rPr>
        <w:t xml:space="preserve"> respondent paid the full purchase price of the property </w:t>
      </w:r>
      <w:r w:rsidR="007E7D8C">
        <w:rPr>
          <w:rFonts w:ascii="Times New Roman" w:eastAsia="Times New Roman" w:hAnsi="Times New Roman" w:cs="Times New Roman"/>
          <w:sz w:val="24"/>
          <w:szCs w:val="24"/>
          <w:lang w:val="en-US"/>
        </w:rPr>
        <w:t xml:space="preserve">as agreed between the parties. </w:t>
      </w:r>
      <w:proofErr w:type="spellStart"/>
      <w:r w:rsidR="007E7D8C">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ealising</w:t>
      </w:r>
      <w:proofErr w:type="spellEnd"/>
      <w:r>
        <w:rPr>
          <w:rFonts w:ascii="Times New Roman" w:eastAsia="Times New Roman" w:hAnsi="Times New Roman" w:cs="Times New Roman"/>
          <w:sz w:val="24"/>
          <w:szCs w:val="24"/>
          <w:lang w:val="en-US"/>
        </w:rPr>
        <w:t xml:space="preserve"> that the applicant and the </w:t>
      </w:r>
      <w:r w:rsidR="007E7D8C">
        <w:rPr>
          <w:rFonts w:ascii="Times New Roman" w:eastAsia="Times New Roman" w:hAnsi="Times New Roman" w:cs="Times New Roman"/>
          <w:sz w:val="24"/>
          <w:szCs w:val="24"/>
          <w:lang w:val="en-US"/>
        </w:rPr>
        <w:t>second</w:t>
      </w:r>
      <w:r>
        <w:rPr>
          <w:rFonts w:ascii="Times New Roman" w:eastAsia="Times New Roman" w:hAnsi="Times New Roman" w:cs="Times New Roman"/>
          <w:sz w:val="24"/>
          <w:szCs w:val="24"/>
          <w:lang w:val="en-US"/>
        </w:rPr>
        <w:t xml:space="preserve"> respondent were reluctant in effecting transfer</w:t>
      </w:r>
      <w:r w:rsidR="0094183A">
        <w:rPr>
          <w:rFonts w:ascii="Times New Roman" w:eastAsia="Times New Roman" w:hAnsi="Times New Roman" w:cs="Times New Roman"/>
          <w:sz w:val="24"/>
          <w:szCs w:val="24"/>
          <w:lang w:val="en-US"/>
        </w:rPr>
        <w:t>,</w:t>
      </w:r>
      <w:r w:rsidR="00B77C1B">
        <w:rPr>
          <w:rFonts w:ascii="Times New Roman" w:eastAsia="Times New Roman" w:hAnsi="Times New Roman" w:cs="Times New Roman"/>
          <w:sz w:val="24"/>
          <w:szCs w:val="24"/>
          <w:lang w:val="en-US"/>
        </w:rPr>
        <w:t xml:space="preserve"> </w:t>
      </w:r>
      <w:r w:rsidR="0094183A">
        <w:rPr>
          <w:rFonts w:ascii="Times New Roman" w:eastAsia="Times New Roman" w:hAnsi="Times New Roman" w:cs="Times New Roman"/>
          <w:sz w:val="24"/>
          <w:szCs w:val="24"/>
          <w:lang w:val="en-US"/>
        </w:rPr>
        <w:t>t</w:t>
      </w:r>
      <w:r w:rsidR="00B77C1B">
        <w:rPr>
          <w:rFonts w:ascii="Times New Roman" w:eastAsia="Times New Roman" w:hAnsi="Times New Roman" w:cs="Times New Roman"/>
          <w:sz w:val="24"/>
          <w:szCs w:val="24"/>
          <w:lang w:val="en-US"/>
        </w:rPr>
        <w:t xml:space="preserve">he </w:t>
      </w:r>
      <w:r w:rsidR="007E7D8C">
        <w:rPr>
          <w:rFonts w:ascii="Times New Roman" w:eastAsia="Times New Roman" w:hAnsi="Times New Roman" w:cs="Times New Roman"/>
          <w:sz w:val="24"/>
          <w:szCs w:val="24"/>
          <w:lang w:val="en-US"/>
        </w:rPr>
        <w:t>first</w:t>
      </w:r>
      <w:r w:rsidR="00B77C1B">
        <w:rPr>
          <w:rFonts w:ascii="Times New Roman" w:eastAsia="Times New Roman" w:hAnsi="Times New Roman" w:cs="Times New Roman"/>
          <w:sz w:val="24"/>
          <w:szCs w:val="24"/>
          <w:lang w:val="en-US"/>
        </w:rPr>
        <w:t xml:space="preserve"> respondent issued summons in the court </w:t>
      </w:r>
      <w:r w:rsidR="00B77C1B" w:rsidRPr="00B77C1B">
        <w:rPr>
          <w:rFonts w:ascii="Times New Roman" w:eastAsia="Times New Roman" w:hAnsi="Times New Roman" w:cs="Times New Roman"/>
          <w:i/>
          <w:sz w:val="24"/>
          <w:szCs w:val="24"/>
          <w:lang w:val="en-US"/>
        </w:rPr>
        <w:t>a quo</w:t>
      </w:r>
      <w:r w:rsidR="00B77C1B">
        <w:rPr>
          <w:rFonts w:ascii="Times New Roman" w:eastAsia="Times New Roman" w:hAnsi="Times New Roman" w:cs="Times New Roman"/>
          <w:sz w:val="24"/>
          <w:szCs w:val="24"/>
          <w:lang w:val="en-US"/>
        </w:rPr>
        <w:t xml:space="preserve"> </w:t>
      </w:r>
      <w:r w:rsidR="005B61E5">
        <w:rPr>
          <w:rFonts w:ascii="Times New Roman" w:eastAsia="Times New Roman" w:hAnsi="Times New Roman" w:cs="Times New Roman"/>
          <w:sz w:val="24"/>
          <w:szCs w:val="24"/>
          <w:lang w:val="en-US"/>
        </w:rPr>
        <w:t xml:space="preserve">claiming that there was breach of the terms of the agreement of sale </w:t>
      </w:r>
      <w:r w:rsidR="00B77C1B">
        <w:rPr>
          <w:rFonts w:ascii="Times New Roman" w:eastAsia="Times New Roman" w:hAnsi="Times New Roman" w:cs="Times New Roman"/>
          <w:sz w:val="24"/>
          <w:szCs w:val="24"/>
          <w:lang w:val="en-US"/>
        </w:rPr>
        <w:t>by the applicant and the second respondent.</w:t>
      </w:r>
    </w:p>
    <w:p w:rsidR="00502C96" w:rsidRDefault="00502C96" w:rsidP="00C839CE">
      <w:pPr>
        <w:spacing w:after="0" w:line="480" w:lineRule="auto"/>
        <w:jc w:val="both"/>
        <w:rPr>
          <w:rFonts w:ascii="Times New Roman" w:eastAsia="Times New Roman" w:hAnsi="Times New Roman" w:cs="Times New Roman"/>
          <w:sz w:val="24"/>
          <w:szCs w:val="24"/>
          <w:lang w:val="en-US"/>
        </w:rPr>
      </w:pPr>
    </w:p>
    <w:p w:rsidR="001F7E5C" w:rsidRDefault="007D3E0D"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77C1B">
        <w:rPr>
          <w:rFonts w:ascii="Times New Roman" w:eastAsia="Times New Roman" w:hAnsi="Times New Roman" w:cs="Times New Roman"/>
          <w:sz w:val="24"/>
          <w:szCs w:val="24"/>
          <w:lang w:val="en-US"/>
        </w:rPr>
        <w:t xml:space="preserve">After issuance of the summons </w:t>
      </w:r>
      <w:r w:rsidR="005B61E5">
        <w:rPr>
          <w:rFonts w:ascii="Times New Roman" w:eastAsia="Times New Roman" w:hAnsi="Times New Roman" w:cs="Times New Roman"/>
          <w:sz w:val="24"/>
          <w:szCs w:val="24"/>
          <w:lang w:val="en-US"/>
        </w:rPr>
        <w:t xml:space="preserve">by the </w:t>
      </w:r>
      <w:r w:rsidR="007E7D8C">
        <w:rPr>
          <w:rFonts w:ascii="Times New Roman" w:eastAsia="Times New Roman" w:hAnsi="Times New Roman" w:cs="Times New Roman"/>
          <w:sz w:val="24"/>
          <w:szCs w:val="24"/>
          <w:lang w:val="en-US"/>
        </w:rPr>
        <w:t>first</w:t>
      </w:r>
      <w:r w:rsidR="005B61E5">
        <w:rPr>
          <w:rFonts w:ascii="Times New Roman" w:eastAsia="Times New Roman" w:hAnsi="Times New Roman" w:cs="Times New Roman"/>
          <w:sz w:val="24"/>
          <w:szCs w:val="24"/>
          <w:lang w:val="en-US"/>
        </w:rPr>
        <w:t xml:space="preserve"> respondent</w:t>
      </w:r>
      <w:r w:rsidR="00827532">
        <w:rPr>
          <w:rFonts w:ascii="Times New Roman" w:eastAsia="Times New Roman" w:hAnsi="Times New Roman" w:cs="Times New Roman"/>
          <w:sz w:val="24"/>
          <w:szCs w:val="24"/>
          <w:lang w:val="en-US"/>
        </w:rPr>
        <w:t>,</w:t>
      </w:r>
      <w:r w:rsidR="005B61E5">
        <w:rPr>
          <w:rFonts w:ascii="Times New Roman" w:eastAsia="Times New Roman" w:hAnsi="Times New Roman" w:cs="Times New Roman"/>
          <w:sz w:val="24"/>
          <w:szCs w:val="24"/>
          <w:lang w:val="en-US"/>
        </w:rPr>
        <w:t xml:space="preserve"> the </w:t>
      </w:r>
      <w:r w:rsidR="007E7D8C">
        <w:rPr>
          <w:rFonts w:ascii="Times New Roman" w:eastAsia="Times New Roman" w:hAnsi="Times New Roman" w:cs="Times New Roman"/>
          <w:sz w:val="24"/>
          <w:szCs w:val="24"/>
          <w:lang w:val="en-US"/>
        </w:rPr>
        <w:t>second</w:t>
      </w:r>
      <w:r w:rsidR="000F3F7B">
        <w:rPr>
          <w:rFonts w:ascii="Times New Roman" w:eastAsia="Times New Roman" w:hAnsi="Times New Roman" w:cs="Times New Roman"/>
          <w:sz w:val="24"/>
          <w:szCs w:val="24"/>
          <w:lang w:val="en-US"/>
        </w:rPr>
        <w:t xml:space="preserve"> respondent </w:t>
      </w:r>
      <w:r w:rsidR="00827532">
        <w:rPr>
          <w:rFonts w:ascii="Times New Roman" w:eastAsia="Times New Roman" w:hAnsi="Times New Roman" w:cs="Times New Roman"/>
          <w:sz w:val="24"/>
          <w:szCs w:val="24"/>
          <w:lang w:val="en-US"/>
        </w:rPr>
        <w:t xml:space="preserve">who is the applicant’s ex-husband </w:t>
      </w:r>
      <w:r w:rsidR="000F3F7B">
        <w:rPr>
          <w:rFonts w:ascii="Times New Roman" w:eastAsia="Times New Roman" w:hAnsi="Times New Roman" w:cs="Times New Roman"/>
          <w:sz w:val="24"/>
          <w:szCs w:val="24"/>
          <w:lang w:val="en-US"/>
        </w:rPr>
        <w:t xml:space="preserve">consented to judgment in terms of </w:t>
      </w:r>
      <w:proofErr w:type="gramStart"/>
      <w:r w:rsidR="000F3F7B">
        <w:rPr>
          <w:rFonts w:ascii="Times New Roman" w:eastAsia="Times New Roman" w:hAnsi="Times New Roman" w:cs="Times New Roman"/>
          <w:sz w:val="24"/>
          <w:szCs w:val="24"/>
          <w:lang w:val="en-US"/>
        </w:rPr>
        <w:t>a Consent</w:t>
      </w:r>
      <w:proofErr w:type="gramEnd"/>
      <w:r w:rsidR="000F3F7B">
        <w:rPr>
          <w:rFonts w:ascii="Times New Roman" w:eastAsia="Times New Roman" w:hAnsi="Times New Roman" w:cs="Times New Roman"/>
          <w:sz w:val="24"/>
          <w:szCs w:val="24"/>
          <w:lang w:val="en-US"/>
        </w:rPr>
        <w:t xml:space="preserve"> </w:t>
      </w:r>
      <w:r w:rsidR="0094183A">
        <w:rPr>
          <w:rFonts w:ascii="Times New Roman" w:eastAsia="Times New Roman" w:hAnsi="Times New Roman" w:cs="Times New Roman"/>
          <w:sz w:val="24"/>
          <w:szCs w:val="24"/>
          <w:lang w:val="en-US"/>
        </w:rPr>
        <w:t xml:space="preserve">to judgment, </w:t>
      </w:r>
      <w:r w:rsidR="000F3F7B">
        <w:rPr>
          <w:rFonts w:ascii="Times New Roman" w:eastAsia="Times New Roman" w:hAnsi="Times New Roman" w:cs="Times New Roman"/>
          <w:sz w:val="24"/>
          <w:szCs w:val="24"/>
          <w:lang w:val="en-US"/>
        </w:rPr>
        <w:t>w</w:t>
      </w:r>
      <w:r w:rsidR="007E7D8C">
        <w:rPr>
          <w:rFonts w:ascii="Times New Roman" w:eastAsia="Times New Roman" w:hAnsi="Times New Roman" w:cs="Times New Roman"/>
          <w:sz w:val="24"/>
          <w:szCs w:val="24"/>
          <w:lang w:val="en-US"/>
        </w:rPr>
        <w:t xml:space="preserve">hich was filed of record on 2 </w:t>
      </w:r>
      <w:r w:rsidR="000F3F7B">
        <w:rPr>
          <w:rFonts w:ascii="Times New Roman" w:eastAsia="Times New Roman" w:hAnsi="Times New Roman" w:cs="Times New Roman"/>
          <w:sz w:val="24"/>
          <w:szCs w:val="24"/>
          <w:lang w:val="en-US"/>
        </w:rPr>
        <w:t>August 2016</w:t>
      </w:r>
      <w:r w:rsidR="001F7E5C">
        <w:rPr>
          <w:rFonts w:ascii="Times New Roman" w:eastAsia="Times New Roman" w:hAnsi="Times New Roman" w:cs="Times New Roman"/>
          <w:sz w:val="24"/>
          <w:szCs w:val="24"/>
          <w:lang w:val="en-US"/>
        </w:rPr>
        <w:t xml:space="preserve"> whilst </w:t>
      </w:r>
      <w:r w:rsidR="00827532">
        <w:rPr>
          <w:rFonts w:ascii="Times New Roman" w:eastAsia="Times New Roman" w:hAnsi="Times New Roman" w:cs="Times New Roman"/>
          <w:sz w:val="24"/>
          <w:szCs w:val="24"/>
          <w:lang w:val="en-US"/>
        </w:rPr>
        <w:t xml:space="preserve">on the other hand </w:t>
      </w:r>
      <w:r w:rsidR="001F7E5C">
        <w:rPr>
          <w:rFonts w:ascii="Times New Roman" w:eastAsia="Times New Roman" w:hAnsi="Times New Roman" w:cs="Times New Roman"/>
          <w:sz w:val="24"/>
          <w:szCs w:val="24"/>
          <w:lang w:val="en-US"/>
        </w:rPr>
        <w:t>the applicant entered an appearance to defend</w:t>
      </w:r>
      <w:r w:rsidR="000F3F7B">
        <w:rPr>
          <w:rFonts w:ascii="Times New Roman" w:eastAsia="Times New Roman" w:hAnsi="Times New Roman" w:cs="Times New Roman"/>
          <w:sz w:val="24"/>
          <w:szCs w:val="24"/>
          <w:lang w:val="en-US"/>
        </w:rPr>
        <w:t xml:space="preserve">. </w:t>
      </w:r>
    </w:p>
    <w:p w:rsidR="001F7E5C" w:rsidRDefault="001F7E5C" w:rsidP="00C839CE">
      <w:pPr>
        <w:spacing w:after="0" w:line="480" w:lineRule="auto"/>
        <w:jc w:val="both"/>
        <w:rPr>
          <w:rFonts w:ascii="Times New Roman" w:eastAsia="Times New Roman" w:hAnsi="Times New Roman" w:cs="Times New Roman"/>
          <w:sz w:val="24"/>
          <w:szCs w:val="24"/>
          <w:lang w:val="en-US"/>
        </w:rPr>
      </w:pPr>
    </w:p>
    <w:p w:rsidR="007D3E0D" w:rsidRDefault="001F7E5C"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F3F7B">
        <w:rPr>
          <w:rFonts w:ascii="Times New Roman" w:eastAsia="Times New Roman" w:hAnsi="Times New Roman" w:cs="Times New Roman"/>
          <w:sz w:val="24"/>
          <w:szCs w:val="24"/>
          <w:lang w:val="en-US"/>
        </w:rPr>
        <w:t xml:space="preserve">During trial the </w:t>
      </w:r>
      <w:r w:rsidR="007E7D8C">
        <w:rPr>
          <w:rFonts w:ascii="Times New Roman" w:eastAsia="Times New Roman" w:hAnsi="Times New Roman" w:cs="Times New Roman"/>
          <w:sz w:val="24"/>
          <w:szCs w:val="24"/>
          <w:lang w:val="en-US"/>
        </w:rPr>
        <w:t>second</w:t>
      </w:r>
      <w:r w:rsidR="000F3F7B">
        <w:rPr>
          <w:rFonts w:ascii="Times New Roman" w:eastAsia="Times New Roman" w:hAnsi="Times New Roman" w:cs="Times New Roman"/>
          <w:sz w:val="24"/>
          <w:szCs w:val="24"/>
          <w:lang w:val="en-US"/>
        </w:rPr>
        <w:t xml:space="preserve"> respondent </w:t>
      </w:r>
      <w:r w:rsidR="000872C6">
        <w:rPr>
          <w:rFonts w:ascii="Times New Roman" w:eastAsia="Times New Roman" w:hAnsi="Times New Roman" w:cs="Times New Roman"/>
          <w:sz w:val="24"/>
          <w:szCs w:val="24"/>
          <w:lang w:val="en-US"/>
        </w:rPr>
        <w:t xml:space="preserve">gave evidence in </w:t>
      </w:r>
      <w:proofErr w:type="spellStart"/>
      <w:r w:rsidR="000872C6">
        <w:rPr>
          <w:rFonts w:ascii="Times New Roman" w:eastAsia="Times New Roman" w:hAnsi="Times New Roman" w:cs="Times New Roman"/>
          <w:sz w:val="24"/>
          <w:szCs w:val="24"/>
          <w:lang w:val="en-US"/>
        </w:rPr>
        <w:t>favour</w:t>
      </w:r>
      <w:proofErr w:type="spellEnd"/>
      <w:r w:rsidR="000872C6">
        <w:rPr>
          <w:rFonts w:ascii="Times New Roman" w:eastAsia="Times New Roman" w:hAnsi="Times New Roman" w:cs="Times New Roman"/>
          <w:sz w:val="24"/>
          <w:szCs w:val="24"/>
          <w:lang w:val="en-US"/>
        </w:rPr>
        <w:t xml:space="preserve"> </w:t>
      </w:r>
      <w:r w:rsidR="007D3E0D">
        <w:rPr>
          <w:rFonts w:ascii="Times New Roman" w:eastAsia="Times New Roman" w:hAnsi="Times New Roman" w:cs="Times New Roman"/>
          <w:sz w:val="24"/>
          <w:szCs w:val="24"/>
          <w:lang w:val="en-US"/>
        </w:rPr>
        <w:t>o</w:t>
      </w:r>
      <w:r w:rsidR="000872C6">
        <w:rPr>
          <w:rFonts w:ascii="Times New Roman" w:eastAsia="Times New Roman" w:hAnsi="Times New Roman" w:cs="Times New Roman"/>
          <w:sz w:val="24"/>
          <w:szCs w:val="24"/>
          <w:lang w:val="en-US"/>
        </w:rPr>
        <w:t xml:space="preserve">f the </w:t>
      </w:r>
      <w:r w:rsidR="007E7D8C">
        <w:rPr>
          <w:rFonts w:ascii="Times New Roman" w:eastAsia="Times New Roman" w:hAnsi="Times New Roman" w:cs="Times New Roman"/>
          <w:sz w:val="24"/>
          <w:szCs w:val="24"/>
          <w:lang w:val="en-US"/>
        </w:rPr>
        <w:t>first</w:t>
      </w:r>
      <w:r w:rsidR="000872C6">
        <w:rPr>
          <w:rFonts w:ascii="Times New Roman" w:eastAsia="Times New Roman" w:hAnsi="Times New Roman" w:cs="Times New Roman"/>
          <w:sz w:val="24"/>
          <w:szCs w:val="24"/>
          <w:lang w:val="en-US"/>
        </w:rPr>
        <w:t xml:space="preserve"> respondent. </w:t>
      </w:r>
      <w:r w:rsidR="00C839CE" w:rsidRPr="00C839CE">
        <w:rPr>
          <w:rFonts w:ascii="Times New Roman" w:eastAsia="Times New Roman" w:hAnsi="Times New Roman" w:cs="Times New Roman"/>
          <w:sz w:val="24"/>
          <w:szCs w:val="24"/>
          <w:lang w:val="en-US"/>
        </w:rPr>
        <w:t xml:space="preserve">In terms </w:t>
      </w:r>
      <w:r w:rsidR="007E7D8C">
        <w:rPr>
          <w:rFonts w:ascii="Times New Roman" w:eastAsia="Times New Roman" w:hAnsi="Times New Roman" w:cs="Times New Roman"/>
          <w:sz w:val="24"/>
          <w:szCs w:val="24"/>
          <w:lang w:val="en-US"/>
        </w:rPr>
        <w:t>of the first</w:t>
      </w:r>
      <w:r w:rsidR="007D3E0D">
        <w:rPr>
          <w:rFonts w:ascii="Times New Roman" w:eastAsia="Times New Roman" w:hAnsi="Times New Roman" w:cs="Times New Roman"/>
          <w:sz w:val="24"/>
          <w:szCs w:val="24"/>
          <w:lang w:val="en-US"/>
        </w:rPr>
        <w:t xml:space="preserve"> and </w:t>
      </w:r>
      <w:r w:rsidR="007E7D8C">
        <w:rPr>
          <w:rFonts w:ascii="Times New Roman" w:eastAsia="Times New Roman" w:hAnsi="Times New Roman" w:cs="Times New Roman"/>
          <w:sz w:val="24"/>
          <w:szCs w:val="24"/>
          <w:lang w:val="en-US"/>
        </w:rPr>
        <w:t>second</w:t>
      </w:r>
      <w:r w:rsidR="007D3E0D">
        <w:rPr>
          <w:rFonts w:ascii="Times New Roman" w:eastAsia="Times New Roman" w:hAnsi="Times New Roman" w:cs="Times New Roman"/>
          <w:sz w:val="24"/>
          <w:szCs w:val="24"/>
          <w:lang w:val="en-US"/>
        </w:rPr>
        <w:t xml:space="preserve"> respondents’ evidence </w:t>
      </w:r>
      <w:r w:rsidR="00C839CE" w:rsidRPr="00C839CE">
        <w:rPr>
          <w:rFonts w:ascii="Times New Roman" w:eastAsia="Times New Roman" w:hAnsi="Times New Roman" w:cs="Times New Roman"/>
          <w:sz w:val="24"/>
          <w:szCs w:val="24"/>
          <w:lang w:val="en-US"/>
        </w:rPr>
        <w:t xml:space="preserve">the purchase price </w:t>
      </w:r>
      <w:r w:rsidR="007D3E0D">
        <w:rPr>
          <w:rFonts w:ascii="Times New Roman" w:eastAsia="Times New Roman" w:hAnsi="Times New Roman" w:cs="Times New Roman"/>
          <w:sz w:val="24"/>
          <w:szCs w:val="24"/>
          <w:lang w:val="en-US"/>
        </w:rPr>
        <w:t xml:space="preserve">for the property </w:t>
      </w:r>
      <w:r w:rsidR="00C839CE" w:rsidRPr="00C839CE">
        <w:rPr>
          <w:rFonts w:ascii="Times New Roman" w:eastAsia="Times New Roman" w:hAnsi="Times New Roman" w:cs="Times New Roman"/>
          <w:sz w:val="24"/>
          <w:szCs w:val="24"/>
          <w:lang w:val="en-US"/>
        </w:rPr>
        <w:t>was</w:t>
      </w:r>
      <w:r w:rsidR="000F3F7B">
        <w:rPr>
          <w:rFonts w:ascii="Times New Roman" w:eastAsia="Times New Roman" w:hAnsi="Times New Roman" w:cs="Times New Roman"/>
          <w:sz w:val="24"/>
          <w:szCs w:val="24"/>
          <w:lang w:val="en-US"/>
        </w:rPr>
        <w:t xml:space="preserve"> pegged at</w:t>
      </w:r>
      <w:r w:rsidR="00C839CE" w:rsidRPr="00C839CE">
        <w:rPr>
          <w:rFonts w:ascii="Times New Roman" w:eastAsia="Times New Roman" w:hAnsi="Times New Roman" w:cs="Times New Roman"/>
          <w:sz w:val="24"/>
          <w:szCs w:val="24"/>
          <w:lang w:val="en-US"/>
        </w:rPr>
        <w:t xml:space="preserve"> 12 billion dollars</w:t>
      </w:r>
      <w:r w:rsidR="00827532">
        <w:rPr>
          <w:rFonts w:ascii="Times New Roman" w:eastAsia="Times New Roman" w:hAnsi="Times New Roman" w:cs="Times New Roman"/>
          <w:sz w:val="24"/>
          <w:szCs w:val="24"/>
          <w:lang w:val="en-US"/>
        </w:rPr>
        <w:t xml:space="preserve"> and </w:t>
      </w:r>
      <w:proofErr w:type="gramStart"/>
      <w:r w:rsidR="00827532">
        <w:rPr>
          <w:rFonts w:ascii="Times New Roman" w:eastAsia="Times New Roman" w:hAnsi="Times New Roman" w:cs="Times New Roman"/>
          <w:sz w:val="24"/>
          <w:szCs w:val="24"/>
          <w:lang w:val="en-US"/>
        </w:rPr>
        <w:t>that</w:t>
      </w:r>
      <w:proofErr w:type="gramEnd"/>
      <w:r w:rsidR="00827532">
        <w:rPr>
          <w:rFonts w:ascii="Times New Roman" w:eastAsia="Times New Roman" w:hAnsi="Times New Roman" w:cs="Times New Roman"/>
          <w:sz w:val="24"/>
          <w:szCs w:val="24"/>
          <w:lang w:val="en-US"/>
        </w:rPr>
        <w:t xml:space="preserve"> twelve billion dollars was paid in United States Dollars</w:t>
      </w:r>
      <w:r w:rsidR="00C839CE" w:rsidRPr="00C839CE">
        <w:rPr>
          <w:rFonts w:ascii="Times New Roman" w:eastAsia="Times New Roman" w:hAnsi="Times New Roman" w:cs="Times New Roman"/>
          <w:sz w:val="24"/>
          <w:szCs w:val="24"/>
          <w:lang w:val="en-US"/>
        </w:rPr>
        <w:t>.</w:t>
      </w:r>
      <w:r w:rsidR="00827532">
        <w:rPr>
          <w:rFonts w:ascii="Times New Roman" w:eastAsia="Times New Roman" w:hAnsi="Times New Roman" w:cs="Times New Roman"/>
          <w:sz w:val="24"/>
          <w:szCs w:val="24"/>
          <w:lang w:val="en-US"/>
        </w:rPr>
        <w:t xml:space="preserve"> It was further stated that both parties, that is, the applicant and </w:t>
      </w:r>
      <w:r w:rsidR="007E7D8C">
        <w:rPr>
          <w:rFonts w:ascii="Times New Roman" w:eastAsia="Times New Roman" w:hAnsi="Times New Roman" w:cs="Times New Roman"/>
          <w:sz w:val="24"/>
          <w:szCs w:val="24"/>
          <w:lang w:val="en-US"/>
        </w:rPr>
        <w:t>second</w:t>
      </w:r>
      <w:r w:rsidR="00827532">
        <w:rPr>
          <w:rFonts w:ascii="Times New Roman" w:eastAsia="Times New Roman" w:hAnsi="Times New Roman" w:cs="Times New Roman"/>
          <w:sz w:val="24"/>
          <w:szCs w:val="24"/>
          <w:lang w:val="en-US"/>
        </w:rPr>
        <w:t xml:space="preserve"> respondent received their respective shares of that money. To buttress this </w:t>
      </w:r>
      <w:r w:rsidR="00827532">
        <w:rPr>
          <w:rFonts w:ascii="Times New Roman" w:eastAsia="Times New Roman" w:hAnsi="Times New Roman" w:cs="Times New Roman"/>
          <w:sz w:val="24"/>
          <w:szCs w:val="24"/>
          <w:lang w:val="en-US"/>
        </w:rPr>
        <w:lastRenderedPageBreak/>
        <w:t>position an acknowledgment of receipt by the applicant was produced in court as evidence.</w:t>
      </w:r>
      <w:r w:rsidR="007D3E0D">
        <w:rPr>
          <w:rFonts w:ascii="Times New Roman" w:eastAsia="Times New Roman" w:hAnsi="Times New Roman" w:cs="Times New Roman"/>
          <w:sz w:val="24"/>
          <w:szCs w:val="24"/>
          <w:lang w:val="en-US"/>
        </w:rPr>
        <w:t xml:space="preserve"> </w:t>
      </w:r>
      <w:r w:rsidR="005B61E5">
        <w:rPr>
          <w:rFonts w:ascii="Times New Roman" w:eastAsia="Times New Roman" w:hAnsi="Times New Roman" w:cs="Times New Roman"/>
          <w:sz w:val="24"/>
          <w:szCs w:val="24"/>
          <w:lang w:val="en-US"/>
        </w:rPr>
        <w:t xml:space="preserve"> </w:t>
      </w:r>
    </w:p>
    <w:p w:rsidR="00B77C1B" w:rsidRDefault="00D20F5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827532" w:rsidRDefault="006501FF"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02C96">
        <w:rPr>
          <w:rFonts w:ascii="Times New Roman" w:eastAsia="Times New Roman" w:hAnsi="Times New Roman" w:cs="Times New Roman"/>
          <w:sz w:val="24"/>
          <w:szCs w:val="24"/>
          <w:lang w:val="en-US"/>
        </w:rPr>
        <w:t xml:space="preserve">After the </w:t>
      </w:r>
      <w:r w:rsidR="007E7D8C">
        <w:rPr>
          <w:rFonts w:ascii="Times New Roman" w:eastAsia="Times New Roman" w:hAnsi="Times New Roman" w:cs="Times New Roman"/>
          <w:sz w:val="24"/>
          <w:szCs w:val="24"/>
          <w:lang w:val="en-US"/>
        </w:rPr>
        <w:t>first</w:t>
      </w:r>
      <w:r w:rsidR="00502C96">
        <w:rPr>
          <w:rFonts w:ascii="Times New Roman" w:eastAsia="Times New Roman" w:hAnsi="Times New Roman" w:cs="Times New Roman"/>
          <w:sz w:val="24"/>
          <w:szCs w:val="24"/>
          <w:lang w:val="en-US"/>
        </w:rPr>
        <w:t xml:space="preserve"> and </w:t>
      </w:r>
      <w:r w:rsidR="007E7D8C">
        <w:rPr>
          <w:rFonts w:ascii="Times New Roman" w:eastAsia="Times New Roman" w:hAnsi="Times New Roman" w:cs="Times New Roman"/>
          <w:sz w:val="24"/>
          <w:szCs w:val="24"/>
          <w:lang w:val="en-US"/>
        </w:rPr>
        <w:t>second</w:t>
      </w:r>
      <w:r w:rsidR="00502C96">
        <w:rPr>
          <w:rFonts w:ascii="Times New Roman" w:eastAsia="Times New Roman" w:hAnsi="Times New Roman" w:cs="Times New Roman"/>
          <w:sz w:val="24"/>
          <w:szCs w:val="24"/>
          <w:lang w:val="en-US"/>
        </w:rPr>
        <w:t xml:space="preserve"> respondent</w:t>
      </w:r>
      <w:r w:rsidR="007E7D8C">
        <w:rPr>
          <w:rFonts w:ascii="Times New Roman" w:eastAsia="Times New Roman" w:hAnsi="Times New Roman" w:cs="Times New Roman"/>
          <w:sz w:val="24"/>
          <w:szCs w:val="24"/>
          <w:lang w:val="en-US"/>
        </w:rPr>
        <w:t>s</w:t>
      </w:r>
      <w:r w:rsidR="00502C96">
        <w:rPr>
          <w:rFonts w:ascii="Times New Roman" w:eastAsia="Times New Roman" w:hAnsi="Times New Roman" w:cs="Times New Roman"/>
          <w:sz w:val="24"/>
          <w:szCs w:val="24"/>
          <w:lang w:val="en-US"/>
        </w:rPr>
        <w:t xml:space="preserve"> had </w:t>
      </w:r>
      <w:r w:rsidR="00E261F9">
        <w:rPr>
          <w:rFonts w:ascii="Times New Roman" w:eastAsia="Times New Roman" w:hAnsi="Times New Roman" w:cs="Times New Roman"/>
          <w:sz w:val="24"/>
          <w:szCs w:val="24"/>
          <w:lang w:val="en-US"/>
        </w:rPr>
        <w:t xml:space="preserve">given their evidence the applicant opened her case and </w:t>
      </w:r>
      <w:r w:rsidR="00C839CE" w:rsidRPr="00C839CE">
        <w:rPr>
          <w:rFonts w:ascii="Times New Roman" w:eastAsia="Times New Roman" w:hAnsi="Times New Roman" w:cs="Times New Roman"/>
          <w:sz w:val="24"/>
          <w:szCs w:val="24"/>
          <w:lang w:val="en-US"/>
        </w:rPr>
        <w:t xml:space="preserve">pleaded the existence of two agreements with the </w:t>
      </w:r>
      <w:r w:rsidR="007E7D8C">
        <w:rPr>
          <w:rFonts w:ascii="Times New Roman" w:eastAsia="Times New Roman" w:hAnsi="Times New Roman" w:cs="Times New Roman"/>
          <w:sz w:val="24"/>
          <w:szCs w:val="24"/>
          <w:lang w:val="en-US"/>
        </w:rPr>
        <w:t>first</w:t>
      </w:r>
      <w:r w:rsidR="00C839CE" w:rsidRPr="00C839CE">
        <w:rPr>
          <w:rFonts w:ascii="Times New Roman" w:eastAsia="Times New Roman" w:hAnsi="Times New Roman" w:cs="Times New Roman"/>
          <w:sz w:val="24"/>
          <w:szCs w:val="24"/>
          <w:lang w:val="en-US"/>
        </w:rPr>
        <w:t xml:space="preserve"> respondent. She alleged that the agreement she had entered into with the </w:t>
      </w:r>
      <w:r w:rsidR="007E7D8C">
        <w:rPr>
          <w:rFonts w:ascii="Times New Roman" w:eastAsia="Times New Roman" w:hAnsi="Times New Roman" w:cs="Times New Roman"/>
          <w:sz w:val="24"/>
          <w:szCs w:val="24"/>
          <w:lang w:val="en-US"/>
        </w:rPr>
        <w:t>first</w:t>
      </w:r>
      <w:r w:rsidR="00C839CE" w:rsidRPr="00C839CE">
        <w:rPr>
          <w:rFonts w:ascii="Times New Roman" w:eastAsia="Times New Roman" w:hAnsi="Times New Roman" w:cs="Times New Roman"/>
          <w:sz w:val="24"/>
          <w:szCs w:val="24"/>
          <w:lang w:val="en-US"/>
        </w:rPr>
        <w:t xml:space="preserve"> respondent was for a price of 20 billion and not 12 billion</w:t>
      </w:r>
      <w:r w:rsidR="005B61E5">
        <w:rPr>
          <w:rFonts w:ascii="Times New Roman" w:eastAsia="Times New Roman" w:hAnsi="Times New Roman" w:cs="Times New Roman"/>
          <w:sz w:val="24"/>
          <w:szCs w:val="24"/>
          <w:lang w:val="en-US"/>
        </w:rPr>
        <w:t>. The applicant however,</w:t>
      </w:r>
      <w:r w:rsidR="00827532">
        <w:rPr>
          <w:rFonts w:ascii="Times New Roman" w:eastAsia="Times New Roman" w:hAnsi="Times New Roman" w:cs="Times New Roman"/>
          <w:sz w:val="24"/>
          <w:szCs w:val="24"/>
          <w:lang w:val="en-US"/>
        </w:rPr>
        <w:t xml:space="preserve"> did not place the</w:t>
      </w:r>
      <w:r w:rsidR="00EA7410">
        <w:rPr>
          <w:rFonts w:ascii="Times New Roman" w:eastAsia="Times New Roman" w:hAnsi="Times New Roman" w:cs="Times New Roman"/>
          <w:sz w:val="24"/>
          <w:szCs w:val="24"/>
          <w:lang w:val="en-US"/>
        </w:rPr>
        <w:t xml:space="preserve"> </w:t>
      </w:r>
      <w:r w:rsidR="0022749E">
        <w:rPr>
          <w:rFonts w:ascii="Times New Roman" w:eastAsia="Times New Roman" w:hAnsi="Times New Roman" w:cs="Times New Roman"/>
          <w:sz w:val="24"/>
          <w:szCs w:val="24"/>
          <w:lang w:val="en-US"/>
        </w:rPr>
        <w:t xml:space="preserve">agreement </w:t>
      </w:r>
      <w:r w:rsidR="00827532">
        <w:rPr>
          <w:rFonts w:ascii="Times New Roman" w:eastAsia="Times New Roman" w:hAnsi="Times New Roman" w:cs="Times New Roman"/>
          <w:sz w:val="24"/>
          <w:szCs w:val="24"/>
          <w:lang w:val="en-US"/>
        </w:rPr>
        <w:t>bearing the 20 billion dollars as the purchase price before the court</w:t>
      </w:r>
      <w:r w:rsidR="0022749E">
        <w:rPr>
          <w:rFonts w:ascii="Times New Roman" w:eastAsia="Times New Roman" w:hAnsi="Times New Roman" w:cs="Times New Roman"/>
          <w:sz w:val="24"/>
          <w:szCs w:val="24"/>
          <w:lang w:val="en-US"/>
        </w:rPr>
        <w:t>.</w:t>
      </w:r>
      <w:r w:rsidR="00EA7410">
        <w:rPr>
          <w:rFonts w:ascii="Times New Roman" w:eastAsia="Times New Roman" w:hAnsi="Times New Roman" w:cs="Times New Roman"/>
          <w:sz w:val="24"/>
          <w:szCs w:val="24"/>
          <w:lang w:val="en-US"/>
        </w:rPr>
        <w:t xml:space="preserve"> </w:t>
      </w:r>
    </w:p>
    <w:p w:rsidR="00827532" w:rsidRDefault="00827532" w:rsidP="00C839CE">
      <w:pPr>
        <w:spacing w:after="0" w:line="480" w:lineRule="auto"/>
        <w:jc w:val="both"/>
        <w:rPr>
          <w:rFonts w:ascii="Times New Roman" w:eastAsia="Times New Roman" w:hAnsi="Times New Roman" w:cs="Times New Roman"/>
          <w:sz w:val="24"/>
          <w:szCs w:val="24"/>
          <w:lang w:val="en-US"/>
        </w:rPr>
      </w:pPr>
    </w:p>
    <w:p w:rsidR="00C839CE" w:rsidRDefault="00827532"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EA7410">
        <w:rPr>
          <w:rFonts w:ascii="Times New Roman" w:eastAsia="Times New Roman" w:hAnsi="Times New Roman" w:cs="Times New Roman"/>
          <w:sz w:val="24"/>
          <w:szCs w:val="24"/>
          <w:lang w:val="en-US"/>
        </w:rPr>
        <w:t>The applicant</w:t>
      </w:r>
      <w:r>
        <w:rPr>
          <w:rFonts w:ascii="Times New Roman" w:eastAsia="Times New Roman" w:hAnsi="Times New Roman" w:cs="Times New Roman"/>
          <w:sz w:val="24"/>
          <w:szCs w:val="24"/>
          <w:lang w:val="en-US"/>
        </w:rPr>
        <w:t xml:space="preserve">’s main </w:t>
      </w:r>
      <w:proofErr w:type="spellStart"/>
      <w:r>
        <w:rPr>
          <w:rFonts w:ascii="Times New Roman" w:eastAsia="Times New Roman" w:hAnsi="Times New Roman" w:cs="Times New Roman"/>
          <w:sz w:val="24"/>
          <w:szCs w:val="24"/>
          <w:lang w:val="en-US"/>
        </w:rPr>
        <w:t>defence</w:t>
      </w:r>
      <w:proofErr w:type="spellEnd"/>
      <w:r>
        <w:rPr>
          <w:rFonts w:ascii="Times New Roman" w:eastAsia="Times New Roman" w:hAnsi="Times New Roman" w:cs="Times New Roman"/>
          <w:sz w:val="24"/>
          <w:szCs w:val="24"/>
          <w:lang w:val="en-US"/>
        </w:rPr>
        <w:t xml:space="preserve"> in the matter was that the agreement</w:t>
      </w:r>
      <w:r w:rsidR="00EA7410">
        <w:rPr>
          <w:rFonts w:ascii="Times New Roman" w:eastAsia="Times New Roman" w:hAnsi="Times New Roman" w:cs="Times New Roman"/>
          <w:sz w:val="24"/>
          <w:szCs w:val="24"/>
          <w:lang w:val="en-US"/>
        </w:rPr>
        <w:t xml:space="preserve"> was tainted with illegality</w:t>
      </w:r>
      <w:r w:rsidR="0022749E">
        <w:rPr>
          <w:rFonts w:ascii="Times New Roman" w:eastAsia="Times New Roman" w:hAnsi="Times New Roman" w:cs="Times New Roman"/>
          <w:sz w:val="24"/>
          <w:szCs w:val="24"/>
          <w:lang w:val="en-US"/>
        </w:rPr>
        <w:t xml:space="preserve"> as the actual purchase price was 20 billion dollars and the parties </w:t>
      </w:r>
      <w:r>
        <w:rPr>
          <w:rFonts w:ascii="Times New Roman" w:eastAsia="Times New Roman" w:hAnsi="Times New Roman" w:cs="Times New Roman"/>
          <w:sz w:val="24"/>
          <w:szCs w:val="24"/>
          <w:lang w:val="en-US"/>
        </w:rPr>
        <w:t xml:space="preserve">had appended the </w:t>
      </w:r>
      <w:r w:rsidR="0022749E">
        <w:rPr>
          <w:rFonts w:ascii="Times New Roman" w:eastAsia="Times New Roman" w:hAnsi="Times New Roman" w:cs="Times New Roman"/>
          <w:sz w:val="24"/>
          <w:szCs w:val="24"/>
          <w:lang w:val="en-US"/>
        </w:rPr>
        <w:t xml:space="preserve">12 billion </w:t>
      </w:r>
      <w:r>
        <w:rPr>
          <w:rFonts w:ascii="Times New Roman" w:eastAsia="Times New Roman" w:hAnsi="Times New Roman" w:cs="Times New Roman"/>
          <w:sz w:val="24"/>
          <w:szCs w:val="24"/>
          <w:lang w:val="en-US"/>
        </w:rPr>
        <w:t xml:space="preserve">dollars price </w:t>
      </w:r>
      <w:r w:rsidR="0022749E">
        <w:rPr>
          <w:rFonts w:ascii="Times New Roman" w:eastAsia="Times New Roman" w:hAnsi="Times New Roman" w:cs="Times New Roman"/>
          <w:sz w:val="24"/>
          <w:szCs w:val="24"/>
          <w:lang w:val="en-US"/>
        </w:rPr>
        <w:t xml:space="preserve">in a bid to shortchange the </w:t>
      </w:r>
      <w:proofErr w:type="spellStart"/>
      <w:r w:rsidR="0022749E">
        <w:rPr>
          <w:rFonts w:ascii="Times New Roman" w:eastAsia="Times New Roman" w:hAnsi="Times New Roman" w:cs="Times New Roman"/>
          <w:sz w:val="24"/>
          <w:szCs w:val="24"/>
          <w:lang w:val="en-US"/>
        </w:rPr>
        <w:t>fiscus</w:t>
      </w:r>
      <w:proofErr w:type="spellEnd"/>
      <w:r w:rsidR="0022749E">
        <w:rPr>
          <w:rFonts w:ascii="Times New Roman" w:eastAsia="Times New Roman" w:hAnsi="Times New Roman" w:cs="Times New Roman"/>
          <w:sz w:val="24"/>
          <w:szCs w:val="24"/>
          <w:lang w:val="en-US"/>
        </w:rPr>
        <w:t xml:space="preserve"> in terms of payment of </w:t>
      </w:r>
      <w:r w:rsidR="0009730F">
        <w:rPr>
          <w:rFonts w:ascii="Times New Roman" w:eastAsia="Times New Roman" w:hAnsi="Times New Roman" w:cs="Times New Roman"/>
          <w:sz w:val="24"/>
          <w:szCs w:val="24"/>
          <w:lang w:val="en-US"/>
        </w:rPr>
        <w:t xml:space="preserve">the </w:t>
      </w:r>
      <w:r w:rsidR="0022749E">
        <w:rPr>
          <w:rFonts w:ascii="Times New Roman" w:eastAsia="Times New Roman" w:hAnsi="Times New Roman" w:cs="Times New Roman"/>
          <w:sz w:val="24"/>
          <w:szCs w:val="24"/>
          <w:lang w:val="en-US"/>
        </w:rPr>
        <w:t>Government Stamp Duty and Capital Gains Tax</w:t>
      </w:r>
      <w:r w:rsidR="006501FF">
        <w:rPr>
          <w:rFonts w:ascii="Times New Roman" w:eastAsia="Times New Roman" w:hAnsi="Times New Roman" w:cs="Times New Roman"/>
          <w:sz w:val="24"/>
          <w:szCs w:val="24"/>
          <w:lang w:val="en-US"/>
        </w:rPr>
        <w:t>. The</w:t>
      </w:r>
      <w:r w:rsidR="005B61E5">
        <w:rPr>
          <w:rFonts w:ascii="Times New Roman" w:eastAsia="Times New Roman" w:hAnsi="Times New Roman" w:cs="Times New Roman"/>
          <w:sz w:val="24"/>
          <w:szCs w:val="24"/>
          <w:lang w:val="en-US"/>
        </w:rPr>
        <w:t xml:space="preserve"> applicant further</w:t>
      </w:r>
      <w:r w:rsidR="006501FF">
        <w:rPr>
          <w:rFonts w:ascii="Times New Roman" w:eastAsia="Times New Roman" w:hAnsi="Times New Roman" w:cs="Times New Roman"/>
          <w:sz w:val="24"/>
          <w:szCs w:val="24"/>
          <w:lang w:val="en-US"/>
        </w:rPr>
        <w:t xml:space="preserve"> submitted that the </w:t>
      </w:r>
      <w:r w:rsidR="007E7D8C">
        <w:rPr>
          <w:rFonts w:ascii="Times New Roman" w:eastAsia="Times New Roman" w:hAnsi="Times New Roman" w:cs="Times New Roman"/>
          <w:sz w:val="24"/>
          <w:szCs w:val="24"/>
          <w:lang w:val="en-US"/>
        </w:rPr>
        <w:t>first</w:t>
      </w:r>
      <w:r w:rsidR="006501FF">
        <w:rPr>
          <w:rFonts w:ascii="Times New Roman" w:eastAsia="Times New Roman" w:hAnsi="Times New Roman" w:cs="Times New Roman"/>
          <w:sz w:val="24"/>
          <w:szCs w:val="24"/>
          <w:lang w:val="en-US"/>
        </w:rPr>
        <w:t xml:space="preserve"> respondent intended to defraud her in common purpose with 3</w:t>
      </w:r>
      <w:r w:rsidR="006501FF" w:rsidRPr="006501FF">
        <w:rPr>
          <w:rFonts w:ascii="Times New Roman" w:eastAsia="Times New Roman" w:hAnsi="Times New Roman" w:cs="Times New Roman"/>
          <w:sz w:val="24"/>
          <w:szCs w:val="24"/>
          <w:vertAlign w:val="superscript"/>
          <w:lang w:val="en-US"/>
        </w:rPr>
        <w:t>rd</w:t>
      </w:r>
      <w:r w:rsidR="006501FF">
        <w:rPr>
          <w:rFonts w:ascii="Times New Roman" w:eastAsia="Times New Roman" w:hAnsi="Times New Roman" w:cs="Times New Roman"/>
          <w:sz w:val="24"/>
          <w:szCs w:val="24"/>
          <w:lang w:val="en-US"/>
        </w:rPr>
        <w:t xml:space="preserve"> parties </w:t>
      </w:r>
      <w:r w:rsidR="00C839CE" w:rsidRPr="00C839CE">
        <w:rPr>
          <w:rFonts w:ascii="Times New Roman" w:eastAsia="Times New Roman" w:hAnsi="Times New Roman" w:cs="Times New Roman"/>
          <w:sz w:val="24"/>
          <w:szCs w:val="24"/>
          <w:lang w:val="en-US"/>
        </w:rPr>
        <w:t>hen</w:t>
      </w:r>
      <w:r w:rsidR="00EA7410">
        <w:rPr>
          <w:rFonts w:ascii="Times New Roman" w:eastAsia="Times New Roman" w:hAnsi="Times New Roman" w:cs="Times New Roman"/>
          <w:sz w:val="24"/>
          <w:szCs w:val="24"/>
          <w:lang w:val="en-US"/>
        </w:rPr>
        <w:t xml:space="preserve">ce she terminated the agreement. </w:t>
      </w:r>
    </w:p>
    <w:p w:rsidR="006501FF" w:rsidRPr="00C839CE" w:rsidRDefault="006501FF" w:rsidP="00C839CE">
      <w:pPr>
        <w:spacing w:after="0" w:line="480" w:lineRule="auto"/>
        <w:jc w:val="both"/>
        <w:rPr>
          <w:rFonts w:ascii="Times New Roman" w:eastAsia="Times New Roman" w:hAnsi="Times New Roman" w:cs="Times New Roman"/>
          <w:sz w:val="24"/>
          <w:szCs w:val="24"/>
          <w:lang w:val="en-US"/>
        </w:rPr>
      </w:pPr>
    </w:p>
    <w:p w:rsidR="00C839CE" w:rsidRDefault="008A670F"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27532">
        <w:rPr>
          <w:rFonts w:ascii="Times New Roman" w:eastAsia="Times New Roman" w:hAnsi="Times New Roman" w:cs="Times New Roman"/>
          <w:sz w:val="24"/>
          <w:szCs w:val="24"/>
          <w:lang w:val="en-US"/>
        </w:rPr>
        <w:t xml:space="preserve">                 After hearing evidence on the matter</w:t>
      </w:r>
      <w:r w:rsidR="00626E00">
        <w:rPr>
          <w:rFonts w:ascii="Times New Roman" w:eastAsia="Times New Roman" w:hAnsi="Times New Roman" w:cs="Times New Roman"/>
          <w:sz w:val="24"/>
          <w:szCs w:val="24"/>
          <w:lang w:val="en-US"/>
        </w:rPr>
        <w:t xml:space="preserve">, </w:t>
      </w:r>
      <w:r w:rsidR="00C839CE" w:rsidRPr="00C839CE">
        <w:rPr>
          <w:rFonts w:ascii="Times New Roman" w:eastAsia="Times New Roman" w:hAnsi="Times New Roman" w:cs="Times New Roman"/>
          <w:sz w:val="24"/>
          <w:szCs w:val="24"/>
          <w:lang w:val="en-US"/>
        </w:rPr>
        <w:t xml:space="preserve">the court </w:t>
      </w:r>
      <w:r w:rsidR="00C839CE" w:rsidRPr="00833451">
        <w:rPr>
          <w:rFonts w:ascii="Times New Roman" w:eastAsia="Times New Roman" w:hAnsi="Times New Roman" w:cs="Times New Roman"/>
          <w:i/>
          <w:sz w:val="24"/>
          <w:szCs w:val="24"/>
          <w:lang w:val="en-US"/>
        </w:rPr>
        <w:t>a quo</w:t>
      </w:r>
      <w:r w:rsidR="00C839CE" w:rsidRPr="00C839CE">
        <w:rPr>
          <w:rFonts w:ascii="Times New Roman" w:eastAsia="Times New Roman" w:hAnsi="Times New Roman" w:cs="Times New Roman"/>
          <w:sz w:val="24"/>
          <w:szCs w:val="24"/>
          <w:lang w:val="en-US"/>
        </w:rPr>
        <w:t xml:space="preserve"> held that it was </w:t>
      </w:r>
      <w:r w:rsidR="00827532" w:rsidRPr="00C839CE">
        <w:rPr>
          <w:rFonts w:ascii="Times New Roman" w:eastAsia="Times New Roman" w:hAnsi="Times New Roman" w:cs="Times New Roman"/>
          <w:sz w:val="24"/>
          <w:szCs w:val="24"/>
          <w:lang w:val="en-US"/>
        </w:rPr>
        <w:t>apparent</w:t>
      </w:r>
      <w:r w:rsidR="00C839CE" w:rsidRPr="00C839CE">
        <w:rPr>
          <w:rFonts w:ascii="Times New Roman" w:eastAsia="Times New Roman" w:hAnsi="Times New Roman" w:cs="Times New Roman"/>
          <w:sz w:val="24"/>
          <w:szCs w:val="24"/>
          <w:lang w:val="en-US"/>
        </w:rPr>
        <w:t xml:space="preserve"> from the evidence that had been produced before </w:t>
      </w:r>
      <w:r w:rsidR="00827532">
        <w:rPr>
          <w:rFonts w:ascii="Times New Roman" w:eastAsia="Times New Roman" w:hAnsi="Times New Roman" w:cs="Times New Roman"/>
          <w:sz w:val="24"/>
          <w:szCs w:val="24"/>
          <w:lang w:val="en-US"/>
        </w:rPr>
        <w:t xml:space="preserve">it </w:t>
      </w:r>
      <w:r w:rsidR="00C839CE" w:rsidRPr="00C839CE">
        <w:rPr>
          <w:rFonts w:ascii="Times New Roman" w:eastAsia="Times New Roman" w:hAnsi="Times New Roman" w:cs="Times New Roman"/>
          <w:sz w:val="24"/>
          <w:szCs w:val="24"/>
          <w:lang w:val="en-US"/>
        </w:rPr>
        <w:t>that the applicant had signed the agreeme</w:t>
      </w:r>
      <w:r w:rsidR="0094183A">
        <w:rPr>
          <w:rFonts w:ascii="Times New Roman" w:eastAsia="Times New Roman" w:hAnsi="Times New Roman" w:cs="Times New Roman"/>
          <w:sz w:val="24"/>
          <w:szCs w:val="24"/>
          <w:lang w:val="en-US"/>
        </w:rPr>
        <w:t>nt for 12 billion and further</w:t>
      </w:r>
      <w:r w:rsidR="00C839CE" w:rsidRPr="00C839CE">
        <w:rPr>
          <w:rFonts w:ascii="Times New Roman" w:eastAsia="Times New Roman" w:hAnsi="Times New Roman" w:cs="Times New Roman"/>
          <w:sz w:val="24"/>
          <w:szCs w:val="24"/>
          <w:lang w:val="en-US"/>
        </w:rPr>
        <w:t xml:space="preserve"> that she had signed an acknowledgement of the receipt of the purchase price. Having made these findings</w:t>
      </w:r>
      <w:r w:rsidR="00827532">
        <w:rPr>
          <w:rFonts w:ascii="Times New Roman" w:eastAsia="Times New Roman" w:hAnsi="Times New Roman" w:cs="Times New Roman"/>
          <w:sz w:val="24"/>
          <w:szCs w:val="24"/>
          <w:lang w:val="en-US"/>
        </w:rPr>
        <w:t>,</w:t>
      </w:r>
      <w:r w:rsidR="00C839CE" w:rsidRPr="00C839CE">
        <w:rPr>
          <w:rFonts w:ascii="Times New Roman" w:eastAsia="Times New Roman" w:hAnsi="Times New Roman" w:cs="Times New Roman"/>
          <w:sz w:val="24"/>
          <w:szCs w:val="24"/>
          <w:lang w:val="en-US"/>
        </w:rPr>
        <w:t xml:space="preserve"> the judge </w:t>
      </w:r>
      <w:r w:rsidR="00C839CE" w:rsidRPr="00833451">
        <w:rPr>
          <w:rFonts w:ascii="Times New Roman" w:eastAsia="Times New Roman" w:hAnsi="Times New Roman" w:cs="Times New Roman"/>
          <w:i/>
          <w:sz w:val="24"/>
          <w:szCs w:val="24"/>
          <w:lang w:val="en-US"/>
        </w:rPr>
        <w:t>a quo</w:t>
      </w:r>
      <w:r w:rsidR="00C839CE" w:rsidRPr="00C839CE">
        <w:rPr>
          <w:rFonts w:ascii="Times New Roman" w:eastAsia="Times New Roman" w:hAnsi="Times New Roman" w:cs="Times New Roman"/>
          <w:sz w:val="24"/>
          <w:szCs w:val="24"/>
          <w:lang w:val="en-US"/>
        </w:rPr>
        <w:t xml:space="preserve"> was satisfied that all the essential elements of a valid agreement of sale were met. The court </w:t>
      </w:r>
      <w:r w:rsidR="00827532">
        <w:rPr>
          <w:rFonts w:ascii="Times New Roman" w:eastAsia="Times New Roman" w:hAnsi="Times New Roman" w:cs="Times New Roman"/>
          <w:sz w:val="24"/>
          <w:szCs w:val="24"/>
          <w:lang w:val="en-US"/>
        </w:rPr>
        <w:t xml:space="preserve">ordered </w:t>
      </w:r>
      <w:r w:rsidR="00833451">
        <w:rPr>
          <w:rFonts w:ascii="Times New Roman" w:eastAsia="Times New Roman" w:hAnsi="Times New Roman" w:cs="Times New Roman"/>
          <w:sz w:val="24"/>
          <w:szCs w:val="24"/>
          <w:lang w:val="en-US"/>
        </w:rPr>
        <w:t>transfer of the said property.</w:t>
      </w:r>
    </w:p>
    <w:p w:rsidR="00C839CE" w:rsidRDefault="008A670F"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7C6601">
        <w:rPr>
          <w:rFonts w:ascii="Times New Roman" w:eastAsia="Times New Roman" w:hAnsi="Times New Roman" w:cs="Times New Roman"/>
          <w:sz w:val="24"/>
          <w:szCs w:val="24"/>
          <w:lang w:val="en-US"/>
        </w:rPr>
        <w:t>It is imperative to note that j</w:t>
      </w:r>
      <w:r w:rsidR="00C839CE" w:rsidRPr="00C839CE">
        <w:rPr>
          <w:rFonts w:ascii="Times New Roman" w:eastAsia="Times New Roman" w:hAnsi="Times New Roman" w:cs="Times New Roman"/>
          <w:sz w:val="24"/>
          <w:szCs w:val="24"/>
          <w:lang w:val="en-US"/>
        </w:rPr>
        <w:t xml:space="preserve">udgment in the matter </w:t>
      </w:r>
      <w:r w:rsidR="00A754DF">
        <w:rPr>
          <w:rFonts w:ascii="Times New Roman" w:eastAsia="Times New Roman" w:hAnsi="Times New Roman" w:cs="Times New Roman"/>
          <w:sz w:val="24"/>
          <w:szCs w:val="24"/>
          <w:lang w:val="en-US"/>
        </w:rPr>
        <w:t xml:space="preserve">was handed down </w:t>
      </w:r>
      <w:r w:rsidR="007E7D8C">
        <w:rPr>
          <w:rFonts w:ascii="Times New Roman" w:eastAsia="Times New Roman" w:hAnsi="Times New Roman" w:cs="Times New Roman"/>
          <w:sz w:val="24"/>
          <w:szCs w:val="24"/>
          <w:lang w:val="en-US"/>
        </w:rPr>
        <w:t>on</w:t>
      </w:r>
      <w:r w:rsidR="00C839CE" w:rsidRPr="00C839CE">
        <w:rPr>
          <w:rFonts w:ascii="Times New Roman" w:eastAsia="Times New Roman" w:hAnsi="Times New Roman" w:cs="Times New Roman"/>
          <w:sz w:val="24"/>
          <w:szCs w:val="24"/>
          <w:lang w:val="en-US"/>
        </w:rPr>
        <w:t xml:space="preserve"> 19</w:t>
      </w:r>
      <w:r w:rsidR="006A15C3">
        <w:rPr>
          <w:rFonts w:ascii="Times New Roman" w:eastAsia="Times New Roman" w:hAnsi="Times New Roman" w:cs="Times New Roman"/>
          <w:sz w:val="24"/>
          <w:szCs w:val="24"/>
          <w:lang w:val="en-US"/>
        </w:rPr>
        <w:t> </w:t>
      </w:r>
      <w:r w:rsidR="00C839CE" w:rsidRPr="00C839CE">
        <w:rPr>
          <w:rFonts w:ascii="Times New Roman" w:eastAsia="Times New Roman" w:hAnsi="Times New Roman" w:cs="Times New Roman"/>
          <w:sz w:val="24"/>
          <w:szCs w:val="24"/>
          <w:lang w:val="en-US"/>
        </w:rPr>
        <w:t xml:space="preserve">September 2018. </w:t>
      </w:r>
      <w:r w:rsidR="00A754DF">
        <w:rPr>
          <w:rFonts w:ascii="Times New Roman" w:eastAsia="Times New Roman" w:hAnsi="Times New Roman" w:cs="Times New Roman"/>
          <w:sz w:val="24"/>
          <w:szCs w:val="24"/>
          <w:lang w:val="en-US"/>
        </w:rPr>
        <w:t>In her founding affidavit</w:t>
      </w:r>
      <w:r w:rsidR="007C6601">
        <w:rPr>
          <w:rFonts w:ascii="Times New Roman" w:eastAsia="Times New Roman" w:hAnsi="Times New Roman" w:cs="Times New Roman"/>
          <w:sz w:val="24"/>
          <w:szCs w:val="24"/>
          <w:lang w:val="en-US"/>
        </w:rPr>
        <w:t>,</w:t>
      </w:r>
      <w:r w:rsidR="00A754DF">
        <w:rPr>
          <w:rFonts w:ascii="Times New Roman" w:eastAsia="Times New Roman" w:hAnsi="Times New Roman" w:cs="Times New Roman"/>
          <w:sz w:val="24"/>
          <w:szCs w:val="24"/>
          <w:lang w:val="en-US"/>
        </w:rPr>
        <w:t xml:space="preserve"> the </w:t>
      </w:r>
      <w:r w:rsidR="00C839CE" w:rsidRPr="00C839CE">
        <w:rPr>
          <w:rFonts w:ascii="Times New Roman" w:eastAsia="Times New Roman" w:hAnsi="Times New Roman" w:cs="Times New Roman"/>
          <w:sz w:val="24"/>
          <w:szCs w:val="24"/>
          <w:lang w:val="en-US"/>
        </w:rPr>
        <w:t>applicant a</w:t>
      </w:r>
      <w:r w:rsidR="00A754DF">
        <w:rPr>
          <w:rFonts w:ascii="Times New Roman" w:eastAsia="Times New Roman" w:hAnsi="Times New Roman" w:cs="Times New Roman"/>
          <w:sz w:val="24"/>
          <w:szCs w:val="24"/>
          <w:lang w:val="en-US"/>
        </w:rPr>
        <w:t xml:space="preserve">lleges </w:t>
      </w:r>
      <w:r w:rsidR="00B82D9F">
        <w:rPr>
          <w:rFonts w:ascii="Times New Roman" w:eastAsia="Times New Roman" w:hAnsi="Times New Roman" w:cs="Times New Roman"/>
          <w:sz w:val="24"/>
          <w:szCs w:val="24"/>
          <w:lang w:val="en-US"/>
        </w:rPr>
        <w:t xml:space="preserve">that she </w:t>
      </w:r>
      <w:r w:rsidR="00626E00">
        <w:rPr>
          <w:rFonts w:ascii="Times New Roman" w:eastAsia="Times New Roman" w:hAnsi="Times New Roman" w:cs="Times New Roman"/>
          <w:sz w:val="24"/>
          <w:szCs w:val="24"/>
          <w:lang w:val="en-US"/>
        </w:rPr>
        <w:t xml:space="preserve">only </w:t>
      </w:r>
      <w:r w:rsidR="00B82D9F">
        <w:rPr>
          <w:rFonts w:ascii="Times New Roman" w:eastAsia="Times New Roman" w:hAnsi="Times New Roman" w:cs="Times New Roman"/>
          <w:sz w:val="24"/>
          <w:szCs w:val="24"/>
          <w:lang w:val="en-US"/>
        </w:rPr>
        <w:t xml:space="preserve">got </w:t>
      </w:r>
      <w:r w:rsidR="00626E00">
        <w:rPr>
          <w:rFonts w:ascii="Times New Roman" w:eastAsia="Times New Roman" w:hAnsi="Times New Roman" w:cs="Times New Roman"/>
          <w:sz w:val="24"/>
          <w:szCs w:val="24"/>
          <w:lang w:val="en-US"/>
        </w:rPr>
        <w:t>knowledge</w:t>
      </w:r>
      <w:r w:rsidR="00B82D9F">
        <w:rPr>
          <w:rFonts w:ascii="Times New Roman" w:eastAsia="Times New Roman" w:hAnsi="Times New Roman" w:cs="Times New Roman"/>
          <w:sz w:val="24"/>
          <w:szCs w:val="24"/>
          <w:lang w:val="en-US"/>
        </w:rPr>
        <w:t xml:space="preserve"> </w:t>
      </w:r>
      <w:r w:rsidR="007F40B0">
        <w:rPr>
          <w:rFonts w:ascii="Times New Roman" w:eastAsia="Times New Roman" w:hAnsi="Times New Roman" w:cs="Times New Roman"/>
          <w:sz w:val="24"/>
          <w:szCs w:val="24"/>
          <w:lang w:val="en-US"/>
        </w:rPr>
        <w:t>of that</w:t>
      </w:r>
      <w:r w:rsidR="00626E00">
        <w:rPr>
          <w:rFonts w:ascii="Times New Roman" w:eastAsia="Times New Roman" w:hAnsi="Times New Roman" w:cs="Times New Roman"/>
          <w:sz w:val="24"/>
          <w:szCs w:val="24"/>
          <w:lang w:val="en-US"/>
        </w:rPr>
        <w:t xml:space="preserve"> </w:t>
      </w:r>
      <w:r w:rsidR="00A754DF">
        <w:rPr>
          <w:rFonts w:ascii="Times New Roman" w:eastAsia="Times New Roman" w:hAnsi="Times New Roman" w:cs="Times New Roman"/>
          <w:sz w:val="24"/>
          <w:szCs w:val="24"/>
          <w:lang w:val="en-US"/>
        </w:rPr>
        <w:t xml:space="preserve">judgment </w:t>
      </w:r>
      <w:r w:rsidR="007E7D8C">
        <w:rPr>
          <w:rFonts w:ascii="Times New Roman" w:eastAsia="Times New Roman" w:hAnsi="Times New Roman" w:cs="Times New Roman"/>
          <w:sz w:val="24"/>
          <w:szCs w:val="24"/>
          <w:lang w:val="en-US"/>
        </w:rPr>
        <w:t>on</w:t>
      </w:r>
      <w:r w:rsidR="00C839CE" w:rsidRPr="00C839CE">
        <w:rPr>
          <w:rFonts w:ascii="Times New Roman" w:eastAsia="Times New Roman" w:hAnsi="Times New Roman" w:cs="Times New Roman"/>
          <w:sz w:val="24"/>
          <w:szCs w:val="24"/>
          <w:lang w:val="en-US"/>
        </w:rPr>
        <w:t xml:space="preserve"> 10 October 2018. </w:t>
      </w:r>
      <w:r w:rsidR="007F40B0">
        <w:rPr>
          <w:rFonts w:ascii="Times New Roman" w:eastAsia="Times New Roman" w:hAnsi="Times New Roman" w:cs="Times New Roman"/>
          <w:sz w:val="24"/>
          <w:szCs w:val="24"/>
          <w:lang w:val="en-US"/>
        </w:rPr>
        <w:t>T</w:t>
      </w:r>
      <w:r w:rsidR="00C839CE" w:rsidRPr="00C839CE">
        <w:rPr>
          <w:rFonts w:ascii="Times New Roman" w:eastAsia="Times New Roman" w:hAnsi="Times New Roman" w:cs="Times New Roman"/>
          <w:sz w:val="24"/>
          <w:szCs w:val="24"/>
          <w:lang w:val="en-US"/>
        </w:rPr>
        <w:t xml:space="preserve">hereafter </w:t>
      </w:r>
      <w:r w:rsidR="00B82D9F">
        <w:rPr>
          <w:rFonts w:ascii="Times New Roman" w:eastAsia="Times New Roman" w:hAnsi="Times New Roman" w:cs="Times New Roman"/>
          <w:sz w:val="24"/>
          <w:szCs w:val="24"/>
          <w:lang w:val="en-US"/>
        </w:rPr>
        <w:t>s</w:t>
      </w:r>
      <w:r w:rsidR="00C839CE" w:rsidRPr="00C839CE">
        <w:rPr>
          <w:rFonts w:ascii="Times New Roman" w:eastAsia="Times New Roman" w:hAnsi="Times New Roman" w:cs="Times New Roman"/>
          <w:sz w:val="24"/>
          <w:szCs w:val="24"/>
          <w:lang w:val="en-US"/>
        </w:rPr>
        <w:t xml:space="preserve">he </w:t>
      </w:r>
      <w:r w:rsidR="00B82D9F">
        <w:rPr>
          <w:rFonts w:ascii="Times New Roman" w:eastAsia="Times New Roman" w:hAnsi="Times New Roman" w:cs="Times New Roman"/>
          <w:sz w:val="24"/>
          <w:szCs w:val="24"/>
          <w:lang w:val="en-US"/>
        </w:rPr>
        <w:t>had discussio</w:t>
      </w:r>
      <w:r w:rsidR="007F40B0">
        <w:rPr>
          <w:rFonts w:ascii="Times New Roman" w:eastAsia="Times New Roman" w:hAnsi="Times New Roman" w:cs="Times New Roman"/>
          <w:sz w:val="24"/>
          <w:szCs w:val="24"/>
          <w:lang w:val="en-US"/>
        </w:rPr>
        <w:t xml:space="preserve">ns with her legal practitioners where she </w:t>
      </w:r>
      <w:r w:rsidR="00870AA3">
        <w:rPr>
          <w:rFonts w:ascii="Times New Roman" w:eastAsia="Times New Roman" w:hAnsi="Times New Roman" w:cs="Times New Roman"/>
          <w:sz w:val="24"/>
          <w:szCs w:val="24"/>
          <w:lang w:val="en-US"/>
        </w:rPr>
        <w:t>expressed dismay at</w:t>
      </w:r>
      <w:r w:rsidR="00C839CE" w:rsidRPr="00C839CE">
        <w:rPr>
          <w:rFonts w:ascii="Times New Roman" w:eastAsia="Times New Roman" w:hAnsi="Times New Roman" w:cs="Times New Roman"/>
          <w:sz w:val="24"/>
          <w:szCs w:val="24"/>
          <w:lang w:val="en-US"/>
        </w:rPr>
        <w:t xml:space="preserve"> the judgment lead</w:t>
      </w:r>
      <w:r w:rsidR="00B82D9F">
        <w:rPr>
          <w:rFonts w:ascii="Times New Roman" w:eastAsia="Times New Roman" w:hAnsi="Times New Roman" w:cs="Times New Roman"/>
          <w:sz w:val="24"/>
          <w:szCs w:val="24"/>
          <w:lang w:val="en-US"/>
        </w:rPr>
        <w:t>ing to the instruction that an application for condonation and extension of time within which to note an appeal be made</w:t>
      </w:r>
      <w:r w:rsidR="00C839CE" w:rsidRPr="00C839CE">
        <w:rPr>
          <w:rFonts w:ascii="Times New Roman" w:eastAsia="Times New Roman" w:hAnsi="Times New Roman" w:cs="Times New Roman"/>
          <w:sz w:val="24"/>
          <w:szCs w:val="24"/>
          <w:lang w:val="en-US"/>
        </w:rPr>
        <w:t xml:space="preserve"> as the appeal was already </w:t>
      </w:r>
      <w:r w:rsidR="007F40B0">
        <w:rPr>
          <w:rFonts w:ascii="Times New Roman" w:eastAsia="Times New Roman" w:hAnsi="Times New Roman" w:cs="Times New Roman"/>
          <w:sz w:val="24"/>
          <w:szCs w:val="24"/>
          <w:lang w:val="en-US"/>
        </w:rPr>
        <w:t xml:space="preserve">four days </w:t>
      </w:r>
      <w:r w:rsidR="00C839CE" w:rsidRPr="00C839CE">
        <w:rPr>
          <w:rFonts w:ascii="Times New Roman" w:eastAsia="Times New Roman" w:hAnsi="Times New Roman" w:cs="Times New Roman"/>
          <w:sz w:val="24"/>
          <w:szCs w:val="24"/>
          <w:lang w:val="en-US"/>
        </w:rPr>
        <w:t>out of time.</w:t>
      </w:r>
    </w:p>
    <w:p w:rsidR="001E4E6A" w:rsidRPr="001E4E6A" w:rsidRDefault="001E4E6A" w:rsidP="00C839CE">
      <w:pPr>
        <w:spacing w:after="0" w:line="480" w:lineRule="auto"/>
        <w:jc w:val="both"/>
        <w:rPr>
          <w:rFonts w:ascii="Times New Roman" w:eastAsia="Times New Roman" w:hAnsi="Times New Roman" w:cs="Times New Roman"/>
          <w:b/>
          <w:sz w:val="24"/>
          <w:szCs w:val="24"/>
          <w:lang w:val="en-US"/>
        </w:rPr>
      </w:pPr>
    </w:p>
    <w:p w:rsidR="0011768D" w:rsidRPr="001E4E6A" w:rsidRDefault="001E4E6A" w:rsidP="00C839CE">
      <w:pPr>
        <w:spacing w:after="0" w:line="480" w:lineRule="auto"/>
        <w:jc w:val="both"/>
        <w:rPr>
          <w:rFonts w:ascii="Times New Roman" w:eastAsia="Times New Roman" w:hAnsi="Times New Roman" w:cs="Times New Roman"/>
          <w:b/>
          <w:i/>
          <w:sz w:val="24"/>
          <w:szCs w:val="24"/>
          <w:lang w:val="en-US"/>
        </w:rPr>
      </w:pPr>
      <w:r w:rsidRPr="001E4E6A">
        <w:rPr>
          <w:rFonts w:ascii="Times New Roman" w:eastAsia="Times New Roman" w:hAnsi="Times New Roman" w:cs="Times New Roman"/>
          <w:b/>
          <w:i/>
          <w:sz w:val="24"/>
          <w:szCs w:val="24"/>
          <w:lang w:val="en-US"/>
        </w:rPr>
        <w:t>APPLICANT’S SUBMISSIONS</w:t>
      </w:r>
    </w:p>
    <w:p w:rsidR="001E4E6A" w:rsidRDefault="001E4E6A"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11768D">
        <w:rPr>
          <w:rFonts w:ascii="Times New Roman" w:eastAsia="Times New Roman" w:hAnsi="Times New Roman" w:cs="Times New Roman"/>
          <w:sz w:val="24"/>
          <w:szCs w:val="24"/>
          <w:lang w:val="en-US"/>
        </w:rPr>
        <w:t>At the hearing</w:t>
      </w:r>
      <w:r w:rsidR="00626E00">
        <w:rPr>
          <w:rFonts w:ascii="Times New Roman" w:eastAsia="Times New Roman" w:hAnsi="Times New Roman" w:cs="Times New Roman"/>
          <w:sz w:val="24"/>
          <w:szCs w:val="24"/>
          <w:lang w:val="en-US"/>
        </w:rPr>
        <w:t xml:space="preserve"> of this application,</w:t>
      </w:r>
      <w:r w:rsidR="0011768D">
        <w:rPr>
          <w:rFonts w:ascii="Times New Roman" w:eastAsia="Times New Roman" w:hAnsi="Times New Roman" w:cs="Times New Roman"/>
          <w:sz w:val="24"/>
          <w:szCs w:val="24"/>
          <w:lang w:val="en-US"/>
        </w:rPr>
        <w:t xml:space="preserve"> </w:t>
      </w:r>
      <w:proofErr w:type="spellStart"/>
      <w:r w:rsidR="0011768D" w:rsidRPr="007E7D8C">
        <w:rPr>
          <w:rFonts w:ascii="Times New Roman" w:eastAsia="Times New Roman" w:hAnsi="Times New Roman" w:cs="Times New Roman"/>
          <w:sz w:val="24"/>
          <w:szCs w:val="24"/>
          <w:lang w:val="en-US"/>
        </w:rPr>
        <w:t>Ms</w:t>
      </w:r>
      <w:proofErr w:type="spellEnd"/>
      <w:r w:rsidR="0011768D" w:rsidRPr="0011768D">
        <w:rPr>
          <w:rFonts w:ascii="Times New Roman" w:eastAsia="Times New Roman" w:hAnsi="Times New Roman" w:cs="Times New Roman"/>
          <w:i/>
          <w:sz w:val="24"/>
          <w:szCs w:val="24"/>
          <w:lang w:val="en-US"/>
        </w:rPr>
        <w:t xml:space="preserve"> </w:t>
      </w:r>
      <w:proofErr w:type="spellStart"/>
      <w:r w:rsidR="0011768D" w:rsidRPr="0011768D">
        <w:rPr>
          <w:rFonts w:ascii="Times New Roman" w:eastAsia="Times New Roman" w:hAnsi="Times New Roman" w:cs="Times New Roman"/>
          <w:i/>
          <w:sz w:val="24"/>
          <w:szCs w:val="24"/>
          <w:lang w:val="en-US"/>
        </w:rPr>
        <w:t>Mahere</w:t>
      </w:r>
      <w:proofErr w:type="spellEnd"/>
      <w:r w:rsidR="00626E00">
        <w:rPr>
          <w:rFonts w:ascii="Times New Roman" w:eastAsia="Times New Roman" w:hAnsi="Times New Roman" w:cs="Times New Roman"/>
          <w:i/>
          <w:sz w:val="24"/>
          <w:szCs w:val="24"/>
          <w:lang w:val="en-US"/>
        </w:rPr>
        <w:t>,</w:t>
      </w:r>
      <w:r w:rsidR="0011768D">
        <w:rPr>
          <w:rFonts w:ascii="Times New Roman" w:eastAsia="Times New Roman" w:hAnsi="Times New Roman" w:cs="Times New Roman"/>
          <w:sz w:val="24"/>
          <w:szCs w:val="24"/>
          <w:lang w:val="en-US"/>
        </w:rPr>
        <w:t xml:space="preserve"> counsel for the applicant submitted that the usual practice is that when a judgment is handed down the Clerk </w:t>
      </w:r>
      <w:r w:rsidR="00626E00">
        <w:rPr>
          <w:rFonts w:ascii="Times New Roman" w:eastAsia="Times New Roman" w:hAnsi="Times New Roman" w:cs="Times New Roman"/>
          <w:sz w:val="24"/>
          <w:szCs w:val="24"/>
          <w:lang w:val="en-US"/>
        </w:rPr>
        <w:t xml:space="preserve">of the High Court </w:t>
      </w:r>
      <w:r w:rsidR="0011768D">
        <w:rPr>
          <w:rFonts w:ascii="Times New Roman" w:eastAsia="Times New Roman" w:hAnsi="Times New Roman" w:cs="Times New Roman"/>
          <w:sz w:val="24"/>
          <w:szCs w:val="24"/>
          <w:lang w:val="en-US"/>
        </w:rPr>
        <w:t>telephones legal practitioner</w:t>
      </w:r>
      <w:r w:rsidR="00626E00">
        <w:rPr>
          <w:rFonts w:ascii="Times New Roman" w:eastAsia="Times New Roman" w:hAnsi="Times New Roman" w:cs="Times New Roman"/>
          <w:sz w:val="24"/>
          <w:szCs w:val="24"/>
          <w:lang w:val="en-US"/>
        </w:rPr>
        <w:t>s</w:t>
      </w:r>
      <w:r w:rsidR="0011768D">
        <w:rPr>
          <w:rFonts w:ascii="Times New Roman" w:eastAsia="Times New Roman" w:hAnsi="Times New Roman" w:cs="Times New Roman"/>
          <w:sz w:val="24"/>
          <w:szCs w:val="24"/>
          <w:lang w:val="en-US"/>
        </w:rPr>
        <w:t xml:space="preserve"> to inform them of the judgment</w:t>
      </w:r>
      <w:r w:rsidR="007F40B0">
        <w:rPr>
          <w:rFonts w:ascii="Times New Roman" w:eastAsia="Times New Roman" w:hAnsi="Times New Roman" w:cs="Times New Roman"/>
          <w:sz w:val="24"/>
          <w:szCs w:val="24"/>
          <w:lang w:val="en-US"/>
        </w:rPr>
        <w:t xml:space="preserve">. However, </w:t>
      </w:r>
      <w:r w:rsidR="0011768D">
        <w:rPr>
          <w:rFonts w:ascii="Times New Roman" w:eastAsia="Times New Roman" w:hAnsi="Times New Roman" w:cs="Times New Roman"/>
          <w:sz w:val="24"/>
          <w:szCs w:val="24"/>
          <w:lang w:val="en-US"/>
        </w:rPr>
        <w:t>in this instance the call was made to the applicant’s legal practitioner’s old address</w:t>
      </w:r>
      <w:r w:rsidR="00626E00">
        <w:rPr>
          <w:rFonts w:ascii="Times New Roman" w:eastAsia="Times New Roman" w:hAnsi="Times New Roman" w:cs="Times New Roman"/>
          <w:sz w:val="24"/>
          <w:szCs w:val="24"/>
          <w:lang w:val="en-US"/>
        </w:rPr>
        <w:t xml:space="preserve"> as such the applicant did not get the message</w:t>
      </w:r>
      <w:r w:rsidR="0011768D">
        <w:rPr>
          <w:rFonts w:ascii="Times New Roman" w:eastAsia="Times New Roman" w:hAnsi="Times New Roman" w:cs="Times New Roman"/>
          <w:sz w:val="24"/>
          <w:szCs w:val="24"/>
          <w:lang w:val="en-US"/>
        </w:rPr>
        <w:t>.</w:t>
      </w:r>
      <w:r w:rsidR="003F3A60">
        <w:rPr>
          <w:rFonts w:ascii="Times New Roman" w:eastAsia="Times New Roman" w:hAnsi="Times New Roman" w:cs="Times New Roman"/>
          <w:sz w:val="24"/>
          <w:szCs w:val="24"/>
          <w:lang w:val="en-US"/>
        </w:rPr>
        <w:t xml:space="preserve"> Counsel for the applicant </w:t>
      </w:r>
      <w:r w:rsidR="007F40B0">
        <w:rPr>
          <w:rFonts w:ascii="Times New Roman" w:eastAsia="Times New Roman" w:hAnsi="Times New Roman" w:cs="Times New Roman"/>
          <w:sz w:val="24"/>
          <w:szCs w:val="24"/>
          <w:lang w:val="en-US"/>
        </w:rPr>
        <w:t xml:space="preserve">further </w:t>
      </w:r>
      <w:r w:rsidR="003F3A60">
        <w:rPr>
          <w:rFonts w:ascii="Times New Roman" w:eastAsia="Times New Roman" w:hAnsi="Times New Roman" w:cs="Times New Roman"/>
          <w:sz w:val="24"/>
          <w:szCs w:val="24"/>
          <w:lang w:val="en-US"/>
        </w:rPr>
        <w:t xml:space="preserve">submitted that the delay of four days was not </w:t>
      </w:r>
      <w:r w:rsidR="00626E00">
        <w:rPr>
          <w:rFonts w:ascii="Times New Roman" w:eastAsia="Times New Roman" w:hAnsi="Times New Roman" w:cs="Times New Roman"/>
          <w:sz w:val="24"/>
          <w:szCs w:val="24"/>
          <w:lang w:val="en-US"/>
        </w:rPr>
        <w:t xml:space="preserve">inordinate </w:t>
      </w:r>
      <w:r w:rsidR="007F40B0">
        <w:rPr>
          <w:rFonts w:ascii="Times New Roman" w:eastAsia="Times New Roman" w:hAnsi="Times New Roman" w:cs="Times New Roman"/>
          <w:sz w:val="24"/>
          <w:szCs w:val="24"/>
          <w:lang w:val="en-US"/>
        </w:rPr>
        <w:t xml:space="preserve">given the fact that the applicant acted as promptly as possible soon after </w:t>
      </w:r>
      <w:proofErr w:type="spellStart"/>
      <w:r w:rsidR="007F40B0">
        <w:rPr>
          <w:rFonts w:ascii="Times New Roman" w:eastAsia="Times New Roman" w:hAnsi="Times New Roman" w:cs="Times New Roman"/>
          <w:sz w:val="24"/>
          <w:szCs w:val="24"/>
          <w:lang w:val="en-US"/>
        </w:rPr>
        <w:t>realising</w:t>
      </w:r>
      <w:proofErr w:type="spellEnd"/>
      <w:r w:rsidR="007F40B0">
        <w:rPr>
          <w:rFonts w:ascii="Times New Roman" w:eastAsia="Times New Roman" w:hAnsi="Times New Roman" w:cs="Times New Roman"/>
          <w:sz w:val="24"/>
          <w:szCs w:val="24"/>
          <w:lang w:val="en-US"/>
        </w:rPr>
        <w:t xml:space="preserve"> that judgment had been handed down. </w:t>
      </w:r>
    </w:p>
    <w:p w:rsidR="007F40B0" w:rsidRDefault="007F40B0" w:rsidP="00C839CE">
      <w:pPr>
        <w:spacing w:after="0" w:line="480" w:lineRule="auto"/>
        <w:jc w:val="both"/>
        <w:rPr>
          <w:rFonts w:ascii="Times New Roman" w:eastAsia="Times New Roman" w:hAnsi="Times New Roman" w:cs="Times New Roman"/>
          <w:sz w:val="24"/>
          <w:szCs w:val="24"/>
          <w:lang w:val="en-US"/>
        </w:rPr>
      </w:pPr>
    </w:p>
    <w:p w:rsidR="00D97D46" w:rsidRDefault="001E4E6A"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F3A60">
        <w:rPr>
          <w:rFonts w:ascii="Times New Roman" w:eastAsia="Times New Roman" w:hAnsi="Times New Roman" w:cs="Times New Roman"/>
          <w:sz w:val="24"/>
          <w:szCs w:val="24"/>
          <w:lang w:val="en-US"/>
        </w:rPr>
        <w:t xml:space="preserve">With regards to the question of whether or not there were prospects of success in the </w:t>
      </w:r>
      <w:proofErr w:type="gramStart"/>
      <w:r w:rsidR="003F3A60">
        <w:rPr>
          <w:rFonts w:ascii="Times New Roman" w:eastAsia="Times New Roman" w:hAnsi="Times New Roman" w:cs="Times New Roman"/>
          <w:sz w:val="24"/>
          <w:szCs w:val="24"/>
          <w:lang w:val="en-US"/>
        </w:rPr>
        <w:t>matter,</w:t>
      </w:r>
      <w:proofErr w:type="gramEnd"/>
      <w:r w:rsidR="003F3A60">
        <w:rPr>
          <w:rFonts w:ascii="Times New Roman" w:eastAsia="Times New Roman" w:hAnsi="Times New Roman" w:cs="Times New Roman"/>
          <w:sz w:val="24"/>
          <w:szCs w:val="24"/>
          <w:lang w:val="en-US"/>
        </w:rPr>
        <w:t xml:space="preserve"> </w:t>
      </w:r>
      <w:proofErr w:type="spellStart"/>
      <w:r w:rsidR="003F3A60" w:rsidRPr="007E7D8C">
        <w:rPr>
          <w:rFonts w:ascii="Times New Roman" w:eastAsia="Times New Roman" w:hAnsi="Times New Roman" w:cs="Times New Roman"/>
          <w:sz w:val="24"/>
          <w:szCs w:val="24"/>
          <w:lang w:val="en-US"/>
        </w:rPr>
        <w:t>Ms</w:t>
      </w:r>
      <w:proofErr w:type="spellEnd"/>
      <w:r w:rsidR="003F3A60" w:rsidRPr="003F3A60">
        <w:rPr>
          <w:rFonts w:ascii="Times New Roman" w:eastAsia="Times New Roman" w:hAnsi="Times New Roman" w:cs="Times New Roman"/>
          <w:i/>
          <w:sz w:val="24"/>
          <w:szCs w:val="24"/>
          <w:lang w:val="en-US"/>
        </w:rPr>
        <w:t xml:space="preserve"> </w:t>
      </w:r>
      <w:proofErr w:type="spellStart"/>
      <w:r w:rsidR="003F3A60" w:rsidRPr="003F3A60">
        <w:rPr>
          <w:rFonts w:ascii="Times New Roman" w:eastAsia="Times New Roman" w:hAnsi="Times New Roman" w:cs="Times New Roman"/>
          <w:i/>
          <w:sz w:val="24"/>
          <w:szCs w:val="24"/>
          <w:lang w:val="en-US"/>
        </w:rPr>
        <w:t>Mahere</w:t>
      </w:r>
      <w:proofErr w:type="spellEnd"/>
      <w:r w:rsidR="003F3A60">
        <w:rPr>
          <w:rFonts w:ascii="Times New Roman" w:eastAsia="Times New Roman" w:hAnsi="Times New Roman" w:cs="Times New Roman"/>
          <w:sz w:val="24"/>
          <w:szCs w:val="24"/>
          <w:lang w:val="en-US"/>
        </w:rPr>
        <w:t xml:space="preserve"> </w:t>
      </w:r>
      <w:r w:rsidR="00870AA3">
        <w:rPr>
          <w:rFonts w:ascii="Times New Roman" w:eastAsia="Times New Roman" w:hAnsi="Times New Roman" w:cs="Times New Roman"/>
          <w:sz w:val="24"/>
          <w:szCs w:val="24"/>
          <w:lang w:val="en-US"/>
        </w:rPr>
        <w:t>asserted</w:t>
      </w:r>
      <w:r w:rsidR="003F3A60">
        <w:rPr>
          <w:rFonts w:ascii="Times New Roman" w:eastAsia="Times New Roman" w:hAnsi="Times New Roman" w:cs="Times New Roman"/>
          <w:sz w:val="24"/>
          <w:szCs w:val="24"/>
          <w:lang w:val="en-US"/>
        </w:rPr>
        <w:t xml:space="preserve"> that the </w:t>
      </w:r>
      <w:r w:rsidR="007F40B0">
        <w:rPr>
          <w:rFonts w:ascii="Times New Roman" w:eastAsia="Times New Roman" w:hAnsi="Times New Roman" w:cs="Times New Roman"/>
          <w:sz w:val="24"/>
          <w:szCs w:val="24"/>
          <w:lang w:val="en-US"/>
        </w:rPr>
        <w:t xml:space="preserve">agreement </w:t>
      </w:r>
      <w:r w:rsidR="003F3A60">
        <w:rPr>
          <w:rFonts w:ascii="Times New Roman" w:eastAsia="Times New Roman" w:hAnsi="Times New Roman" w:cs="Times New Roman"/>
          <w:sz w:val="24"/>
          <w:szCs w:val="24"/>
          <w:lang w:val="en-US"/>
        </w:rPr>
        <w:t xml:space="preserve">was </w:t>
      </w:r>
      <w:r w:rsidR="003F3A60" w:rsidRPr="00626E00">
        <w:rPr>
          <w:rFonts w:ascii="Times New Roman" w:eastAsia="Times New Roman" w:hAnsi="Times New Roman" w:cs="Times New Roman"/>
          <w:i/>
          <w:sz w:val="24"/>
          <w:szCs w:val="24"/>
          <w:lang w:val="en-US"/>
        </w:rPr>
        <w:t>void ab initio</w:t>
      </w:r>
      <w:r w:rsidR="007F40B0">
        <w:rPr>
          <w:rFonts w:ascii="Times New Roman" w:eastAsia="Times New Roman" w:hAnsi="Times New Roman" w:cs="Times New Roman"/>
          <w:i/>
          <w:sz w:val="24"/>
          <w:szCs w:val="24"/>
          <w:lang w:val="en-US"/>
        </w:rPr>
        <w:t xml:space="preserve">. </w:t>
      </w:r>
      <w:proofErr w:type="spellStart"/>
      <w:r w:rsidR="007F40B0" w:rsidRPr="007E7D8C">
        <w:rPr>
          <w:rFonts w:ascii="Times New Roman" w:eastAsia="Times New Roman" w:hAnsi="Times New Roman" w:cs="Times New Roman"/>
          <w:sz w:val="24"/>
          <w:szCs w:val="24"/>
          <w:lang w:val="en-US"/>
        </w:rPr>
        <w:t>Ms</w:t>
      </w:r>
      <w:proofErr w:type="spellEnd"/>
      <w:r w:rsidR="007E7D8C">
        <w:rPr>
          <w:rFonts w:ascii="Times New Roman" w:eastAsia="Times New Roman" w:hAnsi="Times New Roman" w:cs="Times New Roman"/>
          <w:i/>
          <w:sz w:val="24"/>
          <w:szCs w:val="24"/>
          <w:lang w:val="en-US"/>
        </w:rPr>
        <w:t> </w:t>
      </w:r>
      <w:proofErr w:type="spellStart"/>
      <w:r w:rsidR="007F40B0" w:rsidRPr="007F40B0">
        <w:rPr>
          <w:rFonts w:ascii="Times New Roman" w:eastAsia="Times New Roman" w:hAnsi="Times New Roman" w:cs="Times New Roman"/>
          <w:i/>
          <w:sz w:val="24"/>
          <w:szCs w:val="24"/>
          <w:lang w:val="en-US"/>
        </w:rPr>
        <w:t>Mahere</w:t>
      </w:r>
      <w:r w:rsidR="007F40B0">
        <w:rPr>
          <w:rFonts w:ascii="Times New Roman" w:eastAsia="Times New Roman" w:hAnsi="Times New Roman" w:cs="Times New Roman"/>
          <w:sz w:val="24"/>
          <w:szCs w:val="24"/>
          <w:lang w:val="en-US"/>
        </w:rPr>
        <w:t>’s</w:t>
      </w:r>
      <w:proofErr w:type="spellEnd"/>
      <w:r w:rsidR="007F40B0">
        <w:rPr>
          <w:rFonts w:ascii="Times New Roman" w:eastAsia="Times New Roman" w:hAnsi="Times New Roman" w:cs="Times New Roman"/>
          <w:sz w:val="24"/>
          <w:szCs w:val="24"/>
          <w:lang w:val="en-US"/>
        </w:rPr>
        <w:t xml:space="preserve"> argument arose from the fact that the parties wanted to </w:t>
      </w:r>
      <w:r w:rsidR="00870AA3">
        <w:rPr>
          <w:rFonts w:ascii="Times New Roman" w:eastAsia="Times New Roman" w:hAnsi="Times New Roman" w:cs="Times New Roman"/>
          <w:sz w:val="24"/>
          <w:szCs w:val="24"/>
          <w:lang w:val="en-US"/>
        </w:rPr>
        <w:t>defraud</w:t>
      </w:r>
      <w:r w:rsidR="007F40B0">
        <w:rPr>
          <w:rFonts w:ascii="Times New Roman" w:eastAsia="Times New Roman" w:hAnsi="Times New Roman" w:cs="Times New Roman"/>
          <w:sz w:val="24"/>
          <w:szCs w:val="24"/>
          <w:lang w:val="en-US"/>
        </w:rPr>
        <w:t xml:space="preserve"> the </w:t>
      </w:r>
      <w:proofErr w:type="spellStart"/>
      <w:r w:rsidR="007F40B0">
        <w:rPr>
          <w:rFonts w:ascii="Times New Roman" w:eastAsia="Times New Roman" w:hAnsi="Times New Roman" w:cs="Times New Roman"/>
          <w:sz w:val="24"/>
          <w:szCs w:val="24"/>
          <w:lang w:val="en-US"/>
        </w:rPr>
        <w:t>fiscus</w:t>
      </w:r>
      <w:proofErr w:type="spellEnd"/>
      <w:r w:rsidR="003F3A60">
        <w:rPr>
          <w:rFonts w:ascii="Times New Roman" w:eastAsia="Times New Roman" w:hAnsi="Times New Roman" w:cs="Times New Roman"/>
          <w:sz w:val="24"/>
          <w:szCs w:val="24"/>
          <w:lang w:val="en-US"/>
        </w:rPr>
        <w:t xml:space="preserve">. </w:t>
      </w:r>
      <w:r w:rsidR="007F40B0">
        <w:rPr>
          <w:rFonts w:ascii="Times New Roman" w:eastAsia="Times New Roman" w:hAnsi="Times New Roman" w:cs="Times New Roman"/>
          <w:sz w:val="24"/>
          <w:szCs w:val="24"/>
          <w:lang w:val="en-US"/>
        </w:rPr>
        <w:t xml:space="preserve">Having made the above averments, the applicant contended that there was </w:t>
      </w:r>
      <w:r w:rsidR="003F3A60">
        <w:rPr>
          <w:rFonts w:ascii="Times New Roman" w:eastAsia="Times New Roman" w:hAnsi="Times New Roman" w:cs="Times New Roman"/>
          <w:sz w:val="24"/>
          <w:szCs w:val="24"/>
          <w:lang w:val="en-US"/>
        </w:rPr>
        <w:t>no contract in the first place therefore there was nothing to uphold.</w:t>
      </w:r>
      <w:r w:rsidR="007F40B0">
        <w:rPr>
          <w:rFonts w:ascii="Times New Roman" w:eastAsia="Times New Roman" w:hAnsi="Times New Roman" w:cs="Times New Roman"/>
          <w:sz w:val="24"/>
          <w:szCs w:val="24"/>
          <w:lang w:val="en-US"/>
        </w:rPr>
        <w:t xml:space="preserve"> As such the decision of the court </w:t>
      </w:r>
      <w:r w:rsidR="007F40B0" w:rsidRPr="007F40B0">
        <w:rPr>
          <w:rFonts w:ascii="Times New Roman" w:eastAsia="Times New Roman" w:hAnsi="Times New Roman" w:cs="Times New Roman"/>
          <w:i/>
          <w:sz w:val="24"/>
          <w:szCs w:val="24"/>
          <w:lang w:val="en-US"/>
        </w:rPr>
        <w:t>a quo</w:t>
      </w:r>
      <w:r w:rsidR="007F40B0">
        <w:rPr>
          <w:rFonts w:ascii="Times New Roman" w:eastAsia="Times New Roman" w:hAnsi="Times New Roman" w:cs="Times New Roman"/>
          <w:sz w:val="24"/>
          <w:szCs w:val="24"/>
          <w:lang w:val="en-US"/>
        </w:rPr>
        <w:t xml:space="preserve"> ought to be set aside.</w:t>
      </w:r>
    </w:p>
    <w:p w:rsidR="00D97D46" w:rsidRDefault="001E4E6A"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D97D46">
        <w:rPr>
          <w:rFonts w:ascii="Times New Roman" w:eastAsia="Times New Roman" w:hAnsi="Times New Roman" w:cs="Times New Roman"/>
          <w:sz w:val="24"/>
          <w:szCs w:val="24"/>
          <w:lang w:val="en-US"/>
        </w:rPr>
        <w:t xml:space="preserve">Pertaining to the </w:t>
      </w:r>
      <w:r w:rsidR="007E7D8C">
        <w:rPr>
          <w:rFonts w:ascii="Times New Roman" w:eastAsia="Times New Roman" w:hAnsi="Times New Roman" w:cs="Times New Roman"/>
          <w:sz w:val="24"/>
          <w:szCs w:val="24"/>
          <w:lang w:val="en-US"/>
        </w:rPr>
        <w:t>second</w:t>
      </w:r>
      <w:r w:rsidR="00D97D46">
        <w:rPr>
          <w:rFonts w:ascii="Times New Roman" w:eastAsia="Times New Roman" w:hAnsi="Times New Roman" w:cs="Times New Roman"/>
          <w:sz w:val="24"/>
          <w:szCs w:val="24"/>
          <w:lang w:val="en-US"/>
        </w:rPr>
        <w:t xml:space="preserve"> respondent’s consent to judgment </w:t>
      </w:r>
      <w:proofErr w:type="spellStart"/>
      <w:r w:rsidR="00D97D46" w:rsidRPr="007E7D8C">
        <w:rPr>
          <w:rFonts w:ascii="Times New Roman" w:eastAsia="Times New Roman" w:hAnsi="Times New Roman" w:cs="Times New Roman"/>
          <w:sz w:val="24"/>
          <w:szCs w:val="24"/>
          <w:lang w:val="en-US"/>
        </w:rPr>
        <w:t>Ms</w:t>
      </w:r>
      <w:proofErr w:type="spellEnd"/>
      <w:r w:rsidR="00D97D46" w:rsidRPr="00D97D46">
        <w:rPr>
          <w:rFonts w:ascii="Times New Roman" w:eastAsia="Times New Roman" w:hAnsi="Times New Roman" w:cs="Times New Roman"/>
          <w:i/>
          <w:sz w:val="24"/>
          <w:szCs w:val="24"/>
          <w:lang w:val="en-US"/>
        </w:rPr>
        <w:t xml:space="preserve"> </w:t>
      </w:r>
      <w:proofErr w:type="spellStart"/>
      <w:r w:rsidR="00D97D46" w:rsidRPr="00D97D46">
        <w:rPr>
          <w:rFonts w:ascii="Times New Roman" w:eastAsia="Times New Roman" w:hAnsi="Times New Roman" w:cs="Times New Roman"/>
          <w:i/>
          <w:sz w:val="24"/>
          <w:szCs w:val="24"/>
          <w:lang w:val="en-US"/>
        </w:rPr>
        <w:t>Mahere</w:t>
      </w:r>
      <w:proofErr w:type="spellEnd"/>
      <w:r w:rsidR="00D97D46">
        <w:rPr>
          <w:rFonts w:ascii="Times New Roman" w:eastAsia="Times New Roman" w:hAnsi="Times New Roman" w:cs="Times New Roman"/>
          <w:sz w:val="24"/>
          <w:szCs w:val="24"/>
          <w:lang w:val="en-US"/>
        </w:rPr>
        <w:t xml:space="preserve"> argued that the fact that the </w:t>
      </w:r>
      <w:r w:rsidR="007E7D8C">
        <w:rPr>
          <w:rFonts w:ascii="Times New Roman" w:eastAsia="Times New Roman" w:hAnsi="Times New Roman" w:cs="Times New Roman"/>
          <w:sz w:val="24"/>
          <w:szCs w:val="24"/>
          <w:lang w:val="en-US"/>
        </w:rPr>
        <w:t>second</w:t>
      </w:r>
      <w:r w:rsidR="00D97D46">
        <w:rPr>
          <w:rFonts w:ascii="Times New Roman" w:eastAsia="Times New Roman" w:hAnsi="Times New Roman" w:cs="Times New Roman"/>
          <w:sz w:val="24"/>
          <w:szCs w:val="24"/>
          <w:lang w:val="en-US"/>
        </w:rPr>
        <w:t xml:space="preserve"> respondent consented to judgment could not override the established fact that the contract was illegal</w:t>
      </w:r>
      <w:r>
        <w:rPr>
          <w:rFonts w:ascii="Times New Roman" w:eastAsia="Times New Roman" w:hAnsi="Times New Roman" w:cs="Times New Roman"/>
          <w:sz w:val="24"/>
          <w:szCs w:val="24"/>
          <w:lang w:val="en-US"/>
        </w:rPr>
        <w:t>.</w:t>
      </w:r>
      <w:r w:rsidR="007E7D8C">
        <w:rPr>
          <w:rFonts w:ascii="Times New Roman" w:eastAsia="Times New Roman" w:hAnsi="Times New Roman" w:cs="Times New Roman"/>
          <w:sz w:val="24"/>
          <w:szCs w:val="24"/>
          <w:lang w:val="en-US"/>
        </w:rPr>
        <w:t xml:space="preserve"> Therefore, the issue of the second</w:t>
      </w:r>
      <w:r w:rsidR="00626E00">
        <w:rPr>
          <w:rFonts w:ascii="Times New Roman" w:eastAsia="Times New Roman" w:hAnsi="Times New Roman" w:cs="Times New Roman"/>
          <w:sz w:val="24"/>
          <w:szCs w:val="24"/>
          <w:lang w:val="en-US"/>
        </w:rPr>
        <w:t xml:space="preserve"> respondent’s consent to judgment was inconsequential in the circumstances.</w:t>
      </w:r>
    </w:p>
    <w:p w:rsidR="001E4E6A" w:rsidRPr="001E4E6A" w:rsidRDefault="001E4E6A" w:rsidP="00C839CE">
      <w:pPr>
        <w:spacing w:after="0" w:line="480" w:lineRule="auto"/>
        <w:jc w:val="both"/>
        <w:rPr>
          <w:rFonts w:ascii="Times New Roman" w:eastAsia="Times New Roman" w:hAnsi="Times New Roman" w:cs="Times New Roman"/>
          <w:b/>
          <w:i/>
          <w:sz w:val="24"/>
          <w:szCs w:val="24"/>
          <w:lang w:val="en-US"/>
        </w:rPr>
      </w:pPr>
    </w:p>
    <w:p w:rsidR="001E4E6A" w:rsidRDefault="007E7D8C" w:rsidP="00C839CE">
      <w:pPr>
        <w:spacing w:after="0" w:line="48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FIRST</w:t>
      </w:r>
      <w:r w:rsidR="001E4E6A" w:rsidRPr="001E4E6A">
        <w:rPr>
          <w:rFonts w:ascii="Times New Roman" w:eastAsia="Times New Roman" w:hAnsi="Times New Roman" w:cs="Times New Roman"/>
          <w:b/>
          <w:i/>
          <w:sz w:val="24"/>
          <w:szCs w:val="24"/>
          <w:lang w:val="en-US"/>
        </w:rPr>
        <w:t xml:space="preserve"> RESPONDENT’S SUBMISSIONS</w:t>
      </w:r>
    </w:p>
    <w:p w:rsidR="001E4E6A" w:rsidRDefault="001E4E6A"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 xml:space="preserve">                  </w:t>
      </w:r>
      <w:r w:rsidRPr="007E7D8C">
        <w:rPr>
          <w:rFonts w:ascii="Times New Roman" w:eastAsia="Times New Roman" w:hAnsi="Times New Roman" w:cs="Times New Roman"/>
          <w:sz w:val="24"/>
          <w:szCs w:val="24"/>
          <w:lang w:val="en-US"/>
        </w:rPr>
        <w:t>Mrs.</w:t>
      </w:r>
      <w:r w:rsidRPr="001E4E6A">
        <w:rPr>
          <w:rFonts w:ascii="Times New Roman" w:eastAsia="Times New Roman" w:hAnsi="Times New Roman" w:cs="Times New Roman"/>
          <w:i/>
          <w:sz w:val="24"/>
          <w:szCs w:val="24"/>
          <w:lang w:val="en-US"/>
        </w:rPr>
        <w:t xml:space="preserve"> </w:t>
      </w:r>
      <w:proofErr w:type="spellStart"/>
      <w:r w:rsidRPr="001E4E6A">
        <w:rPr>
          <w:rFonts w:ascii="Times New Roman" w:eastAsia="Times New Roman" w:hAnsi="Times New Roman" w:cs="Times New Roman"/>
          <w:i/>
          <w:sz w:val="24"/>
          <w:szCs w:val="24"/>
          <w:lang w:val="en-US"/>
        </w:rPr>
        <w:t>Mtetwa</w:t>
      </w:r>
      <w:proofErr w:type="spellEnd"/>
      <w:r>
        <w:rPr>
          <w:rFonts w:ascii="Times New Roman" w:eastAsia="Times New Roman" w:hAnsi="Times New Roman" w:cs="Times New Roman"/>
          <w:sz w:val="24"/>
          <w:szCs w:val="24"/>
          <w:lang w:val="en-US"/>
        </w:rPr>
        <w:t xml:space="preserve">, counsel for the </w:t>
      </w:r>
      <w:r w:rsidR="007E7D8C">
        <w:rPr>
          <w:rFonts w:ascii="Times New Roman" w:eastAsia="Times New Roman" w:hAnsi="Times New Roman" w:cs="Times New Roman"/>
          <w:sz w:val="24"/>
          <w:szCs w:val="24"/>
          <w:lang w:val="en-US"/>
        </w:rPr>
        <w:t>first</w:t>
      </w:r>
      <w:r>
        <w:rPr>
          <w:rFonts w:ascii="Times New Roman" w:eastAsia="Times New Roman" w:hAnsi="Times New Roman" w:cs="Times New Roman"/>
          <w:sz w:val="24"/>
          <w:szCs w:val="24"/>
          <w:lang w:val="en-US"/>
        </w:rPr>
        <w:t xml:space="preserve"> respondent’s submissions were mainly </w:t>
      </w:r>
      <w:proofErr w:type="spellStart"/>
      <w:r>
        <w:rPr>
          <w:rFonts w:ascii="Times New Roman" w:eastAsia="Times New Roman" w:hAnsi="Times New Roman" w:cs="Times New Roman"/>
          <w:sz w:val="24"/>
          <w:szCs w:val="24"/>
          <w:lang w:val="en-US"/>
        </w:rPr>
        <w:t>centred</w:t>
      </w:r>
      <w:proofErr w:type="spellEnd"/>
      <w:r>
        <w:rPr>
          <w:rFonts w:ascii="Times New Roman" w:eastAsia="Times New Roman" w:hAnsi="Times New Roman" w:cs="Times New Roman"/>
          <w:sz w:val="24"/>
          <w:szCs w:val="24"/>
          <w:lang w:val="en-US"/>
        </w:rPr>
        <w:t xml:space="preserve"> on the issue of prospects of success.  </w:t>
      </w:r>
    </w:p>
    <w:p w:rsidR="008A670F" w:rsidRDefault="008A670F" w:rsidP="00C839CE">
      <w:pPr>
        <w:spacing w:after="0" w:line="480" w:lineRule="auto"/>
        <w:jc w:val="both"/>
        <w:rPr>
          <w:rFonts w:ascii="Times New Roman" w:eastAsia="Times New Roman" w:hAnsi="Times New Roman" w:cs="Times New Roman"/>
          <w:sz w:val="24"/>
          <w:szCs w:val="24"/>
          <w:lang w:val="en-US"/>
        </w:rPr>
      </w:pPr>
    </w:p>
    <w:p w:rsidR="008A670F" w:rsidRDefault="008A670F" w:rsidP="00BE5E0B">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Counsel for the </w:t>
      </w:r>
      <w:r w:rsidR="007E7D8C">
        <w:rPr>
          <w:rFonts w:ascii="Times New Roman" w:eastAsia="Times New Roman" w:hAnsi="Times New Roman" w:cs="Times New Roman"/>
          <w:sz w:val="24"/>
          <w:szCs w:val="24"/>
          <w:lang w:val="en-US"/>
        </w:rPr>
        <w:t>first</w:t>
      </w:r>
      <w:r>
        <w:rPr>
          <w:rFonts w:ascii="Times New Roman" w:eastAsia="Times New Roman" w:hAnsi="Times New Roman" w:cs="Times New Roman"/>
          <w:sz w:val="24"/>
          <w:szCs w:val="24"/>
          <w:lang w:val="en-US"/>
        </w:rPr>
        <w:t xml:space="preserve"> respondent argued there were no prospects o</w:t>
      </w:r>
      <w:r w:rsidR="00BE5E0B">
        <w:rPr>
          <w:rFonts w:ascii="Times New Roman" w:eastAsia="Times New Roman" w:hAnsi="Times New Roman" w:cs="Times New Roman"/>
          <w:sz w:val="24"/>
          <w:szCs w:val="24"/>
          <w:lang w:val="en-US"/>
        </w:rPr>
        <w:t>f success in the matter but the applicant’s intended</w:t>
      </w:r>
      <w:r>
        <w:rPr>
          <w:rFonts w:ascii="Times New Roman" w:eastAsia="Times New Roman" w:hAnsi="Times New Roman" w:cs="Times New Roman"/>
          <w:sz w:val="24"/>
          <w:szCs w:val="24"/>
          <w:lang w:val="en-US"/>
        </w:rPr>
        <w:t xml:space="preserve"> appeal is only a delaying tactic as she is still resident at the property </w:t>
      </w:r>
      <w:r w:rsidR="00870AA3">
        <w:rPr>
          <w:rFonts w:ascii="Times New Roman" w:eastAsia="Times New Roman" w:hAnsi="Times New Roman" w:cs="Times New Roman"/>
          <w:sz w:val="24"/>
          <w:szCs w:val="24"/>
          <w:lang w:val="en-US"/>
        </w:rPr>
        <w:t xml:space="preserve">which is the </w:t>
      </w:r>
      <w:r>
        <w:rPr>
          <w:rFonts w:ascii="Times New Roman" w:eastAsia="Times New Roman" w:hAnsi="Times New Roman" w:cs="Times New Roman"/>
          <w:sz w:val="24"/>
          <w:szCs w:val="24"/>
          <w:lang w:val="en-US"/>
        </w:rPr>
        <w:t xml:space="preserve">subject of this dispute. </w:t>
      </w:r>
    </w:p>
    <w:p w:rsidR="006C16F8" w:rsidRDefault="006C16F8" w:rsidP="00C839CE">
      <w:pPr>
        <w:spacing w:after="0" w:line="480" w:lineRule="auto"/>
        <w:jc w:val="both"/>
        <w:rPr>
          <w:rFonts w:ascii="Times New Roman" w:eastAsia="Times New Roman" w:hAnsi="Times New Roman" w:cs="Times New Roman"/>
          <w:sz w:val="24"/>
          <w:szCs w:val="24"/>
          <w:lang w:val="en-US"/>
        </w:rPr>
      </w:pPr>
    </w:p>
    <w:p w:rsidR="00F05284" w:rsidRDefault="006C16F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7D8C">
        <w:rPr>
          <w:rFonts w:ascii="Times New Roman" w:eastAsia="Times New Roman" w:hAnsi="Times New Roman" w:cs="Times New Roman"/>
          <w:sz w:val="24"/>
          <w:szCs w:val="24"/>
          <w:lang w:val="en-US"/>
        </w:rPr>
        <w:t>Ms</w:t>
      </w:r>
      <w:proofErr w:type="spellEnd"/>
      <w:r w:rsidRPr="006C16F8">
        <w:rPr>
          <w:rFonts w:ascii="Times New Roman" w:eastAsia="Times New Roman" w:hAnsi="Times New Roman" w:cs="Times New Roman"/>
          <w:i/>
          <w:sz w:val="24"/>
          <w:szCs w:val="24"/>
          <w:lang w:val="en-US"/>
        </w:rPr>
        <w:t xml:space="preserve"> </w:t>
      </w:r>
      <w:proofErr w:type="spellStart"/>
      <w:proofErr w:type="gramStart"/>
      <w:r w:rsidRPr="006C16F8">
        <w:rPr>
          <w:rFonts w:ascii="Times New Roman" w:eastAsia="Times New Roman" w:hAnsi="Times New Roman" w:cs="Times New Roman"/>
          <w:i/>
          <w:sz w:val="24"/>
          <w:szCs w:val="24"/>
          <w:lang w:val="en-US"/>
        </w:rPr>
        <w:t>Mtetwa</w:t>
      </w:r>
      <w:proofErr w:type="spellEnd"/>
      <w:r w:rsidR="00F05284">
        <w:rPr>
          <w:rFonts w:ascii="Times New Roman" w:eastAsia="Times New Roman" w:hAnsi="Times New Roman" w:cs="Times New Roman"/>
          <w:i/>
          <w:sz w:val="24"/>
          <w:szCs w:val="24"/>
          <w:lang w:val="en-US"/>
        </w:rPr>
        <w:t>,</w:t>
      </w:r>
      <w:proofErr w:type="gramEnd"/>
      <w:r w:rsidR="00F05284">
        <w:rPr>
          <w:rFonts w:ascii="Times New Roman" w:eastAsia="Times New Roman" w:hAnsi="Times New Roman" w:cs="Times New Roman"/>
          <w:sz w:val="24"/>
          <w:szCs w:val="24"/>
          <w:lang w:val="en-US"/>
        </w:rPr>
        <w:t xml:space="preserve"> </w:t>
      </w:r>
      <w:r w:rsidR="00870AA3">
        <w:rPr>
          <w:rFonts w:ascii="Times New Roman" w:eastAsia="Times New Roman" w:hAnsi="Times New Roman" w:cs="Times New Roman"/>
          <w:sz w:val="24"/>
          <w:szCs w:val="24"/>
          <w:lang w:val="en-US"/>
        </w:rPr>
        <w:t xml:space="preserve">further </w:t>
      </w:r>
      <w:r w:rsidR="00F05284">
        <w:rPr>
          <w:rFonts w:ascii="Times New Roman" w:eastAsia="Times New Roman" w:hAnsi="Times New Roman" w:cs="Times New Roman"/>
          <w:sz w:val="24"/>
          <w:szCs w:val="24"/>
          <w:lang w:val="en-US"/>
        </w:rPr>
        <w:t xml:space="preserve">argued that </w:t>
      </w:r>
      <w:r w:rsidR="00870AA3">
        <w:rPr>
          <w:rFonts w:ascii="Times New Roman" w:eastAsia="Times New Roman" w:hAnsi="Times New Roman" w:cs="Times New Roman"/>
          <w:sz w:val="24"/>
          <w:szCs w:val="24"/>
          <w:lang w:val="en-US"/>
        </w:rPr>
        <w:t xml:space="preserve">in any event </w:t>
      </w:r>
      <w:r w:rsidR="00F05284">
        <w:rPr>
          <w:rFonts w:ascii="Times New Roman" w:eastAsia="Times New Roman" w:hAnsi="Times New Roman" w:cs="Times New Roman"/>
          <w:sz w:val="24"/>
          <w:szCs w:val="24"/>
          <w:lang w:val="en-US"/>
        </w:rPr>
        <w:t xml:space="preserve">the applicant’s notice of appeal was defective because of the fact that it overlooked the </w:t>
      </w:r>
      <w:r w:rsidR="007E7D8C">
        <w:rPr>
          <w:rFonts w:ascii="Times New Roman" w:eastAsia="Times New Roman" w:hAnsi="Times New Roman" w:cs="Times New Roman"/>
          <w:sz w:val="24"/>
          <w:szCs w:val="24"/>
          <w:lang w:val="en-US"/>
        </w:rPr>
        <w:t>second</w:t>
      </w:r>
      <w:r w:rsidR="00F05284">
        <w:rPr>
          <w:rFonts w:ascii="Times New Roman" w:eastAsia="Times New Roman" w:hAnsi="Times New Roman" w:cs="Times New Roman"/>
          <w:sz w:val="24"/>
          <w:szCs w:val="24"/>
          <w:lang w:val="en-US"/>
        </w:rPr>
        <w:t xml:space="preserve"> respondent’s consent to judgment </w:t>
      </w:r>
      <w:r w:rsidR="007E7D8C">
        <w:rPr>
          <w:rFonts w:ascii="Times New Roman" w:eastAsia="Times New Roman" w:hAnsi="Times New Roman" w:cs="Times New Roman"/>
          <w:sz w:val="24"/>
          <w:szCs w:val="24"/>
          <w:lang w:val="en-US"/>
        </w:rPr>
        <w:t xml:space="preserve">which was filed of record on </w:t>
      </w:r>
      <w:r w:rsidR="00F05284">
        <w:rPr>
          <w:rFonts w:ascii="Times New Roman" w:eastAsia="Times New Roman" w:hAnsi="Times New Roman" w:cs="Times New Roman"/>
          <w:sz w:val="24"/>
          <w:szCs w:val="24"/>
          <w:lang w:val="en-US"/>
        </w:rPr>
        <w:t xml:space="preserve">2 August 2016. </w:t>
      </w:r>
      <w:r>
        <w:rPr>
          <w:rFonts w:ascii="Times New Roman" w:eastAsia="Times New Roman" w:hAnsi="Times New Roman" w:cs="Times New Roman"/>
          <w:sz w:val="24"/>
          <w:szCs w:val="24"/>
          <w:lang w:val="en-US"/>
        </w:rPr>
        <w:t xml:space="preserve"> </w:t>
      </w:r>
    </w:p>
    <w:p w:rsidR="007E7D8C" w:rsidRDefault="007E7D8C" w:rsidP="00C839CE">
      <w:pPr>
        <w:spacing w:after="0" w:line="480" w:lineRule="auto"/>
        <w:jc w:val="both"/>
        <w:rPr>
          <w:rFonts w:ascii="Times New Roman" w:eastAsia="Times New Roman" w:hAnsi="Times New Roman" w:cs="Times New Roman"/>
          <w:sz w:val="24"/>
          <w:szCs w:val="24"/>
          <w:lang w:val="en-US"/>
        </w:rPr>
      </w:pPr>
    </w:p>
    <w:p w:rsidR="006C16F8" w:rsidRDefault="00F05284"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 argument was that </w:t>
      </w:r>
      <w:r w:rsidR="006C16F8">
        <w:rPr>
          <w:rFonts w:ascii="Times New Roman" w:eastAsia="Times New Roman" w:hAnsi="Times New Roman" w:cs="Times New Roman"/>
          <w:sz w:val="24"/>
          <w:szCs w:val="24"/>
          <w:lang w:val="en-US"/>
        </w:rPr>
        <w:t>such consent had not been challenged and it could not be chal</w:t>
      </w:r>
      <w:r w:rsidR="00644A7D">
        <w:rPr>
          <w:rFonts w:ascii="Times New Roman" w:eastAsia="Times New Roman" w:hAnsi="Times New Roman" w:cs="Times New Roman"/>
          <w:sz w:val="24"/>
          <w:szCs w:val="24"/>
          <w:lang w:val="en-US"/>
        </w:rPr>
        <w:t>lenged as an appellate court does</w:t>
      </w:r>
      <w:r w:rsidR="006C16F8">
        <w:rPr>
          <w:rFonts w:ascii="Times New Roman" w:eastAsia="Times New Roman" w:hAnsi="Times New Roman" w:cs="Times New Roman"/>
          <w:sz w:val="24"/>
          <w:szCs w:val="24"/>
          <w:lang w:val="en-US"/>
        </w:rPr>
        <w:t xml:space="preserve"> not have jurisdiction </w:t>
      </w:r>
      <w:r w:rsidR="00B779A7">
        <w:rPr>
          <w:rFonts w:ascii="Times New Roman" w:eastAsia="Times New Roman" w:hAnsi="Times New Roman" w:cs="Times New Roman"/>
          <w:sz w:val="24"/>
          <w:szCs w:val="24"/>
          <w:lang w:val="en-US"/>
        </w:rPr>
        <w:t xml:space="preserve">to set aside a </w:t>
      </w:r>
      <w:r>
        <w:rPr>
          <w:rFonts w:ascii="Times New Roman" w:eastAsia="Times New Roman" w:hAnsi="Times New Roman" w:cs="Times New Roman"/>
          <w:sz w:val="24"/>
          <w:szCs w:val="24"/>
          <w:lang w:val="en-US"/>
        </w:rPr>
        <w:t>“</w:t>
      </w:r>
      <w:r w:rsidR="00B779A7">
        <w:rPr>
          <w:rFonts w:ascii="Times New Roman" w:eastAsia="Times New Roman" w:hAnsi="Times New Roman" w:cs="Times New Roman"/>
          <w:sz w:val="24"/>
          <w:szCs w:val="24"/>
          <w:lang w:val="en-US"/>
        </w:rPr>
        <w:t>consent order.</w:t>
      </w:r>
      <w:r>
        <w:rPr>
          <w:rFonts w:ascii="Times New Roman" w:eastAsia="Times New Roman" w:hAnsi="Times New Roman" w:cs="Times New Roman"/>
          <w:sz w:val="24"/>
          <w:szCs w:val="24"/>
          <w:lang w:val="en-US"/>
        </w:rPr>
        <w:t xml:space="preserve">” </w:t>
      </w:r>
      <w:r w:rsidR="00B779A7">
        <w:rPr>
          <w:rFonts w:ascii="Times New Roman" w:eastAsia="Times New Roman" w:hAnsi="Times New Roman" w:cs="Times New Roman"/>
          <w:sz w:val="24"/>
          <w:szCs w:val="24"/>
          <w:lang w:val="en-US"/>
        </w:rPr>
        <w:t xml:space="preserve"> S</w:t>
      </w:r>
      <w:r w:rsidR="006C16F8">
        <w:rPr>
          <w:rFonts w:ascii="Times New Roman" w:eastAsia="Times New Roman" w:hAnsi="Times New Roman" w:cs="Times New Roman"/>
          <w:sz w:val="24"/>
          <w:szCs w:val="24"/>
          <w:lang w:val="en-US"/>
        </w:rPr>
        <w:t>he thus</w:t>
      </w:r>
      <w:r w:rsidR="00B779A7">
        <w:rPr>
          <w:rFonts w:ascii="Times New Roman" w:eastAsia="Times New Roman" w:hAnsi="Times New Roman" w:cs="Times New Roman"/>
          <w:sz w:val="24"/>
          <w:szCs w:val="24"/>
          <w:lang w:val="en-US"/>
        </w:rPr>
        <w:t>,</w:t>
      </w:r>
      <w:r w:rsidR="006C16F8">
        <w:rPr>
          <w:rFonts w:ascii="Times New Roman" w:eastAsia="Times New Roman" w:hAnsi="Times New Roman" w:cs="Times New Roman"/>
          <w:sz w:val="24"/>
          <w:szCs w:val="24"/>
          <w:lang w:val="en-US"/>
        </w:rPr>
        <w:t xml:space="preserve"> submitted that the notice of appeal </w:t>
      </w:r>
      <w:r w:rsidR="00B779A7">
        <w:rPr>
          <w:rFonts w:ascii="Times New Roman" w:eastAsia="Times New Roman" w:hAnsi="Times New Roman" w:cs="Times New Roman"/>
          <w:sz w:val="24"/>
          <w:szCs w:val="24"/>
          <w:lang w:val="en-US"/>
        </w:rPr>
        <w:t>was fatally defective as the applicant could not possibly appeal against the “whole” judgment</w:t>
      </w:r>
      <w:r w:rsidR="00644A7D">
        <w:rPr>
          <w:rFonts w:ascii="Times New Roman" w:eastAsia="Times New Roman" w:hAnsi="Times New Roman" w:cs="Times New Roman"/>
          <w:sz w:val="24"/>
          <w:szCs w:val="24"/>
          <w:lang w:val="en-US"/>
        </w:rPr>
        <w:t xml:space="preserve"> of the court </w:t>
      </w:r>
      <w:r w:rsidR="00644A7D" w:rsidRPr="00644A7D">
        <w:rPr>
          <w:rFonts w:ascii="Times New Roman" w:eastAsia="Times New Roman" w:hAnsi="Times New Roman" w:cs="Times New Roman"/>
          <w:i/>
          <w:sz w:val="24"/>
          <w:szCs w:val="24"/>
          <w:lang w:val="en-US"/>
        </w:rPr>
        <w:t>a quo</w:t>
      </w:r>
      <w:r w:rsidR="00B779A7">
        <w:rPr>
          <w:rFonts w:ascii="Times New Roman" w:eastAsia="Times New Roman" w:hAnsi="Times New Roman" w:cs="Times New Roman"/>
          <w:sz w:val="24"/>
          <w:szCs w:val="24"/>
          <w:lang w:val="en-US"/>
        </w:rPr>
        <w:t xml:space="preserve"> in light of the existence</w:t>
      </w:r>
      <w:r>
        <w:rPr>
          <w:rFonts w:ascii="Times New Roman" w:eastAsia="Times New Roman" w:hAnsi="Times New Roman" w:cs="Times New Roman"/>
          <w:sz w:val="24"/>
          <w:szCs w:val="24"/>
          <w:lang w:val="en-US"/>
        </w:rPr>
        <w:t xml:space="preserve"> of that</w:t>
      </w:r>
      <w:r w:rsidR="00B779A7">
        <w:rPr>
          <w:rFonts w:ascii="Times New Roman" w:eastAsia="Times New Roman" w:hAnsi="Times New Roman" w:cs="Times New Roman"/>
          <w:sz w:val="24"/>
          <w:szCs w:val="24"/>
          <w:lang w:val="en-US"/>
        </w:rPr>
        <w:t xml:space="preserve"> consent to judgment. It was </w:t>
      </w:r>
      <w:proofErr w:type="spellStart"/>
      <w:r w:rsidR="00B779A7" w:rsidRPr="007E7D8C">
        <w:rPr>
          <w:rFonts w:ascii="Times New Roman" w:eastAsia="Times New Roman" w:hAnsi="Times New Roman" w:cs="Times New Roman"/>
          <w:sz w:val="24"/>
          <w:szCs w:val="24"/>
          <w:lang w:val="en-US"/>
        </w:rPr>
        <w:t>Ms</w:t>
      </w:r>
      <w:proofErr w:type="spellEnd"/>
      <w:r w:rsidR="00B779A7" w:rsidRPr="00B779A7">
        <w:rPr>
          <w:rFonts w:ascii="Times New Roman" w:eastAsia="Times New Roman" w:hAnsi="Times New Roman" w:cs="Times New Roman"/>
          <w:i/>
          <w:sz w:val="24"/>
          <w:szCs w:val="24"/>
          <w:lang w:val="en-US"/>
        </w:rPr>
        <w:t xml:space="preserve"> </w:t>
      </w:r>
      <w:proofErr w:type="spellStart"/>
      <w:r w:rsidR="00B779A7" w:rsidRPr="00B779A7">
        <w:rPr>
          <w:rFonts w:ascii="Times New Roman" w:eastAsia="Times New Roman" w:hAnsi="Times New Roman" w:cs="Times New Roman"/>
          <w:i/>
          <w:sz w:val="24"/>
          <w:szCs w:val="24"/>
          <w:lang w:val="en-US"/>
        </w:rPr>
        <w:t>Mtetwa</w:t>
      </w:r>
      <w:r w:rsidR="00B779A7">
        <w:rPr>
          <w:rFonts w:ascii="Times New Roman" w:eastAsia="Times New Roman" w:hAnsi="Times New Roman" w:cs="Times New Roman"/>
          <w:sz w:val="24"/>
          <w:szCs w:val="24"/>
          <w:lang w:val="en-US"/>
        </w:rPr>
        <w:t>’s</w:t>
      </w:r>
      <w:proofErr w:type="spellEnd"/>
      <w:r w:rsidR="00B779A7">
        <w:rPr>
          <w:rFonts w:ascii="Times New Roman" w:eastAsia="Times New Roman" w:hAnsi="Times New Roman" w:cs="Times New Roman"/>
          <w:sz w:val="24"/>
          <w:szCs w:val="24"/>
          <w:lang w:val="en-US"/>
        </w:rPr>
        <w:t xml:space="preserve"> argument that the appeal ought to have been against only a portion of the judgment, </w:t>
      </w:r>
      <w:r>
        <w:rPr>
          <w:rFonts w:ascii="Times New Roman" w:eastAsia="Times New Roman" w:hAnsi="Times New Roman" w:cs="Times New Roman"/>
          <w:sz w:val="24"/>
          <w:szCs w:val="24"/>
          <w:lang w:val="en-US"/>
        </w:rPr>
        <w:t xml:space="preserve">as a consequent to that oversight it was submitted that </w:t>
      </w:r>
      <w:r w:rsidR="00B779A7">
        <w:rPr>
          <w:rFonts w:ascii="Times New Roman" w:eastAsia="Times New Roman" w:hAnsi="Times New Roman" w:cs="Times New Roman"/>
          <w:sz w:val="24"/>
          <w:szCs w:val="24"/>
          <w:lang w:val="en-US"/>
        </w:rPr>
        <w:t>the relief sought</w:t>
      </w:r>
      <w:r>
        <w:rPr>
          <w:rFonts w:ascii="Times New Roman" w:eastAsia="Times New Roman" w:hAnsi="Times New Roman" w:cs="Times New Roman"/>
          <w:sz w:val="24"/>
          <w:szCs w:val="24"/>
          <w:lang w:val="en-US"/>
        </w:rPr>
        <w:t xml:space="preserve"> by the applicant</w:t>
      </w:r>
      <w:r w:rsidR="00B779A7">
        <w:rPr>
          <w:rFonts w:ascii="Times New Roman" w:eastAsia="Times New Roman" w:hAnsi="Times New Roman" w:cs="Times New Roman"/>
          <w:sz w:val="24"/>
          <w:szCs w:val="24"/>
          <w:lang w:val="en-US"/>
        </w:rPr>
        <w:t xml:space="preserve"> was also defective as it pertained to the entire judgment instead of the portion which related to the findings against the applicant.</w:t>
      </w:r>
    </w:p>
    <w:p w:rsidR="005203AF" w:rsidRPr="005203AF" w:rsidRDefault="005203AF" w:rsidP="00C839CE">
      <w:pPr>
        <w:spacing w:after="0" w:line="480" w:lineRule="auto"/>
        <w:jc w:val="both"/>
        <w:rPr>
          <w:rFonts w:ascii="Times New Roman" w:eastAsia="Times New Roman" w:hAnsi="Times New Roman" w:cs="Times New Roman"/>
          <w:b/>
          <w:i/>
          <w:sz w:val="24"/>
          <w:szCs w:val="24"/>
          <w:lang w:val="en-US"/>
        </w:rPr>
      </w:pPr>
    </w:p>
    <w:p w:rsidR="005203AF" w:rsidRDefault="005203AF" w:rsidP="00C839CE">
      <w:pPr>
        <w:spacing w:after="0" w:line="480" w:lineRule="auto"/>
        <w:jc w:val="both"/>
        <w:rPr>
          <w:rFonts w:ascii="Times New Roman" w:eastAsia="Times New Roman" w:hAnsi="Times New Roman" w:cs="Times New Roman"/>
          <w:b/>
          <w:i/>
          <w:sz w:val="24"/>
          <w:szCs w:val="24"/>
          <w:lang w:val="en-US"/>
        </w:rPr>
      </w:pPr>
      <w:r w:rsidRPr="005203AF">
        <w:rPr>
          <w:rFonts w:ascii="Times New Roman" w:eastAsia="Times New Roman" w:hAnsi="Times New Roman" w:cs="Times New Roman"/>
          <w:b/>
          <w:i/>
          <w:sz w:val="24"/>
          <w:szCs w:val="24"/>
          <w:lang w:val="en-US"/>
        </w:rPr>
        <w:t xml:space="preserve">ISSUE FOR DETERMINATION </w:t>
      </w:r>
    </w:p>
    <w:p w:rsidR="005203AF" w:rsidRDefault="007E542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With regards to the issue of extent of the delay and the reasonableness thereof, I am inclined to agree with counsel for the applicant, that</w:t>
      </w:r>
      <w:r w:rsidR="000D4118">
        <w:rPr>
          <w:rFonts w:ascii="Times New Roman" w:eastAsia="Times New Roman" w:hAnsi="Times New Roman" w:cs="Times New Roman"/>
          <w:sz w:val="24"/>
          <w:szCs w:val="24"/>
          <w:lang w:val="en-US"/>
        </w:rPr>
        <w:t xml:space="preserve"> th</w:t>
      </w:r>
      <w:r>
        <w:rPr>
          <w:rFonts w:ascii="Times New Roman" w:eastAsia="Times New Roman" w:hAnsi="Times New Roman" w:cs="Times New Roman"/>
          <w:sz w:val="24"/>
          <w:szCs w:val="24"/>
          <w:lang w:val="en-US"/>
        </w:rPr>
        <w:t>e</w:t>
      </w:r>
      <w:r w:rsidR="00644A7D">
        <w:rPr>
          <w:rFonts w:ascii="Times New Roman" w:eastAsia="Times New Roman" w:hAnsi="Times New Roman" w:cs="Times New Roman"/>
          <w:sz w:val="24"/>
          <w:szCs w:val="24"/>
          <w:lang w:val="en-US"/>
        </w:rPr>
        <w:t xml:space="preserve"> delay is not in</w:t>
      </w:r>
      <w:r>
        <w:rPr>
          <w:rFonts w:ascii="Times New Roman" w:eastAsia="Times New Roman" w:hAnsi="Times New Roman" w:cs="Times New Roman"/>
          <w:sz w:val="24"/>
          <w:szCs w:val="24"/>
          <w:lang w:val="en-US"/>
        </w:rPr>
        <w:t>ordinate</w:t>
      </w:r>
      <w:r w:rsidR="000D411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neither is the explanation too far-fetched not to warrant the court’s indulgence. </w:t>
      </w:r>
    </w:p>
    <w:p w:rsidR="007E5428" w:rsidRDefault="007E5428" w:rsidP="00C839CE">
      <w:pPr>
        <w:spacing w:after="0" w:line="480" w:lineRule="auto"/>
        <w:jc w:val="both"/>
        <w:rPr>
          <w:rFonts w:ascii="Times New Roman" w:eastAsia="Times New Roman" w:hAnsi="Times New Roman" w:cs="Times New Roman"/>
          <w:sz w:val="24"/>
          <w:szCs w:val="24"/>
          <w:lang w:val="en-US"/>
        </w:rPr>
      </w:pPr>
    </w:p>
    <w:p w:rsidR="007E5428" w:rsidRDefault="007E542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On the issue of prospects of success, the applicant does not need to prove that she will win the case. What the applicant only needs to show at this stage is whether or not she has an arguable case. In view of the above facts and the arguments made for and on behalf of the applicant</w:t>
      </w:r>
      <w:r w:rsidR="00644A7D">
        <w:rPr>
          <w:rFonts w:ascii="Times New Roman" w:eastAsia="Times New Roman" w:hAnsi="Times New Roman" w:cs="Times New Roman"/>
          <w:sz w:val="24"/>
          <w:szCs w:val="24"/>
          <w:lang w:val="en-US"/>
        </w:rPr>
        <w:t xml:space="preserve"> both on paper and in oral submission</w:t>
      </w:r>
      <w:r>
        <w:rPr>
          <w:rFonts w:ascii="Times New Roman" w:eastAsia="Times New Roman" w:hAnsi="Times New Roman" w:cs="Times New Roman"/>
          <w:sz w:val="24"/>
          <w:szCs w:val="24"/>
          <w:lang w:val="en-US"/>
        </w:rPr>
        <w:t>, I</w:t>
      </w:r>
      <w:r w:rsidR="00644A7D">
        <w:rPr>
          <w:rFonts w:ascii="Times New Roman" w:eastAsia="Times New Roman" w:hAnsi="Times New Roman" w:cs="Times New Roman"/>
          <w:sz w:val="24"/>
          <w:szCs w:val="24"/>
          <w:lang w:val="en-US"/>
        </w:rPr>
        <w:t xml:space="preserve"> take </w:t>
      </w:r>
      <w:r>
        <w:rPr>
          <w:rFonts w:ascii="Times New Roman" w:eastAsia="Times New Roman" w:hAnsi="Times New Roman" w:cs="Times New Roman"/>
          <w:sz w:val="24"/>
          <w:szCs w:val="24"/>
          <w:lang w:val="en-US"/>
        </w:rPr>
        <w:t>the view that the applicant must be accorded her day in court</w:t>
      </w:r>
      <w:r w:rsidR="000D4118">
        <w:rPr>
          <w:rFonts w:ascii="Times New Roman" w:eastAsia="Times New Roman" w:hAnsi="Times New Roman" w:cs="Times New Roman"/>
          <w:sz w:val="24"/>
          <w:szCs w:val="24"/>
          <w:lang w:val="en-US"/>
        </w:rPr>
        <w:t>.  I have reached this conclusion because</w:t>
      </w:r>
      <w:r>
        <w:rPr>
          <w:rFonts w:ascii="Times New Roman" w:eastAsia="Times New Roman" w:hAnsi="Times New Roman" w:cs="Times New Roman"/>
          <w:sz w:val="24"/>
          <w:szCs w:val="24"/>
          <w:lang w:val="en-US"/>
        </w:rPr>
        <w:t xml:space="preserve"> </w:t>
      </w:r>
      <w:r w:rsidR="00A25F4A">
        <w:rPr>
          <w:rFonts w:ascii="Times New Roman" w:eastAsia="Times New Roman" w:hAnsi="Times New Roman" w:cs="Times New Roman"/>
          <w:sz w:val="24"/>
          <w:szCs w:val="24"/>
          <w:lang w:val="en-US"/>
        </w:rPr>
        <w:t xml:space="preserve">the acknowledgment of receipt </w:t>
      </w:r>
      <w:r w:rsidR="005D6FC9">
        <w:rPr>
          <w:rFonts w:ascii="Times New Roman" w:eastAsia="Times New Roman" w:hAnsi="Times New Roman" w:cs="Times New Roman"/>
          <w:sz w:val="24"/>
          <w:szCs w:val="24"/>
          <w:lang w:val="en-US"/>
        </w:rPr>
        <w:t>which the appli</w:t>
      </w:r>
      <w:r w:rsidR="000D4118">
        <w:rPr>
          <w:rFonts w:ascii="Times New Roman" w:eastAsia="Times New Roman" w:hAnsi="Times New Roman" w:cs="Times New Roman"/>
          <w:sz w:val="24"/>
          <w:szCs w:val="24"/>
          <w:lang w:val="en-US"/>
        </w:rPr>
        <w:t>cant is said to have signed bore</w:t>
      </w:r>
      <w:r w:rsidR="005D6FC9">
        <w:rPr>
          <w:rFonts w:ascii="Times New Roman" w:eastAsia="Times New Roman" w:hAnsi="Times New Roman" w:cs="Times New Roman"/>
          <w:sz w:val="24"/>
          <w:szCs w:val="24"/>
          <w:lang w:val="en-US"/>
        </w:rPr>
        <w:t xml:space="preserve"> a purchase price of 20 billion dollars thus creating confusion as</w:t>
      </w:r>
      <w:r w:rsidR="000D4118">
        <w:rPr>
          <w:rFonts w:ascii="Times New Roman" w:eastAsia="Times New Roman" w:hAnsi="Times New Roman" w:cs="Times New Roman"/>
          <w:sz w:val="24"/>
          <w:szCs w:val="24"/>
          <w:lang w:val="en-US"/>
        </w:rPr>
        <w:t xml:space="preserve"> to</w:t>
      </w:r>
      <w:r w:rsidR="005D6FC9">
        <w:rPr>
          <w:rFonts w:ascii="Times New Roman" w:eastAsia="Times New Roman" w:hAnsi="Times New Roman" w:cs="Times New Roman"/>
          <w:sz w:val="24"/>
          <w:szCs w:val="24"/>
          <w:lang w:val="en-US"/>
        </w:rPr>
        <w:t xml:space="preserve"> the</w:t>
      </w:r>
      <w:r w:rsidR="000D4118">
        <w:rPr>
          <w:rFonts w:ascii="Times New Roman" w:eastAsia="Times New Roman" w:hAnsi="Times New Roman" w:cs="Times New Roman"/>
          <w:sz w:val="24"/>
          <w:szCs w:val="24"/>
          <w:lang w:val="en-US"/>
        </w:rPr>
        <w:t xml:space="preserve"> actual</w:t>
      </w:r>
      <w:r w:rsidR="005D6FC9">
        <w:rPr>
          <w:rFonts w:ascii="Times New Roman" w:eastAsia="Times New Roman" w:hAnsi="Times New Roman" w:cs="Times New Roman"/>
          <w:sz w:val="24"/>
          <w:szCs w:val="24"/>
          <w:lang w:val="en-US"/>
        </w:rPr>
        <w:t xml:space="preserve"> purchase price </w:t>
      </w:r>
      <w:r w:rsidR="000D4118">
        <w:rPr>
          <w:rFonts w:ascii="Times New Roman" w:eastAsia="Times New Roman" w:hAnsi="Times New Roman" w:cs="Times New Roman"/>
          <w:sz w:val="24"/>
          <w:szCs w:val="24"/>
          <w:lang w:val="en-US"/>
        </w:rPr>
        <w:t>of the property.</w:t>
      </w:r>
      <w:r w:rsidR="005D6FC9">
        <w:rPr>
          <w:rFonts w:ascii="Times New Roman" w:eastAsia="Times New Roman" w:hAnsi="Times New Roman" w:cs="Times New Roman"/>
          <w:sz w:val="24"/>
          <w:szCs w:val="24"/>
          <w:lang w:val="en-US"/>
        </w:rPr>
        <w:t xml:space="preserve"> </w:t>
      </w:r>
    </w:p>
    <w:p w:rsidR="005D6FC9" w:rsidRDefault="005D6FC9" w:rsidP="00C839CE">
      <w:pPr>
        <w:spacing w:after="0" w:line="480" w:lineRule="auto"/>
        <w:jc w:val="both"/>
        <w:rPr>
          <w:rFonts w:ascii="Times New Roman" w:eastAsia="Times New Roman" w:hAnsi="Times New Roman" w:cs="Times New Roman"/>
          <w:sz w:val="24"/>
          <w:szCs w:val="24"/>
          <w:lang w:val="en-US"/>
        </w:rPr>
      </w:pPr>
    </w:p>
    <w:p w:rsidR="00644A7D" w:rsidRDefault="007E5428"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D6FC9">
        <w:rPr>
          <w:rFonts w:ascii="Times New Roman" w:eastAsia="Times New Roman" w:hAnsi="Times New Roman" w:cs="Times New Roman"/>
          <w:sz w:val="24"/>
          <w:szCs w:val="24"/>
          <w:lang w:val="en-US"/>
        </w:rPr>
        <w:t>Having established that the above elements were established</w:t>
      </w:r>
      <w:r>
        <w:rPr>
          <w:rFonts w:ascii="Times New Roman" w:eastAsia="Times New Roman" w:hAnsi="Times New Roman" w:cs="Times New Roman"/>
          <w:sz w:val="24"/>
          <w:szCs w:val="24"/>
          <w:lang w:val="en-US"/>
        </w:rPr>
        <w:t xml:space="preserve">, </w:t>
      </w:r>
      <w:r w:rsidR="005D6FC9">
        <w:rPr>
          <w:rFonts w:ascii="Times New Roman" w:eastAsia="Times New Roman" w:hAnsi="Times New Roman" w:cs="Times New Roman"/>
          <w:sz w:val="24"/>
          <w:szCs w:val="24"/>
          <w:lang w:val="en-US"/>
        </w:rPr>
        <w:t>the only issue that need</w:t>
      </w:r>
      <w:r w:rsidR="000D4118">
        <w:rPr>
          <w:rFonts w:ascii="Times New Roman" w:eastAsia="Times New Roman" w:hAnsi="Times New Roman" w:cs="Times New Roman"/>
          <w:sz w:val="24"/>
          <w:szCs w:val="24"/>
          <w:lang w:val="en-US"/>
        </w:rPr>
        <w:t>s</w:t>
      </w:r>
      <w:r w:rsidR="005D6FC9">
        <w:rPr>
          <w:rFonts w:ascii="Times New Roman" w:eastAsia="Times New Roman" w:hAnsi="Times New Roman" w:cs="Times New Roman"/>
          <w:sz w:val="24"/>
          <w:szCs w:val="24"/>
          <w:lang w:val="en-US"/>
        </w:rPr>
        <w:t xml:space="preserve"> to be dealt with at this juncture</w:t>
      </w:r>
      <w:r w:rsidR="007349FE">
        <w:rPr>
          <w:rFonts w:ascii="Times New Roman" w:eastAsia="Times New Roman" w:hAnsi="Times New Roman" w:cs="Times New Roman"/>
          <w:sz w:val="24"/>
          <w:szCs w:val="24"/>
          <w:lang w:val="en-US"/>
        </w:rPr>
        <w:t xml:space="preserve"> pertains to</w:t>
      </w:r>
      <w:r w:rsidR="005D6FC9">
        <w:rPr>
          <w:rFonts w:ascii="Times New Roman" w:eastAsia="Times New Roman" w:hAnsi="Times New Roman" w:cs="Times New Roman"/>
          <w:sz w:val="24"/>
          <w:szCs w:val="24"/>
          <w:lang w:val="en-US"/>
        </w:rPr>
        <w:t xml:space="preserve"> the argument raised by </w:t>
      </w:r>
      <w:proofErr w:type="spellStart"/>
      <w:r w:rsidR="005D6FC9" w:rsidRPr="007E7D8C">
        <w:rPr>
          <w:rFonts w:ascii="Times New Roman" w:eastAsia="Times New Roman" w:hAnsi="Times New Roman" w:cs="Times New Roman"/>
          <w:sz w:val="24"/>
          <w:szCs w:val="24"/>
          <w:lang w:val="en-US"/>
        </w:rPr>
        <w:t>Mrs</w:t>
      </w:r>
      <w:proofErr w:type="spellEnd"/>
      <w:r w:rsidR="005D6FC9" w:rsidRPr="005D6FC9">
        <w:rPr>
          <w:rFonts w:ascii="Times New Roman" w:eastAsia="Times New Roman" w:hAnsi="Times New Roman" w:cs="Times New Roman"/>
          <w:i/>
          <w:sz w:val="24"/>
          <w:szCs w:val="24"/>
          <w:lang w:val="en-US"/>
        </w:rPr>
        <w:t xml:space="preserve"> </w:t>
      </w:r>
      <w:proofErr w:type="spellStart"/>
      <w:r w:rsidR="005D6FC9" w:rsidRPr="005D6FC9">
        <w:rPr>
          <w:rFonts w:ascii="Times New Roman" w:eastAsia="Times New Roman" w:hAnsi="Times New Roman" w:cs="Times New Roman"/>
          <w:i/>
          <w:sz w:val="24"/>
          <w:szCs w:val="24"/>
          <w:lang w:val="en-US"/>
        </w:rPr>
        <w:t>Mtetwa</w:t>
      </w:r>
      <w:proofErr w:type="spellEnd"/>
      <w:r w:rsidR="005D6FC9">
        <w:rPr>
          <w:rFonts w:ascii="Times New Roman" w:eastAsia="Times New Roman" w:hAnsi="Times New Roman" w:cs="Times New Roman"/>
          <w:sz w:val="24"/>
          <w:szCs w:val="24"/>
          <w:lang w:val="en-US"/>
        </w:rPr>
        <w:t>. The argument raises the following issue for determination:</w:t>
      </w:r>
    </w:p>
    <w:p w:rsidR="00644A7D" w:rsidRDefault="00644A7D" w:rsidP="00C839CE">
      <w:pPr>
        <w:spacing w:after="0" w:line="480" w:lineRule="auto"/>
        <w:jc w:val="both"/>
        <w:rPr>
          <w:rFonts w:ascii="Times New Roman" w:eastAsia="Times New Roman" w:hAnsi="Times New Roman" w:cs="Times New Roman"/>
          <w:sz w:val="24"/>
          <w:szCs w:val="24"/>
          <w:lang w:val="en-US"/>
        </w:rPr>
      </w:pPr>
    </w:p>
    <w:p w:rsidR="00644A7D" w:rsidRDefault="007B0DAF" w:rsidP="007B0DAF">
      <w:pPr>
        <w:spacing w:after="0" w:line="240" w:lineRule="auto"/>
        <w:jc w:val="both"/>
        <w:rPr>
          <w:rFonts w:ascii="Times New Roman" w:eastAsia="Times New Roman" w:hAnsi="Times New Roman" w:cs="Times New Roman"/>
          <w:b/>
          <w:sz w:val="24"/>
          <w:szCs w:val="24"/>
          <w:lang w:val="en-US"/>
        </w:rPr>
      </w:pPr>
      <w:r w:rsidRPr="007B0DAF">
        <w:rPr>
          <w:rFonts w:ascii="Times New Roman" w:eastAsia="Times New Roman" w:hAnsi="Times New Roman" w:cs="Times New Roman"/>
          <w:b/>
          <w:i/>
          <w:sz w:val="24"/>
          <w:szCs w:val="24"/>
          <w:lang w:val="en-US"/>
        </w:rPr>
        <w:t>WHETHER OR NOT IN CIRCUMSTANCES WHERE THERE IS A CONSENT TO JUDGMENT A PERSON HAS TO APPEAL AGAINST THE WHOLE OR PART OF THE JUDGMENT</w:t>
      </w:r>
    </w:p>
    <w:p w:rsidR="007B0DAF" w:rsidRPr="007B0DAF" w:rsidRDefault="007B0DAF" w:rsidP="007B0DAF">
      <w:pPr>
        <w:spacing w:after="0" w:line="240" w:lineRule="auto"/>
        <w:jc w:val="both"/>
        <w:rPr>
          <w:rFonts w:ascii="Times New Roman" w:eastAsia="Times New Roman" w:hAnsi="Times New Roman" w:cs="Times New Roman"/>
          <w:b/>
          <w:sz w:val="24"/>
          <w:szCs w:val="24"/>
          <w:lang w:val="en-US"/>
        </w:rPr>
      </w:pPr>
    </w:p>
    <w:p w:rsidR="007E5428" w:rsidRDefault="00644A7D"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7349FE">
        <w:rPr>
          <w:rFonts w:ascii="Times New Roman" w:eastAsia="Times New Roman" w:hAnsi="Times New Roman" w:cs="Times New Roman"/>
          <w:sz w:val="24"/>
          <w:szCs w:val="24"/>
          <w:lang w:val="en-US"/>
        </w:rPr>
        <w:t xml:space="preserve">Answering this question will consequently answer the question of whether or not the </w:t>
      </w:r>
      <w:r w:rsidR="005D6FC9">
        <w:rPr>
          <w:rFonts w:ascii="Times New Roman" w:eastAsia="Times New Roman" w:hAnsi="Times New Roman" w:cs="Times New Roman"/>
          <w:sz w:val="24"/>
          <w:szCs w:val="24"/>
          <w:lang w:val="en-US"/>
        </w:rPr>
        <w:t xml:space="preserve">applicant’s </w:t>
      </w:r>
      <w:r w:rsidR="007349FE">
        <w:rPr>
          <w:rFonts w:ascii="Times New Roman" w:eastAsia="Times New Roman" w:hAnsi="Times New Roman" w:cs="Times New Roman"/>
          <w:sz w:val="24"/>
          <w:szCs w:val="24"/>
          <w:lang w:val="en-US"/>
        </w:rPr>
        <w:t xml:space="preserve">notice of appeal and the relief sought thereto are fatally defective as per the </w:t>
      </w:r>
      <w:r w:rsidR="007E7D8C">
        <w:rPr>
          <w:rFonts w:ascii="Times New Roman" w:eastAsia="Times New Roman" w:hAnsi="Times New Roman" w:cs="Times New Roman"/>
          <w:sz w:val="24"/>
          <w:szCs w:val="24"/>
          <w:lang w:val="en-US"/>
        </w:rPr>
        <w:t>first</w:t>
      </w:r>
      <w:r w:rsidR="007349FE">
        <w:rPr>
          <w:rFonts w:ascii="Times New Roman" w:eastAsia="Times New Roman" w:hAnsi="Times New Roman" w:cs="Times New Roman"/>
          <w:sz w:val="24"/>
          <w:szCs w:val="24"/>
          <w:lang w:val="en-US"/>
        </w:rPr>
        <w:t xml:space="preserve"> respondent’s argument.</w:t>
      </w:r>
    </w:p>
    <w:p w:rsidR="007349FE" w:rsidRDefault="007349FE" w:rsidP="00C839CE">
      <w:pPr>
        <w:spacing w:after="0" w:line="480" w:lineRule="auto"/>
        <w:jc w:val="both"/>
        <w:rPr>
          <w:rFonts w:ascii="Times New Roman" w:eastAsia="Times New Roman" w:hAnsi="Times New Roman" w:cs="Times New Roman"/>
          <w:sz w:val="24"/>
          <w:szCs w:val="24"/>
          <w:lang w:val="en-US"/>
        </w:rPr>
      </w:pPr>
    </w:p>
    <w:p w:rsidR="007349FE" w:rsidRDefault="007349FE"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D4118">
        <w:rPr>
          <w:rFonts w:ascii="Times New Roman" w:eastAsia="Times New Roman" w:hAnsi="Times New Roman" w:cs="Times New Roman"/>
          <w:sz w:val="24"/>
          <w:szCs w:val="24"/>
          <w:lang w:val="en-US"/>
        </w:rPr>
        <w:t xml:space="preserve">In </w:t>
      </w:r>
      <w:r w:rsidR="005D6FC9">
        <w:rPr>
          <w:rFonts w:ascii="Times New Roman" w:eastAsia="Times New Roman" w:hAnsi="Times New Roman" w:cs="Times New Roman"/>
          <w:sz w:val="24"/>
          <w:szCs w:val="24"/>
          <w:lang w:val="en-US"/>
        </w:rPr>
        <w:t xml:space="preserve">determining this issue, </w:t>
      </w:r>
      <w:r w:rsidR="00EF6437">
        <w:rPr>
          <w:rFonts w:ascii="Times New Roman" w:eastAsia="Times New Roman" w:hAnsi="Times New Roman" w:cs="Times New Roman"/>
          <w:sz w:val="24"/>
          <w:szCs w:val="24"/>
          <w:lang w:val="en-US"/>
        </w:rPr>
        <w:t>I am inclined to agre</w:t>
      </w:r>
      <w:r w:rsidR="005D6FC9">
        <w:rPr>
          <w:rFonts w:ascii="Times New Roman" w:eastAsia="Times New Roman" w:hAnsi="Times New Roman" w:cs="Times New Roman"/>
          <w:sz w:val="24"/>
          <w:szCs w:val="24"/>
          <w:lang w:val="en-US"/>
        </w:rPr>
        <w:t>e with counsel for the applicant</w:t>
      </w:r>
      <w:r w:rsidR="00EF6437">
        <w:rPr>
          <w:rFonts w:ascii="Times New Roman" w:eastAsia="Times New Roman" w:hAnsi="Times New Roman" w:cs="Times New Roman"/>
          <w:sz w:val="24"/>
          <w:szCs w:val="24"/>
          <w:lang w:val="en-US"/>
        </w:rPr>
        <w:t xml:space="preserve"> that there is</w:t>
      </w:r>
      <w:r w:rsidR="00056BA1">
        <w:rPr>
          <w:rFonts w:ascii="Times New Roman" w:eastAsia="Times New Roman" w:hAnsi="Times New Roman" w:cs="Times New Roman"/>
          <w:sz w:val="24"/>
          <w:szCs w:val="24"/>
          <w:lang w:val="en-US"/>
        </w:rPr>
        <w:t xml:space="preserve"> no procedure in the High Court for a co-defendant or</w:t>
      </w:r>
      <w:r w:rsidR="00EF6437">
        <w:rPr>
          <w:rFonts w:ascii="Times New Roman" w:eastAsia="Times New Roman" w:hAnsi="Times New Roman" w:cs="Times New Roman"/>
          <w:sz w:val="24"/>
          <w:szCs w:val="24"/>
          <w:lang w:val="en-US"/>
        </w:rPr>
        <w:t xml:space="preserve"> respondent to </w:t>
      </w:r>
      <w:r w:rsidR="000D4118">
        <w:rPr>
          <w:rFonts w:ascii="Times New Roman" w:eastAsia="Times New Roman" w:hAnsi="Times New Roman" w:cs="Times New Roman"/>
          <w:sz w:val="24"/>
          <w:szCs w:val="24"/>
          <w:lang w:val="en-US"/>
        </w:rPr>
        <w:t>set aside</w:t>
      </w:r>
      <w:r w:rsidR="00EF6437">
        <w:rPr>
          <w:rFonts w:ascii="Times New Roman" w:eastAsia="Times New Roman" w:hAnsi="Times New Roman" w:cs="Times New Roman"/>
          <w:sz w:val="24"/>
          <w:szCs w:val="24"/>
          <w:lang w:val="en-US"/>
        </w:rPr>
        <w:t xml:space="preserve"> </w:t>
      </w:r>
      <w:proofErr w:type="gramStart"/>
      <w:r w:rsidR="00EF6437">
        <w:rPr>
          <w:rFonts w:ascii="Times New Roman" w:eastAsia="Times New Roman" w:hAnsi="Times New Roman" w:cs="Times New Roman"/>
          <w:sz w:val="24"/>
          <w:szCs w:val="24"/>
          <w:lang w:val="en-US"/>
        </w:rPr>
        <w:t>a consent</w:t>
      </w:r>
      <w:proofErr w:type="gramEnd"/>
      <w:r w:rsidR="00EF6437">
        <w:rPr>
          <w:rFonts w:ascii="Times New Roman" w:eastAsia="Times New Roman" w:hAnsi="Times New Roman" w:cs="Times New Roman"/>
          <w:sz w:val="24"/>
          <w:szCs w:val="24"/>
          <w:lang w:val="en-US"/>
        </w:rPr>
        <w:t xml:space="preserve"> to judgment</w:t>
      </w:r>
      <w:r w:rsidR="00056BA1">
        <w:rPr>
          <w:rFonts w:ascii="Times New Roman" w:eastAsia="Times New Roman" w:hAnsi="Times New Roman" w:cs="Times New Roman"/>
          <w:sz w:val="24"/>
          <w:szCs w:val="24"/>
          <w:lang w:val="en-US"/>
        </w:rPr>
        <w:t xml:space="preserve"> by the other party</w:t>
      </w:r>
      <w:r w:rsidR="00EF6437">
        <w:rPr>
          <w:rFonts w:ascii="Times New Roman" w:eastAsia="Times New Roman" w:hAnsi="Times New Roman" w:cs="Times New Roman"/>
          <w:sz w:val="24"/>
          <w:szCs w:val="24"/>
          <w:lang w:val="en-US"/>
        </w:rPr>
        <w:t>. The only way to attack that consent</w:t>
      </w:r>
      <w:r w:rsidR="00056BA1">
        <w:rPr>
          <w:rFonts w:ascii="Times New Roman" w:eastAsia="Times New Roman" w:hAnsi="Times New Roman" w:cs="Times New Roman"/>
          <w:sz w:val="24"/>
          <w:szCs w:val="24"/>
          <w:lang w:val="en-US"/>
        </w:rPr>
        <w:t xml:space="preserve"> to judgment</w:t>
      </w:r>
      <w:r w:rsidR="00EF6437">
        <w:rPr>
          <w:rFonts w:ascii="Times New Roman" w:eastAsia="Times New Roman" w:hAnsi="Times New Roman" w:cs="Times New Roman"/>
          <w:sz w:val="24"/>
          <w:szCs w:val="24"/>
          <w:lang w:val="en-US"/>
        </w:rPr>
        <w:t xml:space="preserve"> is to appeal against the final judgment.</w:t>
      </w:r>
    </w:p>
    <w:p w:rsidR="00EF6437" w:rsidRDefault="00EF6437" w:rsidP="00C839CE">
      <w:pPr>
        <w:spacing w:after="0" w:line="480" w:lineRule="auto"/>
        <w:jc w:val="both"/>
        <w:rPr>
          <w:rFonts w:ascii="Times New Roman" w:eastAsia="Times New Roman" w:hAnsi="Times New Roman" w:cs="Times New Roman"/>
          <w:sz w:val="24"/>
          <w:szCs w:val="24"/>
          <w:lang w:val="en-US"/>
        </w:rPr>
      </w:pPr>
    </w:p>
    <w:p w:rsidR="00056BA1" w:rsidRDefault="00EF6437" w:rsidP="00C839CE">
      <w:pPr>
        <w:spacing w:after="0" w:line="480" w:lineRule="auto"/>
        <w:jc w:val="both"/>
        <w:rPr>
          <w:rFonts w:ascii="Times New Roman" w:eastAsia="Times New Roman" w:hAnsi="Times New Roman" w:cs="Times New Roman"/>
          <w:sz w:val="24"/>
          <w:szCs w:val="24"/>
          <w:lang w:val="en-US"/>
        </w:rPr>
      </w:pPr>
      <w:r w:rsidRPr="00056BA1">
        <w:rPr>
          <w:rFonts w:ascii="Times New Roman" w:eastAsia="Times New Roman" w:hAnsi="Times New Roman" w:cs="Times New Roman"/>
          <w:i/>
          <w:sz w:val="24"/>
          <w:szCs w:val="24"/>
          <w:lang w:val="en-US"/>
        </w:rPr>
        <w:t xml:space="preserve">                      </w:t>
      </w:r>
      <w:r w:rsidR="00056BA1" w:rsidRPr="007E7D8C">
        <w:rPr>
          <w:rFonts w:ascii="Times New Roman" w:eastAsia="Times New Roman" w:hAnsi="Times New Roman" w:cs="Times New Roman"/>
          <w:sz w:val="24"/>
          <w:szCs w:val="24"/>
          <w:lang w:val="en-US"/>
        </w:rPr>
        <w:t>Mrs.</w:t>
      </w:r>
      <w:r w:rsidR="00056BA1" w:rsidRPr="00056BA1">
        <w:rPr>
          <w:rFonts w:ascii="Times New Roman" w:eastAsia="Times New Roman" w:hAnsi="Times New Roman" w:cs="Times New Roman"/>
          <w:i/>
          <w:sz w:val="24"/>
          <w:szCs w:val="24"/>
          <w:lang w:val="en-US"/>
        </w:rPr>
        <w:t xml:space="preserve"> </w:t>
      </w:r>
      <w:proofErr w:type="spellStart"/>
      <w:proofErr w:type="gramStart"/>
      <w:r w:rsidR="00056BA1" w:rsidRPr="00056BA1">
        <w:rPr>
          <w:rFonts w:ascii="Times New Roman" w:eastAsia="Times New Roman" w:hAnsi="Times New Roman" w:cs="Times New Roman"/>
          <w:i/>
          <w:sz w:val="24"/>
          <w:szCs w:val="24"/>
          <w:lang w:val="en-US"/>
        </w:rPr>
        <w:t>Mtetwa</w:t>
      </w:r>
      <w:proofErr w:type="spellEnd"/>
      <w:r w:rsidR="00056BA1">
        <w:rPr>
          <w:rFonts w:ascii="Times New Roman" w:eastAsia="Times New Roman" w:hAnsi="Times New Roman" w:cs="Times New Roman"/>
          <w:sz w:val="24"/>
          <w:szCs w:val="24"/>
          <w:lang w:val="en-US"/>
        </w:rPr>
        <w:t>,</w:t>
      </w:r>
      <w:proofErr w:type="gramEnd"/>
      <w:r w:rsidR="00056BA1">
        <w:rPr>
          <w:rFonts w:ascii="Times New Roman" w:eastAsia="Times New Roman" w:hAnsi="Times New Roman" w:cs="Times New Roman"/>
          <w:sz w:val="24"/>
          <w:szCs w:val="24"/>
          <w:lang w:val="en-US"/>
        </w:rPr>
        <w:t xml:space="preserve"> averred that an appellate court does not have jurisdiction to </w:t>
      </w:r>
      <w:r w:rsidR="000D4118">
        <w:rPr>
          <w:rFonts w:ascii="Times New Roman" w:eastAsia="Times New Roman" w:hAnsi="Times New Roman" w:cs="Times New Roman"/>
          <w:sz w:val="24"/>
          <w:szCs w:val="24"/>
          <w:lang w:val="en-US"/>
        </w:rPr>
        <w:t>set aside</w:t>
      </w:r>
      <w:r w:rsidR="00056BA1">
        <w:rPr>
          <w:rFonts w:ascii="Times New Roman" w:eastAsia="Times New Roman" w:hAnsi="Times New Roman" w:cs="Times New Roman"/>
          <w:sz w:val="24"/>
          <w:szCs w:val="24"/>
          <w:lang w:val="en-US"/>
        </w:rPr>
        <w:t xml:space="preserve"> a consent order. Although, this may be true, I take the view that what was before the court </w:t>
      </w:r>
      <w:r w:rsidR="00056BA1" w:rsidRPr="000D4118">
        <w:rPr>
          <w:rFonts w:ascii="Times New Roman" w:eastAsia="Times New Roman" w:hAnsi="Times New Roman" w:cs="Times New Roman"/>
          <w:i/>
          <w:sz w:val="24"/>
          <w:szCs w:val="24"/>
          <w:lang w:val="en-US"/>
        </w:rPr>
        <w:t>a quo</w:t>
      </w:r>
      <w:r w:rsidR="00056BA1">
        <w:rPr>
          <w:rFonts w:ascii="Times New Roman" w:eastAsia="Times New Roman" w:hAnsi="Times New Roman" w:cs="Times New Roman"/>
          <w:sz w:val="24"/>
          <w:szCs w:val="24"/>
          <w:lang w:val="en-US"/>
        </w:rPr>
        <w:t xml:space="preserve"> was not a “consent order” but rather </w:t>
      </w:r>
      <w:proofErr w:type="gramStart"/>
      <w:r w:rsidR="00056BA1">
        <w:rPr>
          <w:rFonts w:ascii="Times New Roman" w:eastAsia="Times New Roman" w:hAnsi="Times New Roman" w:cs="Times New Roman"/>
          <w:sz w:val="24"/>
          <w:szCs w:val="24"/>
          <w:lang w:val="en-US"/>
        </w:rPr>
        <w:t>a consent</w:t>
      </w:r>
      <w:proofErr w:type="gramEnd"/>
      <w:r w:rsidR="00056BA1">
        <w:rPr>
          <w:rFonts w:ascii="Times New Roman" w:eastAsia="Times New Roman" w:hAnsi="Times New Roman" w:cs="Times New Roman"/>
          <w:sz w:val="24"/>
          <w:szCs w:val="24"/>
          <w:lang w:val="en-US"/>
        </w:rPr>
        <w:t xml:space="preserve"> to judgment which only involved one of the defendants (</w:t>
      </w:r>
      <w:r w:rsidR="00056BA1" w:rsidRPr="00056BA1">
        <w:rPr>
          <w:rFonts w:ascii="Times New Roman" w:eastAsia="Times New Roman" w:hAnsi="Times New Roman" w:cs="Times New Roman"/>
          <w:i/>
          <w:sz w:val="24"/>
          <w:szCs w:val="24"/>
          <w:lang w:val="en-US"/>
        </w:rPr>
        <w:t>a quo</w:t>
      </w:r>
      <w:r w:rsidR="00056BA1">
        <w:rPr>
          <w:rFonts w:ascii="Times New Roman" w:eastAsia="Times New Roman" w:hAnsi="Times New Roman" w:cs="Times New Roman"/>
          <w:sz w:val="24"/>
          <w:szCs w:val="24"/>
          <w:lang w:val="en-US"/>
        </w:rPr>
        <w:t xml:space="preserve">) and not both of them. What this means therefore is that the Supreme Court </w:t>
      </w:r>
      <w:r w:rsidR="00D52289">
        <w:rPr>
          <w:rFonts w:ascii="Times New Roman" w:eastAsia="Times New Roman" w:hAnsi="Times New Roman" w:cs="Times New Roman"/>
          <w:sz w:val="24"/>
          <w:szCs w:val="24"/>
          <w:lang w:val="en-US"/>
        </w:rPr>
        <w:t>may</w:t>
      </w:r>
      <w:r w:rsidR="00056BA1">
        <w:rPr>
          <w:rFonts w:ascii="Times New Roman" w:eastAsia="Times New Roman" w:hAnsi="Times New Roman" w:cs="Times New Roman"/>
          <w:sz w:val="24"/>
          <w:szCs w:val="24"/>
          <w:lang w:val="en-US"/>
        </w:rPr>
        <w:t xml:space="preserve"> not be bound by the </w:t>
      </w:r>
      <w:r w:rsidR="007E7D8C">
        <w:rPr>
          <w:rFonts w:ascii="Times New Roman" w:eastAsia="Times New Roman" w:hAnsi="Times New Roman" w:cs="Times New Roman"/>
          <w:sz w:val="24"/>
          <w:szCs w:val="24"/>
          <w:lang w:val="en-US"/>
        </w:rPr>
        <w:t>second</w:t>
      </w:r>
      <w:r w:rsidR="00056BA1">
        <w:rPr>
          <w:rFonts w:ascii="Times New Roman" w:eastAsia="Times New Roman" w:hAnsi="Times New Roman" w:cs="Times New Roman"/>
          <w:sz w:val="24"/>
          <w:szCs w:val="24"/>
          <w:lang w:val="en-US"/>
        </w:rPr>
        <w:t xml:space="preserve"> respondent’s consent to judgment when determining the matter before it. </w:t>
      </w:r>
    </w:p>
    <w:p w:rsidR="00056BA1" w:rsidRDefault="00056BA1"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644A7D" w:rsidRDefault="00056BA1"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EF6437">
        <w:rPr>
          <w:rFonts w:ascii="Times New Roman" w:eastAsia="Times New Roman" w:hAnsi="Times New Roman" w:cs="Times New Roman"/>
          <w:sz w:val="24"/>
          <w:szCs w:val="24"/>
          <w:lang w:val="en-US"/>
        </w:rPr>
        <w:t xml:space="preserve">In essence what the </w:t>
      </w:r>
      <w:r w:rsidR="007E7D8C">
        <w:rPr>
          <w:rFonts w:ascii="Times New Roman" w:eastAsia="Times New Roman" w:hAnsi="Times New Roman" w:cs="Times New Roman"/>
          <w:sz w:val="24"/>
          <w:szCs w:val="24"/>
          <w:lang w:val="en-US"/>
        </w:rPr>
        <w:t>second</w:t>
      </w:r>
      <w:r w:rsidR="00EF6437">
        <w:rPr>
          <w:rFonts w:ascii="Times New Roman" w:eastAsia="Times New Roman" w:hAnsi="Times New Roman" w:cs="Times New Roman"/>
          <w:sz w:val="24"/>
          <w:szCs w:val="24"/>
          <w:lang w:val="en-US"/>
        </w:rPr>
        <w:t xml:space="preserve"> respondent did when he consented to judgment is that he became in a way a “co-plaintiff” as he gave evidence on behalf of the applicant so the </w:t>
      </w:r>
      <w:r w:rsidR="007E7D8C">
        <w:rPr>
          <w:rFonts w:ascii="Times New Roman" w:eastAsia="Times New Roman" w:hAnsi="Times New Roman" w:cs="Times New Roman"/>
          <w:sz w:val="24"/>
          <w:szCs w:val="24"/>
          <w:lang w:val="en-US"/>
        </w:rPr>
        <w:t>second</w:t>
      </w:r>
      <w:r w:rsidR="00EF6437">
        <w:rPr>
          <w:rFonts w:ascii="Times New Roman" w:eastAsia="Times New Roman" w:hAnsi="Times New Roman" w:cs="Times New Roman"/>
          <w:sz w:val="24"/>
          <w:szCs w:val="24"/>
          <w:lang w:val="en-US"/>
        </w:rPr>
        <w:t xml:space="preserve"> respondent’s consent to judgment aggrieved the applicant and </w:t>
      </w:r>
      <w:r>
        <w:rPr>
          <w:rFonts w:ascii="Times New Roman" w:eastAsia="Times New Roman" w:hAnsi="Times New Roman" w:cs="Times New Roman"/>
          <w:sz w:val="24"/>
          <w:szCs w:val="24"/>
          <w:lang w:val="en-US"/>
        </w:rPr>
        <w:t>to register her discontentment in the outcome of the matter her only avenue in the circumstances was to launch an appeal in this Court</w:t>
      </w:r>
      <w:r w:rsidR="00D52289">
        <w:rPr>
          <w:rFonts w:ascii="Times New Roman" w:eastAsia="Times New Roman" w:hAnsi="Times New Roman" w:cs="Times New Roman"/>
          <w:sz w:val="24"/>
          <w:szCs w:val="24"/>
          <w:lang w:val="en-US"/>
        </w:rPr>
        <w:t xml:space="preserve">.  The </w:t>
      </w:r>
      <w:r w:rsidR="00EF6437">
        <w:rPr>
          <w:rFonts w:ascii="Times New Roman" w:eastAsia="Times New Roman" w:hAnsi="Times New Roman" w:cs="Times New Roman"/>
          <w:sz w:val="24"/>
          <w:szCs w:val="24"/>
          <w:lang w:val="en-US"/>
        </w:rPr>
        <w:t>appeal</w:t>
      </w:r>
      <w:r>
        <w:rPr>
          <w:rFonts w:ascii="Times New Roman" w:eastAsia="Times New Roman" w:hAnsi="Times New Roman" w:cs="Times New Roman"/>
          <w:sz w:val="24"/>
          <w:szCs w:val="24"/>
          <w:lang w:val="en-US"/>
        </w:rPr>
        <w:t xml:space="preserve"> had to be</w:t>
      </w:r>
      <w:r w:rsidR="00EF6437">
        <w:rPr>
          <w:rFonts w:ascii="Times New Roman" w:eastAsia="Times New Roman" w:hAnsi="Times New Roman" w:cs="Times New Roman"/>
          <w:sz w:val="24"/>
          <w:szCs w:val="24"/>
          <w:lang w:val="en-US"/>
        </w:rPr>
        <w:t xml:space="preserve"> against the entire judgment</w:t>
      </w:r>
      <w:r>
        <w:rPr>
          <w:rFonts w:ascii="Times New Roman" w:eastAsia="Times New Roman" w:hAnsi="Times New Roman" w:cs="Times New Roman"/>
          <w:sz w:val="24"/>
          <w:szCs w:val="24"/>
          <w:lang w:val="en-US"/>
        </w:rPr>
        <w:t xml:space="preserve"> of the court </w:t>
      </w:r>
      <w:r w:rsidRPr="00056BA1">
        <w:rPr>
          <w:rFonts w:ascii="Times New Roman" w:eastAsia="Times New Roman" w:hAnsi="Times New Roman" w:cs="Times New Roman"/>
          <w:i/>
          <w:sz w:val="24"/>
          <w:szCs w:val="24"/>
          <w:lang w:val="en-US"/>
        </w:rPr>
        <w:t>a quo</w:t>
      </w:r>
      <w:r w:rsidR="00EF6437">
        <w:rPr>
          <w:rFonts w:ascii="Times New Roman" w:eastAsia="Times New Roman" w:hAnsi="Times New Roman" w:cs="Times New Roman"/>
          <w:sz w:val="24"/>
          <w:szCs w:val="24"/>
          <w:lang w:val="en-US"/>
        </w:rPr>
        <w:t>.</w:t>
      </w:r>
      <w:r w:rsidR="008F7F86">
        <w:rPr>
          <w:rFonts w:ascii="Times New Roman" w:eastAsia="Times New Roman" w:hAnsi="Times New Roman" w:cs="Times New Roman"/>
          <w:sz w:val="24"/>
          <w:szCs w:val="24"/>
          <w:lang w:val="en-US"/>
        </w:rPr>
        <w:t xml:space="preserve"> </w:t>
      </w:r>
    </w:p>
    <w:p w:rsidR="00644A7D" w:rsidRDefault="00644A7D"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EF6437" w:rsidRDefault="00644A7D" w:rsidP="00C839CE">
      <w:pPr>
        <w:spacing w:after="0" w:line="48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                   </w:t>
      </w:r>
      <w:r w:rsidR="008F7F86">
        <w:rPr>
          <w:rFonts w:ascii="Times New Roman" w:eastAsia="Times New Roman" w:hAnsi="Times New Roman" w:cs="Times New Roman"/>
          <w:sz w:val="24"/>
          <w:szCs w:val="24"/>
          <w:lang w:val="en-US"/>
        </w:rPr>
        <w:t xml:space="preserve">In order to bring clarity to this issue it is imperative that the meaning of “part” and “whole” of the judgment </w:t>
      </w:r>
      <w:r w:rsidR="00F3365C">
        <w:rPr>
          <w:rFonts w:ascii="Times New Roman" w:eastAsia="Times New Roman" w:hAnsi="Times New Roman" w:cs="Times New Roman"/>
          <w:sz w:val="24"/>
          <w:szCs w:val="24"/>
          <w:lang w:val="en-US"/>
        </w:rPr>
        <w:t>be explained</w:t>
      </w:r>
      <w:r w:rsidR="00056BA1">
        <w:rPr>
          <w:rFonts w:ascii="Times New Roman" w:eastAsia="Times New Roman" w:hAnsi="Times New Roman" w:cs="Times New Roman"/>
          <w:sz w:val="24"/>
          <w:szCs w:val="24"/>
          <w:lang w:val="en-US"/>
        </w:rPr>
        <w:t xml:space="preserve"> so that litigants understand what it means to appeal against </w:t>
      </w:r>
      <w:r w:rsidR="009305DF">
        <w:rPr>
          <w:rFonts w:ascii="Times New Roman" w:eastAsia="Times New Roman" w:hAnsi="Times New Roman" w:cs="Times New Roman"/>
          <w:sz w:val="24"/>
          <w:szCs w:val="24"/>
          <w:lang w:val="en-US"/>
        </w:rPr>
        <w:t>“</w:t>
      </w:r>
      <w:r w:rsidR="00056BA1">
        <w:rPr>
          <w:rFonts w:ascii="Times New Roman" w:eastAsia="Times New Roman" w:hAnsi="Times New Roman" w:cs="Times New Roman"/>
          <w:sz w:val="24"/>
          <w:szCs w:val="24"/>
          <w:lang w:val="en-US"/>
        </w:rPr>
        <w:t>whole</w:t>
      </w:r>
      <w:r w:rsidR="009305DF">
        <w:rPr>
          <w:rFonts w:ascii="Times New Roman" w:eastAsia="Times New Roman" w:hAnsi="Times New Roman" w:cs="Times New Roman"/>
          <w:sz w:val="24"/>
          <w:szCs w:val="24"/>
          <w:lang w:val="en-US"/>
        </w:rPr>
        <w:t>”</w:t>
      </w:r>
      <w:r w:rsidR="00056BA1">
        <w:rPr>
          <w:rFonts w:ascii="Times New Roman" w:eastAsia="Times New Roman" w:hAnsi="Times New Roman" w:cs="Times New Roman"/>
          <w:sz w:val="24"/>
          <w:szCs w:val="24"/>
          <w:lang w:val="en-US"/>
        </w:rPr>
        <w:t xml:space="preserve"> or part of the judgment</w:t>
      </w:r>
      <w:r w:rsidR="00F3365C">
        <w:rPr>
          <w:rFonts w:ascii="Times New Roman" w:eastAsia="Times New Roman" w:hAnsi="Times New Roman" w:cs="Times New Roman"/>
          <w:sz w:val="24"/>
          <w:szCs w:val="24"/>
          <w:lang w:val="en-US"/>
        </w:rPr>
        <w:t xml:space="preserve">. According to the </w:t>
      </w:r>
      <w:r w:rsidR="00F3365C" w:rsidRPr="00A65BBE">
        <w:rPr>
          <w:rFonts w:ascii="Times New Roman" w:eastAsia="Times New Roman" w:hAnsi="Times New Roman" w:cs="Times New Roman"/>
          <w:i/>
          <w:sz w:val="24"/>
          <w:szCs w:val="24"/>
          <w:lang w:val="en-US"/>
        </w:rPr>
        <w:t>Shorter Oxford English Dictionary on Historical Principles</w:t>
      </w:r>
      <w:r w:rsidR="00F3365C">
        <w:rPr>
          <w:rFonts w:ascii="Times New Roman" w:eastAsia="Times New Roman" w:hAnsi="Times New Roman" w:cs="Times New Roman"/>
          <w:sz w:val="24"/>
          <w:szCs w:val="24"/>
          <w:lang w:val="en-US"/>
        </w:rPr>
        <w:t xml:space="preserve"> </w:t>
      </w:r>
      <w:r w:rsidR="00A65BBE">
        <w:rPr>
          <w:rFonts w:ascii="Times New Roman" w:eastAsia="Times New Roman" w:hAnsi="Times New Roman" w:cs="Times New Roman"/>
          <w:sz w:val="24"/>
          <w:szCs w:val="24"/>
          <w:lang w:val="en-US"/>
        </w:rPr>
        <w:t xml:space="preserve">by Little. </w:t>
      </w:r>
      <w:proofErr w:type="gramStart"/>
      <w:r w:rsidR="00A65BBE">
        <w:rPr>
          <w:rFonts w:ascii="Times New Roman" w:eastAsia="Times New Roman" w:hAnsi="Times New Roman" w:cs="Times New Roman"/>
          <w:sz w:val="24"/>
          <w:szCs w:val="24"/>
          <w:lang w:val="en-US"/>
        </w:rPr>
        <w:t>W, Fowler H.W and Coulson.</w:t>
      </w:r>
      <w:proofErr w:type="gramEnd"/>
      <w:r w:rsidR="00A65BBE">
        <w:rPr>
          <w:rFonts w:ascii="Times New Roman" w:eastAsia="Times New Roman" w:hAnsi="Times New Roman" w:cs="Times New Roman"/>
          <w:sz w:val="24"/>
          <w:szCs w:val="24"/>
          <w:lang w:val="en-US"/>
        </w:rPr>
        <w:t xml:space="preserve"> J (3</w:t>
      </w:r>
      <w:r w:rsidR="00A65BBE" w:rsidRPr="00A65BBE">
        <w:rPr>
          <w:rFonts w:ascii="Times New Roman" w:eastAsia="Times New Roman" w:hAnsi="Times New Roman" w:cs="Times New Roman"/>
          <w:sz w:val="24"/>
          <w:szCs w:val="24"/>
          <w:vertAlign w:val="superscript"/>
          <w:lang w:val="en-US"/>
        </w:rPr>
        <w:t>rd</w:t>
      </w:r>
      <w:r w:rsidR="00A65BBE">
        <w:rPr>
          <w:rFonts w:ascii="Times New Roman" w:eastAsia="Times New Roman" w:hAnsi="Times New Roman" w:cs="Times New Roman"/>
          <w:sz w:val="24"/>
          <w:szCs w:val="24"/>
          <w:lang w:val="en-US"/>
        </w:rPr>
        <w:t xml:space="preserve"> </w:t>
      </w:r>
      <w:proofErr w:type="spellStart"/>
      <w:r w:rsidR="00A65BBE">
        <w:rPr>
          <w:rFonts w:ascii="Times New Roman" w:eastAsia="Times New Roman" w:hAnsi="Times New Roman" w:cs="Times New Roman"/>
          <w:sz w:val="24"/>
          <w:szCs w:val="24"/>
          <w:lang w:val="en-US"/>
        </w:rPr>
        <w:t>edn</w:t>
      </w:r>
      <w:proofErr w:type="spellEnd"/>
      <w:r w:rsidR="00A65BBE">
        <w:rPr>
          <w:rFonts w:ascii="Times New Roman" w:eastAsia="Times New Roman" w:hAnsi="Times New Roman" w:cs="Times New Roman"/>
          <w:sz w:val="24"/>
          <w:szCs w:val="24"/>
          <w:lang w:val="en-US"/>
        </w:rPr>
        <w:t>, Vol 2, Oxford, Clarendon Press) the word “whole” means, “</w:t>
      </w:r>
      <w:r w:rsidR="00A65BBE" w:rsidRPr="00A65BBE">
        <w:rPr>
          <w:rFonts w:ascii="Times New Roman" w:eastAsia="Times New Roman" w:hAnsi="Times New Roman" w:cs="Times New Roman"/>
          <w:i/>
          <w:sz w:val="24"/>
          <w:szCs w:val="24"/>
          <w:lang w:val="en-US"/>
        </w:rPr>
        <w:t xml:space="preserve">in its </w:t>
      </w:r>
      <w:r>
        <w:rPr>
          <w:rFonts w:ascii="Times New Roman" w:eastAsia="Times New Roman" w:hAnsi="Times New Roman" w:cs="Times New Roman"/>
          <w:i/>
          <w:sz w:val="24"/>
          <w:szCs w:val="24"/>
          <w:lang w:val="en-US"/>
        </w:rPr>
        <w:t>entirety, in full</w:t>
      </w:r>
      <w:r w:rsidR="00A65BBE" w:rsidRPr="00A65BBE">
        <w:rPr>
          <w:rFonts w:ascii="Times New Roman" w:eastAsia="Times New Roman" w:hAnsi="Times New Roman" w:cs="Times New Roman"/>
          <w:i/>
          <w:sz w:val="24"/>
          <w:szCs w:val="24"/>
          <w:lang w:val="en-US"/>
        </w:rPr>
        <w:t>, all of it, to the full extent, altogether</w:t>
      </w:r>
      <w:r w:rsidR="00462600">
        <w:rPr>
          <w:rFonts w:ascii="Times New Roman" w:eastAsia="Times New Roman" w:hAnsi="Times New Roman" w:cs="Times New Roman"/>
          <w:i/>
          <w:sz w:val="24"/>
          <w:szCs w:val="24"/>
          <w:lang w:val="en-US"/>
        </w:rPr>
        <w:t>.</w:t>
      </w:r>
      <w:r w:rsidR="00A65BBE" w:rsidRPr="00A65BBE">
        <w:rPr>
          <w:rFonts w:ascii="Times New Roman" w:eastAsia="Times New Roman" w:hAnsi="Times New Roman" w:cs="Times New Roman"/>
          <w:i/>
          <w:sz w:val="24"/>
          <w:szCs w:val="24"/>
          <w:lang w:val="en-US"/>
        </w:rPr>
        <w:t>”</w:t>
      </w:r>
      <w:r w:rsidR="00462600">
        <w:rPr>
          <w:rFonts w:ascii="Times New Roman" w:eastAsia="Times New Roman" w:hAnsi="Times New Roman" w:cs="Times New Roman"/>
          <w:i/>
          <w:sz w:val="24"/>
          <w:szCs w:val="24"/>
          <w:lang w:val="en-US"/>
        </w:rPr>
        <w:t xml:space="preserve"> </w:t>
      </w:r>
      <w:r w:rsidR="00462600">
        <w:rPr>
          <w:rFonts w:ascii="Times New Roman" w:eastAsia="Times New Roman" w:hAnsi="Times New Roman" w:cs="Times New Roman"/>
          <w:sz w:val="24"/>
          <w:szCs w:val="24"/>
          <w:lang w:val="en-US"/>
        </w:rPr>
        <w:t xml:space="preserve">The </w:t>
      </w:r>
      <w:r w:rsidR="00462600" w:rsidRPr="00056BA1">
        <w:rPr>
          <w:rFonts w:ascii="Times New Roman" w:eastAsia="Times New Roman" w:hAnsi="Times New Roman" w:cs="Times New Roman"/>
          <w:i/>
          <w:sz w:val="24"/>
          <w:szCs w:val="24"/>
          <w:lang w:val="en-US"/>
        </w:rPr>
        <w:t>Merriam Webster law Dictionary Online</w:t>
      </w:r>
      <w:r w:rsidR="00462600">
        <w:rPr>
          <w:rFonts w:ascii="Times New Roman" w:eastAsia="Times New Roman" w:hAnsi="Times New Roman" w:cs="Times New Roman"/>
          <w:sz w:val="24"/>
          <w:szCs w:val="24"/>
          <w:lang w:val="en-US"/>
        </w:rPr>
        <w:t xml:space="preserve"> defines “part” as </w:t>
      </w:r>
      <w:r w:rsidR="00462600" w:rsidRPr="00462600">
        <w:rPr>
          <w:rFonts w:ascii="Times New Roman" w:eastAsia="Times New Roman" w:hAnsi="Times New Roman" w:cs="Times New Roman"/>
          <w:i/>
          <w:sz w:val="24"/>
          <w:szCs w:val="24"/>
          <w:lang w:val="en-US"/>
        </w:rPr>
        <w:t>“a separate piece of something, an amount or section which when combined with others makes up the whole of something or some but not all of something.”</w:t>
      </w:r>
    </w:p>
    <w:p w:rsidR="00910C16" w:rsidRDefault="00910C16" w:rsidP="00C839CE">
      <w:pPr>
        <w:spacing w:after="0" w:line="480" w:lineRule="auto"/>
        <w:jc w:val="both"/>
        <w:rPr>
          <w:rFonts w:ascii="Times New Roman" w:eastAsia="Times New Roman" w:hAnsi="Times New Roman" w:cs="Times New Roman"/>
          <w:sz w:val="24"/>
          <w:szCs w:val="24"/>
          <w:lang w:val="en-US"/>
        </w:rPr>
      </w:pPr>
    </w:p>
    <w:p w:rsidR="00AF54D3" w:rsidRDefault="00910C16"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In the circumstances of this case the applicant’s intended appeal is against </w:t>
      </w:r>
      <w:r w:rsidR="00056BA1">
        <w:rPr>
          <w:rFonts w:ascii="Times New Roman" w:eastAsia="Times New Roman" w:hAnsi="Times New Roman" w:cs="Times New Roman"/>
          <w:sz w:val="24"/>
          <w:szCs w:val="24"/>
          <w:lang w:val="en-US"/>
        </w:rPr>
        <w:t>the whole judgment as she wa</w:t>
      </w:r>
      <w:r w:rsidR="008374E7">
        <w:rPr>
          <w:rFonts w:ascii="Times New Roman" w:eastAsia="Times New Roman" w:hAnsi="Times New Roman" w:cs="Times New Roman"/>
          <w:sz w:val="24"/>
          <w:szCs w:val="24"/>
          <w:lang w:val="en-US"/>
        </w:rPr>
        <w:t xml:space="preserve">s aggrieved by the entire judgment. </w:t>
      </w:r>
      <w:r w:rsidR="00056BA1">
        <w:rPr>
          <w:rFonts w:ascii="Times New Roman" w:eastAsia="Times New Roman" w:hAnsi="Times New Roman" w:cs="Times New Roman"/>
          <w:sz w:val="24"/>
          <w:szCs w:val="24"/>
          <w:lang w:val="en-US"/>
        </w:rPr>
        <w:t xml:space="preserve">The </w:t>
      </w:r>
      <w:r w:rsidR="006A15C3">
        <w:rPr>
          <w:rFonts w:ascii="Times New Roman" w:eastAsia="Times New Roman" w:hAnsi="Times New Roman" w:cs="Times New Roman"/>
          <w:sz w:val="24"/>
          <w:szCs w:val="24"/>
          <w:lang w:val="en-US"/>
        </w:rPr>
        <w:t>second</w:t>
      </w:r>
      <w:r w:rsidR="00056BA1">
        <w:rPr>
          <w:rFonts w:ascii="Times New Roman" w:eastAsia="Times New Roman" w:hAnsi="Times New Roman" w:cs="Times New Roman"/>
          <w:sz w:val="24"/>
          <w:szCs w:val="24"/>
          <w:lang w:val="en-US"/>
        </w:rPr>
        <w:t xml:space="preserve"> respondent’s consent to judgment does not support her cause therefore she had to appeal against the judgment in its entirety. </w:t>
      </w:r>
      <w:r w:rsidR="008374E7">
        <w:rPr>
          <w:rFonts w:ascii="Times New Roman" w:eastAsia="Times New Roman" w:hAnsi="Times New Roman" w:cs="Times New Roman"/>
          <w:sz w:val="24"/>
          <w:szCs w:val="24"/>
          <w:lang w:val="en-US"/>
        </w:rPr>
        <w:t xml:space="preserve">One can only appeal against part of a judgment when </w:t>
      </w:r>
      <w:r w:rsidR="00441002">
        <w:rPr>
          <w:rFonts w:ascii="Times New Roman" w:eastAsia="Times New Roman" w:hAnsi="Times New Roman" w:cs="Times New Roman"/>
          <w:sz w:val="24"/>
          <w:szCs w:val="24"/>
          <w:lang w:val="en-US"/>
        </w:rPr>
        <w:t xml:space="preserve">the other part of the judgment </w:t>
      </w:r>
      <w:r w:rsidR="00AF54D3">
        <w:rPr>
          <w:rFonts w:ascii="Times New Roman" w:eastAsia="Times New Roman" w:hAnsi="Times New Roman" w:cs="Times New Roman"/>
          <w:sz w:val="24"/>
          <w:szCs w:val="24"/>
          <w:lang w:val="en-US"/>
        </w:rPr>
        <w:t xml:space="preserve">is in their </w:t>
      </w:r>
      <w:proofErr w:type="spellStart"/>
      <w:r w:rsidR="00AF54D3">
        <w:rPr>
          <w:rFonts w:ascii="Times New Roman" w:eastAsia="Times New Roman" w:hAnsi="Times New Roman" w:cs="Times New Roman"/>
          <w:sz w:val="24"/>
          <w:szCs w:val="24"/>
          <w:lang w:val="en-US"/>
        </w:rPr>
        <w:t>favour</w:t>
      </w:r>
      <w:proofErr w:type="spellEnd"/>
      <w:r w:rsidR="00441002">
        <w:rPr>
          <w:rFonts w:ascii="Times New Roman" w:eastAsia="Times New Roman" w:hAnsi="Times New Roman" w:cs="Times New Roman"/>
          <w:sz w:val="24"/>
          <w:szCs w:val="24"/>
          <w:lang w:val="en-US"/>
        </w:rPr>
        <w:t xml:space="preserve">. </w:t>
      </w:r>
    </w:p>
    <w:p w:rsidR="00AF54D3" w:rsidRDefault="00AF54D3" w:rsidP="00C839CE">
      <w:pPr>
        <w:spacing w:after="0" w:line="480" w:lineRule="auto"/>
        <w:jc w:val="both"/>
        <w:rPr>
          <w:rFonts w:ascii="Times New Roman" w:eastAsia="Times New Roman" w:hAnsi="Times New Roman" w:cs="Times New Roman"/>
          <w:sz w:val="24"/>
          <w:szCs w:val="24"/>
          <w:lang w:val="en-US"/>
        </w:rPr>
      </w:pPr>
    </w:p>
    <w:p w:rsidR="00910C16" w:rsidRDefault="00AF54D3"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A4230" w:rsidRPr="00D811BF">
        <w:rPr>
          <w:rFonts w:ascii="Times New Roman" w:eastAsia="Times New Roman" w:hAnsi="Times New Roman" w:cs="Times New Roman"/>
          <w:i/>
          <w:sz w:val="24"/>
          <w:szCs w:val="24"/>
          <w:lang w:val="en-US"/>
        </w:rPr>
        <w:t xml:space="preserve">In </w:t>
      </w:r>
      <w:proofErr w:type="spellStart"/>
      <w:r w:rsidR="00CA4230" w:rsidRPr="00D811BF">
        <w:rPr>
          <w:rFonts w:ascii="Times New Roman" w:eastAsia="Times New Roman" w:hAnsi="Times New Roman" w:cs="Times New Roman"/>
          <w:i/>
          <w:sz w:val="24"/>
          <w:szCs w:val="24"/>
          <w:lang w:val="en-US"/>
        </w:rPr>
        <w:t>casu</w:t>
      </w:r>
      <w:proofErr w:type="spellEnd"/>
      <w:r w:rsidR="00CA4230">
        <w:rPr>
          <w:rFonts w:ascii="Times New Roman" w:eastAsia="Times New Roman" w:hAnsi="Times New Roman" w:cs="Times New Roman"/>
          <w:sz w:val="24"/>
          <w:szCs w:val="24"/>
          <w:lang w:val="en-US"/>
        </w:rPr>
        <w:t xml:space="preserve"> there is no part of the judgment that is in the applicant’s </w:t>
      </w:r>
      <w:proofErr w:type="spellStart"/>
      <w:r w:rsidR="00CA4230">
        <w:rPr>
          <w:rFonts w:ascii="Times New Roman" w:eastAsia="Times New Roman" w:hAnsi="Times New Roman" w:cs="Times New Roman"/>
          <w:sz w:val="24"/>
          <w:szCs w:val="24"/>
          <w:lang w:val="en-US"/>
        </w:rPr>
        <w:t>favour</w:t>
      </w:r>
      <w:proofErr w:type="spellEnd"/>
      <w:r w:rsidR="00CA4230">
        <w:rPr>
          <w:rFonts w:ascii="Times New Roman" w:eastAsia="Times New Roman" w:hAnsi="Times New Roman" w:cs="Times New Roman"/>
          <w:sz w:val="24"/>
          <w:szCs w:val="24"/>
          <w:lang w:val="en-US"/>
        </w:rPr>
        <w:t xml:space="preserve"> therefore she </w:t>
      </w:r>
      <w:r w:rsidR="00644A7D">
        <w:rPr>
          <w:rFonts w:ascii="Times New Roman" w:eastAsia="Times New Roman" w:hAnsi="Times New Roman" w:cs="Times New Roman"/>
          <w:sz w:val="24"/>
          <w:szCs w:val="24"/>
          <w:lang w:val="en-US"/>
        </w:rPr>
        <w:t>was correct in appealing</w:t>
      </w:r>
      <w:r w:rsidR="00CA4230">
        <w:rPr>
          <w:rFonts w:ascii="Times New Roman" w:eastAsia="Times New Roman" w:hAnsi="Times New Roman" w:cs="Times New Roman"/>
          <w:sz w:val="24"/>
          <w:szCs w:val="24"/>
          <w:lang w:val="en-US"/>
        </w:rPr>
        <w:t xml:space="preserve"> against the entire judgment. The fact that the </w:t>
      </w:r>
      <w:r w:rsidR="006A15C3">
        <w:rPr>
          <w:rFonts w:ascii="Times New Roman" w:eastAsia="Times New Roman" w:hAnsi="Times New Roman" w:cs="Times New Roman"/>
          <w:sz w:val="24"/>
          <w:szCs w:val="24"/>
          <w:lang w:val="en-US"/>
        </w:rPr>
        <w:t>second</w:t>
      </w:r>
      <w:r w:rsidR="00D811BF">
        <w:rPr>
          <w:rFonts w:ascii="Times New Roman" w:eastAsia="Times New Roman" w:hAnsi="Times New Roman" w:cs="Times New Roman"/>
          <w:sz w:val="24"/>
          <w:szCs w:val="24"/>
          <w:lang w:val="en-US"/>
        </w:rPr>
        <w:t xml:space="preserve"> respondent consented to judgment does not bar the applicant from appealing against the entire judgment especially when he gave evidence </w:t>
      </w:r>
      <w:r w:rsidR="00644A7D">
        <w:rPr>
          <w:rFonts w:ascii="Times New Roman" w:eastAsia="Times New Roman" w:hAnsi="Times New Roman" w:cs="Times New Roman"/>
          <w:sz w:val="24"/>
          <w:szCs w:val="24"/>
          <w:lang w:val="en-US"/>
        </w:rPr>
        <w:t xml:space="preserve">in the </w:t>
      </w:r>
      <w:r w:rsidR="006A15C3">
        <w:rPr>
          <w:rFonts w:ascii="Times New Roman" w:eastAsia="Times New Roman" w:hAnsi="Times New Roman" w:cs="Times New Roman"/>
          <w:sz w:val="24"/>
          <w:szCs w:val="24"/>
          <w:lang w:val="en-US"/>
        </w:rPr>
        <w:t>first</w:t>
      </w:r>
      <w:r w:rsidR="00D811BF">
        <w:rPr>
          <w:rFonts w:ascii="Times New Roman" w:eastAsia="Times New Roman" w:hAnsi="Times New Roman" w:cs="Times New Roman"/>
          <w:sz w:val="24"/>
          <w:szCs w:val="24"/>
          <w:lang w:val="en-US"/>
        </w:rPr>
        <w:t xml:space="preserve"> respondent’s </w:t>
      </w:r>
      <w:proofErr w:type="spellStart"/>
      <w:r w:rsidR="00D811BF">
        <w:rPr>
          <w:rFonts w:ascii="Times New Roman" w:eastAsia="Times New Roman" w:hAnsi="Times New Roman" w:cs="Times New Roman"/>
          <w:sz w:val="24"/>
          <w:szCs w:val="24"/>
          <w:lang w:val="en-US"/>
        </w:rPr>
        <w:t>favour</w:t>
      </w:r>
      <w:proofErr w:type="spellEnd"/>
      <w:r>
        <w:rPr>
          <w:rFonts w:ascii="Times New Roman" w:eastAsia="Times New Roman" w:hAnsi="Times New Roman" w:cs="Times New Roman"/>
          <w:sz w:val="24"/>
          <w:szCs w:val="24"/>
          <w:lang w:val="en-US"/>
        </w:rPr>
        <w:t xml:space="preserve"> thereby supporting her case</w:t>
      </w:r>
      <w:r w:rsidR="00D811BF">
        <w:rPr>
          <w:rFonts w:ascii="Times New Roman" w:eastAsia="Times New Roman" w:hAnsi="Times New Roman" w:cs="Times New Roman"/>
          <w:sz w:val="24"/>
          <w:szCs w:val="24"/>
          <w:lang w:val="en-US"/>
        </w:rPr>
        <w:t>. It</w:t>
      </w:r>
      <w:r w:rsidR="00807B2D">
        <w:rPr>
          <w:rFonts w:ascii="Times New Roman" w:eastAsia="Times New Roman" w:hAnsi="Times New Roman" w:cs="Times New Roman"/>
          <w:sz w:val="24"/>
          <w:szCs w:val="24"/>
          <w:lang w:val="en-US"/>
        </w:rPr>
        <w:t xml:space="preserve"> is</w:t>
      </w:r>
      <w:r w:rsidR="00D811B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therefore</w:t>
      </w:r>
      <w:r w:rsidR="00D811BF">
        <w:rPr>
          <w:rFonts w:ascii="Times New Roman" w:eastAsia="Times New Roman" w:hAnsi="Times New Roman" w:cs="Times New Roman"/>
          <w:sz w:val="24"/>
          <w:szCs w:val="24"/>
          <w:lang w:val="en-US"/>
        </w:rPr>
        <w:t xml:space="preserve"> my view that the argument by </w:t>
      </w:r>
      <w:r w:rsidR="00D811BF" w:rsidRPr="006A15C3">
        <w:rPr>
          <w:rFonts w:ascii="Times New Roman" w:eastAsia="Times New Roman" w:hAnsi="Times New Roman" w:cs="Times New Roman"/>
          <w:sz w:val="24"/>
          <w:szCs w:val="24"/>
          <w:lang w:val="en-US"/>
        </w:rPr>
        <w:t>Mrs.</w:t>
      </w:r>
      <w:r w:rsidR="00D811BF" w:rsidRPr="00D811BF">
        <w:rPr>
          <w:rFonts w:ascii="Times New Roman" w:eastAsia="Times New Roman" w:hAnsi="Times New Roman" w:cs="Times New Roman"/>
          <w:i/>
          <w:sz w:val="24"/>
          <w:szCs w:val="24"/>
          <w:lang w:val="en-US"/>
        </w:rPr>
        <w:t xml:space="preserve"> </w:t>
      </w:r>
      <w:proofErr w:type="spellStart"/>
      <w:r w:rsidR="00D811BF" w:rsidRPr="00D811BF">
        <w:rPr>
          <w:rFonts w:ascii="Times New Roman" w:eastAsia="Times New Roman" w:hAnsi="Times New Roman" w:cs="Times New Roman"/>
          <w:i/>
          <w:sz w:val="24"/>
          <w:szCs w:val="24"/>
          <w:lang w:val="en-US"/>
        </w:rPr>
        <w:t>Mtetwa</w:t>
      </w:r>
      <w:proofErr w:type="spellEnd"/>
      <w:r w:rsidR="00D811BF">
        <w:rPr>
          <w:rFonts w:ascii="Times New Roman" w:eastAsia="Times New Roman" w:hAnsi="Times New Roman" w:cs="Times New Roman"/>
          <w:sz w:val="24"/>
          <w:szCs w:val="24"/>
          <w:lang w:val="en-US"/>
        </w:rPr>
        <w:t xml:space="preserve"> cannot stand. The appeal is not fatally defective neither is the relief sought</w:t>
      </w:r>
      <w:r>
        <w:rPr>
          <w:rFonts w:ascii="Times New Roman" w:eastAsia="Times New Roman" w:hAnsi="Times New Roman" w:cs="Times New Roman"/>
          <w:sz w:val="24"/>
          <w:szCs w:val="24"/>
          <w:lang w:val="en-US"/>
        </w:rPr>
        <w:t xml:space="preserve"> thereof</w:t>
      </w:r>
      <w:r w:rsidR="00D811BF">
        <w:rPr>
          <w:rFonts w:ascii="Times New Roman" w:eastAsia="Times New Roman" w:hAnsi="Times New Roman" w:cs="Times New Roman"/>
          <w:sz w:val="24"/>
          <w:szCs w:val="24"/>
          <w:lang w:val="en-US"/>
        </w:rPr>
        <w:t xml:space="preserve">. </w:t>
      </w:r>
    </w:p>
    <w:p w:rsidR="00D811BF" w:rsidRDefault="00D811BF" w:rsidP="00C839CE">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5C7F8C" w:rsidRDefault="009305DF" w:rsidP="005C7F8C">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D811BF">
        <w:rPr>
          <w:rFonts w:ascii="Times New Roman" w:eastAsia="Times New Roman" w:hAnsi="Times New Roman" w:cs="Times New Roman"/>
          <w:sz w:val="24"/>
          <w:szCs w:val="24"/>
          <w:lang w:val="en-US"/>
        </w:rPr>
        <w:t>In the result</w:t>
      </w:r>
      <w:r>
        <w:rPr>
          <w:rFonts w:ascii="Times New Roman" w:eastAsia="Times New Roman" w:hAnsi="Times New Roman" w:cs="Times New Roman"/>
          <w:sz w:val="24"/>
          <w:szCs w:val="24"/>
          <w:lang w:val="en-US"/>
        </w:rPr>
        <w:t xml:space="preserve">, </w:t>
      </w:r>
      <w:r w:rsidR="005C7F8C">
        <w:rPr>
          <w:rFonts w:ascii="Times New Roman" w:eastAsia="Times New Roman" w:hAnsi="Times New Roman" w:cs="Times New Roman"/>
          <w:sz w:val="24"/>
          <w:szCs w:val="24"/>
          <w:lang w:val="en-US"/>
        </w:rPr>
        <w:t>I make the following order:</w:t>
      </w:r>
    </w:p>
    <w:p w:rsidR="00D811BF" w:rsidRDefault="005C7F8C" w:rsidP="005C7F8C">
      <w:pPr>
        <w:pStyle w:val="ListParagraph"/>
        <w:numPr>
          <w:ilvl w:val="0"/>
          <w:numId w:val="15"/>
        </w:numPr>
        <w:spacing w:after="0" w:line="480" w:lineRule="auto"/>
        <w:jc w:val="both"/>
        <w:rPr>
          <w:rFonts w:ascii="Times New Roman" w:eastAsia="Times New Roman" w:hAnsi="Times New Roman" w:cs="Times New Roman"/>
          <w:sz w:val="24"/>
          <w:szCs w:val="24"/>
          <w:lang w:val="en-US"/>
        </w:rPr>
      </w:pPr>
      <w:r w:rsidRPr="005C7F8C">
        <w:rPr>
          <w:rFonts w:ascii="Times New Roman" w:eastAsia="Times New Roman" w:hAnsi="Times New Roman" w:cs="Times New Roman"/>
          <w:sz w:val="24"/>
          <w:szCs w:val="24"/>
          <w:lang w:val="en-US"/>
        </w:rPr>
        <w:t>T</w:t>
      </w:r>
      <w:r w:rsidR="00D811BF" w:rsidRPr="005C7F8C">
        <w:rPr>
          <w:rFonts w:ascii="Times New Roman" w:eastAsia="Times New Roman" w:hAnsi="Times New Roman" w:cs="Times New Roman"/>
          <w:sz w:val="24"/>
          <w:szCs w:val="24"/>
          <w:lang w:val="en-US"/>
        </w:rPr>
        <w:t>he application for condonation and</w:t>
      </w:r>
      <w:r w:rsidR="00ED22E2" w:rsidRPr="005C7F8C">
        <w:rPr>
          <w:rFonts w:ascii="Times New Roman" w:eastAsia="Times New Roman" w:hAnsi="Times New Roman" w:cs="Times New Roman"/>
          <w:sz w:val="24"/>
          <w:szCs w:val="24"/>
          <w:lang w:val="en-US"/>
        </w:rPr>
        <w:t xml:space="preserve"> extension of time </w:t>
      </w:r>
      <w:r>
        <w:rPr>
          <w:rFonts w:ascii="Times New Roman" w:eastAsia="Times New Roman" w:hAnsi="Times New Roman" w:cs="Times New Roman"/>
          <w:sz w:val="24"/>
          <w:szCs w:val="24"/>
          <w:lang w:val="en-US"/>
        </w:rPr>
        <w:t xml:space="preserve">be and is hereby </w:t>
      </w:r>
      <w:r w:rsidR="00ED22E2" w:rsidRPr="005C7F8C">
        <w:rPr>
          <w:rFonts w:ascii="Times New Roman" w:eastAsia="Times New Roman" w:hAnsi="Times New Roman" w:cs="Times New Roman"/>
          <w:sz w:val="24"/>
          <w:szCs w:val="24"/>
          <w:lang w:val="en-US"/>
        </w:rPr>
        <w:t>granted</w:t>
      </w:r>
      <w:r w:rsidR="00D811BF" w:rsidRPr="005C7F8C">
        <w:rPr>
          <w:rFonts w:ascii="Times New Roman" w:eastAsia="Times New Roman" w:hAnsi="Times New Roman" w:cs="Times New Roman"/>
          <w:sz w:val="24"/>
          <w:szCs w:val="24"/>
          <w:lang w:val="en-US"/>
        </w:rPr>
        <w:t>.</w:t>
      </w:r>
    </w:p>
    <w:p w:rsidR="005C7F8C" w:rsidRDefault="005C7F8C" w:rsidP="005C7F8C">
      <w:pPr>
        <w:pStyle w:val="ListParagraph"/>
        <w:numPr>
          <w:ilvl w:val="0"/>
          <w:numId w:val="15"/>
        </w:num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notice of appeal shall be filed and served within 5 days of this order.</w:t>
      </w:r>
    </w:p>
    <w:p w:rsidR="005C7F8C" w:rsidRPr="005C7F8C" w:rsidRDefault="005C7F8C" w:rsidP="005C7F8C">
      <w:pPr>
        <w:pStyle w:val="ListParagraph"/>
        <w:numPr>
          <w:ilvl w:val="0"/>
          <w:numId w:val="15"/>
        </w:num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There shall be no order as to costs.</w:t>
      </w:r>
    </w:p>
    <w:p w:rsidR="00D811BF" w:rsidRDefault="00D811BF" w:rsidP="00D811BF">
      <w:pPr>
        <w:spacing w:after="0" w:line="480" w:lineRule="auto"/>
        <w:jc w:val="both"/>
        <w:rPr>
          <w:rFonts w:ascii="Times New Roman" w:eastAsia="Times New Roman" w:hAnsi="Times New Roman" w:cs="Times New Roman"/>
          <w:sz w:val="24"/>
          <w:szCs w:val="24"/>
          <w:lang w:val="en-US"/>
        </w:rPr>
      </w:pPr>
    </w:p>
    <w:p w:rsidR="006A15C3" w:rsidRDefault="006A15C3" w:rsidP="00D811BF">
      <w:pPr>
        <w:spacing w:after="0" w:line="480" w:lineRule="auto"/>
        <w:jc w:val="both"/>
        <w:rPr>
          <w:rFonts w:ascii="Times New Roman" w:eastAsia="Times New Roman" w:hAnsi="Times New Roman" w:cs="Times New Roman"/>
          <w:sz w:val="24"/>
          <w:szCs w:val="24"/>
          <w:lang w:val="en-US"/>
        </w:rPr>
      </w:pPr>
    </w:p>
    <w:p w:rsidR="00E543D4" w:rsidRDefault="00D811BF" w:rsidP="00E543D4">
      <w:pPr>
        <w:spacing w:after="0" w:line="48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i/>
          <w:sz w:val="24"/>
          <w:szCs w:val="24"/>
          <w:lang w:val="en-GB"/>
        </w:rPr>
        <w:t>Muzanga</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Mandaza</w:t>
      </w:r>
      <w:proofErr w:type="spellEnd"/>
      <w:r>
        <w:rPr>
          <w:rFonts w:ascii="Times New Roman" w:eastAsia="Times New Roman" w:hAnsi="Times New Roman" w:cs="Times New Roman"/>
          <w:i/>
          <w:sz w:val="24"/>
          <w:szCs w:val="24"/>
          <w:lang w:val="en-GB"/>
        </w:rPr>
        <w:t xml:space="preserve"> &amp; </w:t>
      </w:r>
      <w:proofErr w:type="spellStart"/>
      <w:r>
        <w:rPr>
          <w:rFonts w:ascii="Times New Roman" w:eastAsia="Times New Roman" w:hAnsi="Times New Roman" w:cs="Times New Roman"/>
          <w:i/>
          <w:sz w:val="24"/>
          <w:szCs w:val="24"/>
          <w:lang w:val="en-GB"/>
        </w:rPr>
        <w:t>Tomana</w:t>
      </w:r>
      <w:proofErr w:type="spellEnd"/>
      <w:r w:rsidR="006A15C3">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 xml:space="preserve"> </w:t>
      </w:r>
      <w:r w:rsidR="002505EF">
        <w:rPr>
          <w:rFonts w:ascii="Times New Roman" w:eastAsia="Times New Roman" w:hAnsi="Times New Roman" w:cs="Times New Roman"/>
          <w:sz w:val="24"/>
          <w:szCs w:val="24"/>
          <w:lang w:val="en-GB"/>
        </w:rPr>
        <w:t>applicant’s</w:t>
      </w:r>
      <w:r w:rsidR="00E543D4" w:rsidRPr="00E543D4">
        <w:rPr>
          <w:rFonts w:ascii="Times New Roman" w:eastAsia="Times New Roman" w:hAnsi="Times New Roman" w:cs="Times New Roman"/>
          <w:sz w:val="24"/>
          <w:szCs w:val="24"/>
          <w:lang w:val="en-GB"/>
        </w:rPr>
        <w:t xml:space="preserve"> legal practitioners</w:t>
      </w:r>
      <w:r>
        <w:rPr>
          <w:rFonts w:ascii="Times New Roman" w:eastAsia="Times New Roman" w:hAnsi="Times New Roman" w:cs="Times New Roman"/>
          <w:sz w:val="24"/>
          <w:szCs w:val="24"/>
          <w:lang w:val="en-GB"/>
        </w:rPr>
        <w:t>.</w:t>
      </w:r>
    </w:p>
    <w:p w:rsidR="00D811BF" w:rsidRPr="00D811BF" w:rsidRDefault="00D811BF" w:rsidP="00E543D4">
      <w:pPr>
        <w:spacing w:after="0" w:line="48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i/>
          <w:sz w:val="24"/>
          <w:szCs w:val="24"/>
          <w:lang w:val="en-GB"/>
        </w:rPr>
        <w:t xml:space="preserve">Messrs </w:t>
      </w:r>
      <w:proofErr w:type="spellStart"/>
      <w:r>
        <w:rPr>
          <w:rFonts w:ascii="Times New Roman" w:eastAsia="Times New Roman" w:hAnsi="Times New Roman" w:cs="Times New Roman"/>
          <w:i/>
          <w:sz w:val="24"/>
          <w:szCs w:val="24"/>
          <w:lang w:val="en-GB"/>
        </w:rPr>
        <w:t>Mtetwa</w:t>
      </w:r>
      <w:proofErr w:type="spellEnd"/>
      <w:r>
        <w:rPr>
          <w:rFonts w:ascii="Times New Roman" w:eastAsia="Times New Roman" w:hAnsi="Times New Roman" w:cs="Times New Roman"/>
          <w:i/>
          <w:sz w:val="24"/>
          <w:szCs w:val="24"/>
          <w:lang w:val="en-GB"/>
        </w:rPr>
        <w:t xml:space="preserve"> &amp; </w:t>
      </w:r>
      <w:proofErr w:type="spellStart"/>
      <w:r>
        <w:rPr>
          <w:rFonts w:ascii="Times New Roman" w:eastAsia="Times New Roman" w:hAnsi="Times New Roman" w:cs="Times New Roman"/>
          <w:i/>
          <w:sz w:val="24"/>
          <w:szCs w:val="24"/>
          <w:lang w:val="en-GB"/>
        </w:rPr>
        <w:t>Nyambirai</w:t>
      </w:r>
      <w:proofErr w:type="spellEnd"/>
      <w:r w:rsidR="006A15C3">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1</w:t>
      </w:r>
      <w:r w:rsidRPr="00D811BF">
        <w:rPr>
          <w:rFonts w:ascii="Times New Roman" w:eastAsia="Times New Roman" w:hAnsi="Times New Roman" w:cs="Times New Roman"/>
          <w:sz w:val="24"/>
          <w:szCs w:val="24"/>
          <w:vertAlign w:val="superscript"/>
          <w:lang w:val="en-GB"/>
        </w:rPr>
        <w:t>st</w:t>
      </w:r>
      <w:r>
        <w:rPr>
          <w:rFonts w:ascii="Times New Roman" w:eastAsia="Times New Roman" w:hAnsi="Times New Roman" w:cs="Times New Roman"/>
          <w:sz w:val="24"/>
          <w:szCs w:val="24"/>
          <w:lang w:val="en-GB"/>
        </w:rPr>
        <w:t xml:space="preserve"> respondent’s legal practitioners.</w:t>
      </w:r>
      <w:proofErr w:type="gramEnd"/>
    </w:p>
    <w:p w:rsidR="008F7F86" w:rsidRDefault="008F7F86"/>
    <w:sectPr w:rsidR="008F7F86">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AC0" w:rsidRDefault="00E82AC0" w:rsidP="008B6C78">
      <w:pPr>
        <w:spacing w:after="0" w:line="240" w:lineRule="auto"/>
      </w:pPr>
      <w:r>
        <w:separator/>
      </w:r>
    </w:p>
  </w:endnote>
  <w:endnote w:type="continuationSeparator" w:id="0">
    <w:p w:rsidR="00E82AC0" w:rsidRDefault="00E82AC0"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AC0" w:rsidRDefault="00E82AC0" w:rsidP="008B6C78">
      <w:pPr>
        <w:spacing w:after="0" w:line="240" w:lineRule="auto"/>
      </w:pPr>
      <w:r>
        <w:separator/>
      </w:r>
    </w:p>
  </w:footnote>
  <w:footnote w:type="continuationSeparator" w:id="0">
    <w:p w:rsidR="00E82AC0" w:rsidRDefault="00E82AC0"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86" w:rsidRDefault="008F7F86" w:rsidP="008F7F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7F86" w:rsidRDefault="008F7F86" w:rsidP="008F7F8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86" w:rsidRPr="00272765" w:rsidRDefault="009D4EBB" w:rsidP="008F7F86">
    <w:pPr>
      <w:pStyle w:val="Header"/>
      <w:jc w:val="right"/>
      <w:rPr>
        <w:rFonts w:ascii="Book Antiqua" w:hAnsi="Book Antiqua"/>
      </w:rPr>
    </w:pPr>
    <w:r w:rsidRPr="00963E49">
      <w:rPr>
        <w:noProof/>
        <w:sz w:val="20"/>
        <w:szCs w:val="20"/>
        <w:lang w:eastAsia="en-ZW"/>
      </w:rPr>
      <mc:AlternateContent>
        <mc:Choice Requires="wps">
          <w:drawing>
            <wp:anchor distT="0" distB="0" distL="114300" distR="114300" simplePos="0" relativeHeight="251659264" behindDoc="0" locked="0" layoutInCell="0" allowOverlap="1" wp14:anchorId="52ADF1B2" wp14:editId="761E1333">
              <wp:simplePos x="0" y="0"/>
              <wp:positionH relativeFrom="page">
                <wp:posOffset>6886575</wp:posOffset>
              </wp:positionH>
              <wp:positionV relativeFrom="topMargin">
                <wp:align>center</wp:align>
              </wp:positionV>
              <wp:extent cx="647700" cy="45720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79646">
                          <a:lumMod val="60000"/>
                          <a:lumOff val="40000"/>
                        </a:srgbClr>
                      </a:solidFill>
                      <a:ln>
                        <a:noFill/>
                      </a:ln>
                    </wps:spPr>
                    <wps:txbx>
                      <w:txbxContent>
                        <w:p w:rsidR="008F7F86" w:rsidRPr="00E543D4" w:rsidRDefault="008F7F86">
                          <w:pPr>
                            <w:rPr>
                              <w:color w:val="FFFFFF"/>
                            </w:rPr>
                          </w:pPr>
                          <w:r w:rsidRPr="00E543D4">
                            <w:fldChar w:fldCharType="begin"/>
                          </w:r>
                          <w:r>
                            <w:instrText xml:space="preserve"> PAGE   \* MERGEFORMAT </w:instrText>
                          </w:r>
                          <w:r w:rsidRPr="00E543D4">
                            <w:fldChar w:fldCharType="separate"/>
                          </w:r>
                          <w:r w:rsidR="009D4EBB" w:rsidRPr="009D4EBB">
                            <w:rPr>
                              <w:noProof/>
                              <w:color w:val="FFFFFF"/>
                            </w:rPr>
                            <w:t>1</w:t>
                          </w:r>
                          <w:r w:rsidRPr="00E543D4">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542.25pt;margin-top:0;width:51pt;height:36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" o:allowincell="f" fillcolor="#fac090" stroked="f">
              <v:textbox inset=",0,,0">
                <w:txbxContent>
                  <w:p w:rsidR="008F7F86" w:rsidRPr="00E543D4" w:rsidRDefault="008F7F86">
                    <w:pPr>
                      <w:rPr>
                        <w:color w:val="FFFFFF"/>
                      </w:rPr>
                    </w:pPr>
                    <w:r w:rsidRPr="00E543D4">
                      <w:fldChar w:fldCharType="begin"/>
                    </w:r>
                    <w:r>
                      <w:instrText xml:space="preserve"> PAGE   \* MERGEFORMAT </w:instrText>
                    </w:r>
                    <w:r w:rsidRPr="00E543D4">
                      <w:fldChar w:fldCharType="separate"/>
                    </w:r>
                    <w:r w:rsidR="009D4EBB" w:rsidRPr="009D4EBB">
                      <w:rPr>
                        <w:noProof/>
                        <w:color w:val="FFFFFF"/>
                      </w:rPr>
                      <w:t>1</w:t>
                    </w:r>
                    <w:r w:rsidRPr="00E543D4">
                      <w:rPr>
                        <w:noProof/>
                        <w:color w:val="FFFFFF"/>
                      </w:rPr>
                      <w:fldChar w:fldCharType="end"/>
                    </w:r>
                  </w:p>
                </w:txbxContent>
              </v:textbox>
              <w10:wrap anchorx="page" anchory="margin"/>
            </v:shape>
          </w:pict>
        </mc:Fallback>
      </mc:AlternateContent>
    </w:r>
    <w:r w:rsidRPr="00963E49">
      <w:rPr>
        <w:noProof/>
        <w:sz w:val="20"/>
        <w:szCs w:val="20"/>
        <w:lang w:eastAsia="en-ZW"/>
      </w:rPr>
      <mc:AlternateContent>
        <mc:Choice Requires="wps">
          <w:drawing>
            <wp:anchor distT="0" distB="0" distL="114300" distR="114300" simplePos="0" relativeHeight="251660288" behindDoc="0" locked="0" layoutInCell="0" allowOverlap="1" wp14:anchorId="49BEAFFF" wp14:editId="3372B59C">
              <wp:simplePos x="0" y="0"/>
              <wp:positionH relativeFrom="margin">
                <wp:align>left</wp:align>
              </wp:positionH>
              <wp:positionV relativeFrom="topMargin">
                <wp:align>center</wp:align>
              </wp:positionV>
              <wp:extent cx="5857875" cy="173355"/>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4"/>
                              <w:szCs w:val="24"/>
                            </w:rPr>
                            <w:id w:val="-938682864"/>
                            <w:docPartObj>
                              <w:docPartGallery w:val="Page Numbers (Top of Page)"/>
                              <w:docPartUnique/>
                            </w:docPartObj>
                          </w:sdtPr>
                          <w:sdtEndPr>
                            <w:rPr>
                              <w:rFonts w:asciiTheme="minorHAnsi" w:hAnsiTheme="minorHAnsi" w:cstheme="minorBidi"/>
                              <w:noProof/>
                              <w:sz w:val="20"/>
                              <w:szCs w:val="20"/>
                            </w:rPr>
                          </w:sdtEndPr>
                          <w:sdtContent>
                            <w:p w:rsidR="008F7F86" w:rsidRPr="007E7D8C" w:rsidRDefault="008F7F86" w:rsidP="008F7F86">
                              <w:pPr>
                                <w:pStyle w:val="Header"/>
                                <w:jc w:val="right"/>
                                <w:rPr>
                                  <w:rFonts w:ascii="Times New Roman" w:hAnsi="Times New Roman" w:cs="Times New Roman"/>
                                  <w:noProof/>
                                  <w:sz w:val="24"/>
                                  <w:szCs w:val="24"/>
                                </w:rPr>
                              </w:pPr>
                              <w:r w:rsidRPr="007E7D8C">
                                <w:rPr>
                                  <w:rFonts w:ascii="Times New Roman" w:hAnsi="Times New Roman" w:cs="Times New Roman"/>
                                  <w:noProof/>
                                  <w:sz w:val="24"/>
                                  <w:szCs w:val="24"/>
                                </w:rPr>
                                <w:tab/>
                              </w:r>
                              <w:r w:rsidRPr="007E7D8C">
                                <w:rPr>
                                  <w:rFonts w:ascii="Times New Roman" w:hAnsi="Times New Roman" w:cs="Times New Roman"/>
                                  <w:noProof/>
                                  <w:sz w:val="24"/>
                                  <w:szCs w:val="24"/>
                                </w:rPr>
                                <w:tab/>
                                <w:t xml:space="preserve">Judgment No. SC </w:t>
                              </w:r>
                              <w:r w:rsidR="00DF732C">
                                <w:rPr>
                                  <w:rFonts w:ascii="Times New Roman" w:hAnsi="Times New Roman" w:cs="Times New Roman"/>
                                  <w:noProof/>
                                  <w:sz w:val="24"/>
                                  <w:szCs w:val="24"/>
                                </w:rPr>
                                <w:t>80</w:t>
                              </w:r>
                              <w:r w:rsidRPr="007E7D8C">
                                <w:rPr>
                                  <w:rFonts w:ascii="Times New Roman" w:hAnsi="Times New Roman" w:cs="Times New Roman"/>
                                  <w:noProof/>
                                  <w:sz w:val="24"/>
                                  <w:szCs w:val="24"/>
                                </w:rPr>
                                <w:t>/</w:t>
                              </w:r>
                              <w:r w:rsidR="005A27DE">
                                <w:rPr>
                                  <w:rFonts w:ascii="Times New Roman" w:hAnsi="Times New Roman" w:cs="Times New Roman"/>
                                  <w:noProof/>
                                  <w:sz w:val="24"/>
                                  <w:szCs w:val="24"/>
                                </w:rPr>
                                <w:t>18</w:t>
                              </w:r>
                            </w:p>
                            <w:p w:rsidR="008F7F86" w:rsidRDefault="008F7F86" w:rsidP="008F7F86">
                              <w:pPr>
                                <w:pStyle w:val="Header"/>
                                <w:jc w:val="right"/>
                                <w:rPr>
                                  <w:noProof/>
                                  <w:sz w:val="20"/>
                                  <w:szCs w:val="20"/>
                                </w:rPr>
                              </w:pPr>
                              <w:r w:rsidRPr="007E7D8C">
                                <w:rPr>
                                  <w:rFonts w:ascii="Times New Roman" w:hAnsi="Times New Roman" w:cs="Times New Roman"/>
                                  <w:noProof/>
                                  <w:sz w:val="24"/>
                                  <w:szCs w:val="24"/>
                                </w:rPr>
                                <w:t>Chamber Application No. SC 774/18</w:t>
                              </w:r>
                            </w:p>
                          </w:sdtContent>
                        </w:sdt>
                        <w:p w:rsidR="008F7F86" w:rsidRDefault="008F7F86">
                          <w:pPr>
                            <w:jc w:val="right"/>
                            <w:rPr>
                              <w:noProof/>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id="Text Box 220" o:spid="_x0000_s1027" type="#_x0000_t202" style="position:absolute;left:0;text-align:left;margin-left:0;margin-top:0;width:461.25pt;height:13.65pt;z-index:251660288;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" o:allowincell="f" filled="f" stroked="f">
              <v:textbox style="mso-fit-shape-to-text:t" inset=",0,,0">
                <w:txbxContent>
                  <w:sdt>
                    <w:sdtPr>
                      <w:rPr>
                        <w:rFonts w:ascii="Times New Roman" w:hAnsi="Times New Roman" w:cs="Times New Roman"/>
                        <w:sz w:val="24"/>
                        <w:szCs w:val="24"/>
                      </w:rPr>
                      <w:id w:val="-938682864"/>
                      <w:docPartObj>
                        <w:docPartGallery w:val="Page Numbers (Top of Page)"/>
                        <w:docPartUnique/>
                      </w:docPartObj>
                    </w:sdtPr>
                    <w:sdtEndPr>
                      <w:rPr>
                        <w:rFonts w:asciiTheme="minorHAnsi" w:hAnsiTheme="minorHAnsi" w:cstheme="minorBidi"/>
                        <w:noProof/>
                        <w:sz w:val="20"/>
                        <w:szCs w:val="20"/>
                      </w:rPr>
                    </w:sdtEndPr>
                    <w:sdtContent>
                      <w:p w:rsidR="008F7F86" w:rsidRPr="007E7D8C" w:rsidRDefault="008F7F86" w:rsidP="008F7F86">
                        <w:pPr>
                          <w:pStyle w:val="Header"/>
                          <w:jc w:val="right"/>
                          <w:rPr>
                            <w:rFonts w:ascii="Times New Roman" w:hAnsi="Times New Roman" w:cs="Times New Roman"/>
                            <w:noProof/>
                            <w:sz w:val="24"/>
                            <w:szCs w:val="24"/>
                          </w:rPr>
                        </w:pPr>
                        <w:r w:rsidRPr="007E7D8C">
                          <w:rPr>
                            <w:rFonts w:ascii="Times New Roman" w:hAnsi="Times New Roman" w:cs="Times New Roman"/>
                            <w:noProof/>
                            <w:sz w:val="24"/>
                            <w:szCs w:val="24"/>
                          </w:rPr>
                          <w:tab/>
                        </w:r>
                        <w:r w:rsidRPr="007E7D8C">
                          <w:rPr>
                            <w:rFonts w:ascii="Times New Roman" w:hAnsi="Times New Roman" w:cs="Times New Roman"/>
                            <w:noProof/>
                            <w:sz w:val="24"/>
                            <w:szCs w:val="24"/>
                          </w:rPr>
                          <w:tab/>
                          <w:t xml:space="preserve">Judgment No. SC </w:t>
                        </w:r>
                        <w:r w:rsidR="00DF732C">
                          <w:rPr>
                            <w:rFonts w:ascii="Times New Roman" w:hAnsi="Times New Roman" w:cs="Times New Roman"/>
                            <w:noProof/>
                            <w:sz w:val="24"/>
                            <w:szCs w:val="24"/>
                          </w:rPr>
                          <w:t>80</w:t>
                        </w:r>
                        <w:r w:rsidRPr="007E7D8C">
                          <w:rPr>
                            <w:rFonts w:ascii="Times New Roman" w:hAnsi="Times New Roman" w:cs="Times New Roman"/>
                            <w:noProof/>
                            <w:sz w:val="24"/>
                            <w:szCs w:val="24"/>
                          </w:rPr>
                          <w:t>/</w:t>
                        </w:r>
                        <w:r w:rsidR="005A27DE">
                          <w:rPr>
                            <w:rFonts w:ascii="Times New Roman" w:hAnsi="Times New Roman" w:cs="Times New Roman"/>
                            <w:noProof/>
                            <w:sz w:val="24"/>
                            <w:szCs w:val="24"/>
                          </w:rPr>
                          <w:t>18</w:t>
                        </w:r>
                      </w:p>
                      <w:p w:rsidR="008F7F86" w:rsidRDefault="008F7F86" w:rsidP="008F7F86">
                        <w:pPr>
                          <w:pStyle w:val="Header"/>
                          <w:jc w:val="right"/>
                          <w:rPr>
                            <w:noProof/>
                            <w:sz w:val="20"/>
                            <w:szCs w:val="20"/>
                          </w:rPr>
                        </w:pPr>
                        <w:r w:rsidRPr="007E7D8C">
                          <w:rPr>
                            <w:rFonts w:ascii="Times New Roman" w:hAnsi="Times New Roman" w:cs="Times New Roman"/>
                            <w:noProof/>
                            <w:sz w:val="24"/>
                            <w:szCs w:val="24"/>
                          </w:rPr>
                          <w:t>Chamber Application No. SC 774/18</w:t>
                        </w:r>
                      </w:p>
                    </w:sdtContent>
                  </w:sdt>
                  <w:p w:rsidR="008F7F86" w:rsidRDefault="008F7F86">
                    <w:pPr>
                      <w:jc w:val="right"/>
                      <w:rPr>
                        <w:noProof/>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847810"/>
    <w:multiLevelType w:val="hybridMultilevel"/>
    <w:tmpl w:val="FE525B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4E7301"/>
    <w:multiLevelType w:val="hybridMultilevel"/>
    <w:tmpl w:val="19E47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15A61B2"/>
    <w:multiLevelType w:val="hybridMultilevel"/>
    <w:tmpl w:val="24A63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1A6CC9"/>
    <w:multiLevelType w:val="hybridMultilevel"/>
    <w:tmpl w:val="19E47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5"/>
  </w:num>
  <w:num w:numId="6">
    <w:abstractNumId w:val="12"/>
  </w:num>
  <w:num w:numId="7">
    <w:abstractNumId w:val="11"/>
  </w:num>
  <w:num w:numId="8">
    <w:abstractNumId w:val="7"/>
  </w:num>
  <w:num w:numId="9">
    <w:abstractNumId w:val="0"/>
  </w:num>
  <w:num w:numId="10">
    <w:abstractNumId w:val="3"/>
  </w:num>
  <w:num w:numId="11">
    <w:abstractNumId w:val="4"/>
  </w:num>
  <w:num w:numId="12">
    <w:abstractNumId w:val="9"/>
  </w:num>
  <w:num w:numId="13">
    <w:abstractNumId w:val="2"/>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D4"/>
    <w:rsid w:val="00005538"/>
    <w:rsid w:val="00056BA1"/>
    <w:rsid w:val="0007143B"/>
    <w:rsid w:val="00072438"/>
    <w:rsid w:val="00073E0B"/>
    <w:rsid w:val="000872C6"/>
    <w:rsid w:val="00094006"/>
    <w:rsid w:val="0009730F"/>
    <w:rsid w:val="000A5AF4"/>
    <w:rsid w:val="000B39E6"/>
    <w:rsid w:val="000C3113"/>
    <w:rsid w:val="000C678F"/>
    <w:rsid w:val="000D4118"/>
    <w:rsid w:val="000D6905"/>
    <w:rsid w:val="000F3F7B"/>
    <w:rsid w:val="00110C4D"/>
    <w:rsid w:val="0011768D"/>
    <w:rsid w:val="00136ED8"/>
    <w:rsid w:val="001372CD"/>
    <w:rsid w:val="001565D3"/>
    <w:rsid w:val="0016034B"/>
    <w:rsid w:val="001932F8"/>
    <w:rsid w:val="00197AB2"/>
    <w:rsid w:val="001E1DC7"/>
    <w:rsid w:val="001E4E6A"/>
    <w:rsid w:val="001F7E5C"/>
    <w:rsid w:val="0022749E"/>
    <w:rsid w:val="002505EF"/>
    <w:rsid w:val="002577D2"/>
    <w:rsid w:val="00260ECA"/>
    <w:rsid w:val="00270D18"/>
    <w:rsid w:val="002C669B"/>
    <w:rsid w:val="002D61CA"/>
    <w:rsid w:val="00313BC0"/>
    <w:rsid w:val="003152CB"/>
    <w:rsid w:val="00345498"/>
    <w:rsid w:val="00361542"/>
    <w:rsid w:val="00376120"/>
    <w:rsid w:val="003C12C3"/>
    <w:rsid w:val="003F3A60"/>
    <w:rsid w:val="00426DBE"/>
    <w:rsid w:val="00441002"/>
    <w:rsid w:val="00444491"/>
    <w:rsid w:val="00462600"/>
    <w:rsid w:val="00466429"/>
    <w:rsid w:val="004C3FCE"/>
    <w:rsid w:val="004D1347"/>
    <w:rsid w:val="00502C96"/>
    <w:rsid w:val="005079F2"/>
    <w:rsid w:val="005203AF"/>
    <w:rsid w:val="00533A2E"/>
    <w:rsid w:val="0056447D"/>
    <w:rsid w:val="00592BCC"/>
    <w:rsid w:val="005A0FBC"/>
    <w:rsid w:val="005A27DE"/>
    <w:rsid w:val="005A430F"/>
    <w:rsid w:val="005B61E5"/>
    <w:rsid w:val="005C7F8C"/>
    <w:rsid w:val="005D6FC9"/>
    <w:rsid w:val="00600E06"/>
    <w:rsid w:val="00626E00"/>
    <w:rsid w:val="00644A7D"/>
    <w:rsid w:val="006501FF"/>
    <w:rsid w:val="00680071"/>
    <w:rsid w:val="006942A7"/>
    <w:rsid w:val="0069704B"/>
    <w:rsid w:val="006A152A"/>
    <w:rsid w:val="006A15C3"/>
    <w:rsid w:val="006A4BB9"/>
    <w:rsid w:val="006C16F8"/>
    <w:rsid w:val="006C4C14"/>
    <w:rsid w:val="006D3490"/>
    <w:rsid w:val="006D73EA"/>
    <w:rsid w:val="006E49A2"/>
    <w:rsid w:val="007349FE"/>
    <w:rsid w:val="007552C4"/>
    <w:rsid w:val="00765CE0"/>
    <w:rsid w:val="00770EED"/>
    <w:rsid w:val="00772440"/>
    <w:rsid w:val="00781FBC"/>
    <w:rsid w:val="00792B7A"/>
    <w:rsid w:val="007B0DAF"/>
    <w:rsid w:val="007C6601"/>
    <w:rsid w:val="007D3E0D"/>
    <w:rsid w:val="007E5428"/>
    <w:rsid w:val="007E7D8C"/>
    <w:rsid w:val="007F40B0"/>
    <w:rsid w:val="00807B2D"/>
    <w:rsid w:val="0081235F"/>
    <w:rsid w:val="00827532"/>
    <w:rsid w:val="00833451"/>
    <w:rsid w:val="008374E7"/>
    <w:rsid w:val="00870AA3"/>
    <w:rsid w:val="00884AD6"/>
    <w:rsid w:val="00893EFD"/>
    <w:rsid w:val="008A013B"/>
    <w:rsid w:val="008A670F"/>
    <w:rsid w:val="008A7630"/>
    <w:rsid w:val="008B6C78"/>
    <w:rsid w:val="008B6DC1"/>
    <w:rsid w:val="008D6FC5"/>
    <w:rsid w:val="008F0137"/>
    <w:rsid w:val="008F7F86"/>
    <w:rsid w:val="00900FFC"/>
    <w:rsid w:val="00910C16"/>
    <w:rsid w:val="009305DF"/>
    <w:rsid w:val="0094183A"/>
    <w:rsid w:val="0095339A"/>
    <w:rsid w:val="00955D15"/>
    <w:rsid w:val="009D4EBB"/>
    <w:rsid w:val="00A25F4A"/>
    <w:rsid w:val="00A30C90"/>
    <w:rsid w:val="00A65BBE"/>
    <w:rsid w:val="00A754DF"/>
    <w:rsid w:val="00A8305C"/>
    <w:rsid w:val="00A9198E"/>
    <w:rsid w:val="00AB472C"/>
    <w:rsid w:val="00AB62A7"/>
    <w:rsid w:val="00AF45D7"/>
    <w:rsid w:val="00AF54D3"/>
    <w:rsid w:val="00B43E5B"/>
    <w:rsid w:val="00B552E5"/>
    <w:rsid w:val="00B55838"/>
    <w:rsid w:val="00B779A7"/>
    <w:rsid w:val="00B77C1B"/>
    <w:rsid w:val="00B82D9F"/>
    <w:rsid w:val="00BB7391"/>
    <w:rsid w:val="00BE2B8A"/>
    <w:rsid w:val="00BE5E0B"/>
    <w:rsid w:val="00C33439"/>
    <w:rsid w:val="00C83949"/>
    <w:rsid w:val="00C839CE"/>
    <w:rsid w:val="00C90DFD"/>
    <w:rsid w:val="00CA4230"/>
    <w:rsid w:val="00CB2520"/>
    <w:rsid w:val="00CC0004"/>
    <w:rsid w:val="00CC6579"/>
    <w:rsid w:val="00CD0998"/>
    <w:rsid w:val="00CD7D57"/>
    <w:rsid w:val="00CE78E8"/>
    <w:rsid w:val="00D07194"/>
    <w:rsid w:val="00D20F58"/>
    <w:rsid w:val="00D27C5B"/>
    <w:rsid w:val="00D3256A"/>
    <w:rsid w:val="00D43AFC"/>
    <w:rsid w:val="00D52289"/>
    <w:rsid w:val="00D76E9C"/>
    <w:rsid w:val="00D811BF"/>
    <w:rsid w:val="00D97D46"/>
    <w:rsid w:val="00DC254D"/>
    <w:rsid w:val="00DE0D20"/>
    <w:rsid w:val="00DF5DBD"/>
    <w:rsid w:val="00DF732C"/>
    <w:rsid w:val="00E04A9F"/>
    <w:rsid w:val="00E261F9"/>
    <w:rsid w:val="00E30FEC"/>
    <w:rsid w:val="00E32678"/>
    <w:rsid w:val="00E543D4"/>
    <w:rsid w:val="00E818EF"/>
    <w:rsid w:val="00E82AC0"/>
    <w:rsid w:val="00EA2D48"/>
    <w:rsid w:val="00EA3C22"/>
    <w:rsid w:val="00EA7410"/>
    <w:rsid w:val="00EC08D1"/>
    <w:rsid w:val="00ED22E2"/>
    <w:rsid w:val="00EF6437"/>
    <w:rsid w:val="00F05284"/>
    <w:rsid w:val="00F31D8F"/>
    <w:rsid w:val="00F3365C"/>
    <w:rsid w:val="00F71475"/>
    <w:rsid w:val="00F72ABF"/>
    <w:rsid w:val="00F950E4"/>
    <w:rsid w:val="00FA166E"/>
    <w:rsid w:val="00FA79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941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941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cp:lastPrinted>2018-12-21T12:02:00Z</cp:lastPrinted>
  <dcterms:created xsi:type="dcterms:W3CDTF">2019-01-25T12:41:00Z</dcterms:created>
  <dcterms:modified xsi:type="dcterms:W3CDTF">2019-01-25T12:48:00Z</dcterms:modified>
</cp:coreProperties>
</file>