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CC006B" w:rsidRDefault="00EA6896" w:rsidP="00EA6896">
      <w:pPr>
        <w:spacing w:after="0" w:line="240" w:lineRule="auto"/>
        <w:rPr>
          <w:rFonts w:ascii="Tahoma" w:hAnsi="Tahoma" w:cs="Tahoma"/>
          <w:b/>
          <w:sz w:val="24"/>
          <w:szCs w:val="24"/>
        </w:rPr>
      </w:pPr>
      <w:r w:rsidRPr="00CC006B">
        <w:rPr>
          <w:rFonts w:ascii="Tahoma" w:hAnsi="Tahoma" w:cs="Tahoma"/>
          <w:b/>
          <w:sz w:val="24"/>
          <w:szCs w:val="24"/>
        </w:rPr>
        <w:t>IN THE LABOUR COURT OF ZIMBABWE</w:t>
      </w:r>
      <w:r w:rsidRPr="00CC006B">
        <w:rPr>
          <w:rFonts w:ascii="Tahoma" w:hAnsi="Tahoma" w:cs="Tahoma"/>
          <w:b/>
          <w:sz w:val="24"/>
          <w:szCs w:val="24"/>
        </w:rPr>
        <w:tab/>
      </w:r>
      <w:r w:rsidR="00CC006B">
        <w:rPr>
          <w:rFonts w:ascii="Tahoma" w:hAnsi="Tahoma" w:cs="Tahoma"/>
          <w:b/>
          <w:sz w:val="24"/>
          <w:szCs w:val="24"/>
        </w:rPr>
        <w:t xml:space="preserve"> </w:t>
      </w:r>
      <w:r w:rsidRPr="00CC006B">
        <w:rPr>
          <w:rFonts w:ascii="Tahoma" w:hAnsi="Tahoma" w:cs="Tahoma"/>
          <w:b/>
          <w:sz w:val="24"/>
          <w:szCs w:val="24"/>
        </w:rPr>
        <w:t xml:space="preserve"> JUDGMENT NO LC/H</w:t>
      </w:r>
      <w:r w:rsidR="008D3D3F">
        <w:rPr>
          <w:rFonts w:ascii="Tahoma" w:hAnsi="Tahoma" w:cs="Tahoma"/>
          <w:b/>
          <w:sz w:val="24"/>
          <w:szCs w:val="24"/>
        </w:rPr>
        <w:t>/514</w:t>
      </w:r>
      <w:r w:rsidRPr="00CC006B">
        <w:rPr>
          <w:rFonts w:ascii="Tahoma" w:hAnsi="Tahoma" w:cs="Tahoma"/>
          <w:b/>
          <w:sz w:val="24"/>
          <w:szCs w:val="24"/>
        </w:rPr>
        <w:t>/2014</w:t>
      </w:r>
    </w:p>
    <w:p w:rsidR="00EA6896" w:rsidRPr="00CC006B" w:rsidRDefault="00EA6896" w:rsidP="00EA6896">
      <w:pPr>
        <w:spacing w:after="0" w:line="240" w:lineRule="auto"/>
        <w:rPr>
          <w:rFonts w:ascii="Tahoma" w:hAnsi="Tahoma" w:cs="Tahoma"/>
          <w:b/>
          <w:sz w:val="24"/>
          <w:szCs w:val="24"/>
        </w:rPr>
      </w:pPr>
    </w:p>
    <w:p w:rsidR="00EA6896" w:rsidRDefault="00EA6896" w:rsidP="00EA6896">
      <w:pPr>
        <w:spacing w:after="0" w:line="240" w:lineRule="auto"/>
        <w:rPr>
          <w:rFonts w:ascii="Tahoma" w:hAnsi="Tahoma" w:cs="Tahoma"/>
          <w:b/>
          <w:sz w:val="24"/>
          <w:szCs w:val="24"/>
        </w:rPr>
      </w:pPr>
      <w:r w:rsidRPr="00CC006B">
        <w:rPr>
          <w:rFonts w:ascii="Tahoma" w:hAnsi="Tahoma" w:cs="Tahoma"/>
          <w:b/>
          <w:sz w:val="24"/>
          <w:szCs w:val="24"/>
        </w:rPr>
        <w:t>HARARE, 2 JULY 2014 &amp;</w:t>
      </w:r>
      <w:r w:rsidRPr="00CC006B">
        <w:rPr>
          <w:rFonts w:ascii="Tahoma" w:hAnsi="Tahoma" w:cs="Tahoma"/>
          <w:b/>
          <w:sz w:val="24"/>
          <w:szCs w:val="24"/>
        </w:rPr>
        <w:tab/>
      </w:r>
      <w:r w:rsidRPr="00CC006B">
        <w:rPr>
          <w:rFonts w:ascii="Tahoma" w:hAnsi="Tahoma" w:cs="Tahoma"/>
          <w:b/>
          <w:sz w:val="24"/>
          <w:szCs w:val="24"/>
        </w:rPr>
        <w:tab/>
      </w:r>
      <w:r w:rsidRPr="00CC006B">
        <w:rPr>
          <w:rFonts w:ascii="Tahoma" w:hAnsi="Tahoma" w:cs="Tahoma"/>
          <w:b/>
          <w:sz w:val="24"/>
          <w:szCs w:val="24"/>
        </w:rPr>
        <w:tab/>
      </w:r>
      <w:r w:rsidRPr="00CC006B">
        <w:rPr>
          <w:rFonts w:ascii="Tahoma" w:hAnsi="Tahoma" w:cs="Tahoma"/>
          <w:b/>
          <w:sz w:val="24"/>
          <w:szCs w:val="24"/>
        </w:rPr>
        <w:tab/>
      </w:r>
      <w:r w:rsidR="008D3D3F">
        <w:rPr>
          <w:rFonts w:ascii="Tahoma" w:hAnsi="Tahoma" w:cs="Tahoma"/>
          <w:b/>
          <w:sz w:val="24"/>
          <w:szCs w:val="24"/>
        </w:rPr>
        <w:t xml:space="preserve"> </w:t>
      </w:r>
      <w:r w:rsidRPr="00CC006B">
        <w:rPr>
          <w:rFonts w:ascii="Tahoma" w:hAnsi="Tahoma" w:cs="Tahoma"/>
          <w:b/>
          <w:sz w:val="24"/>
          <w:szCs w:val="24"/>
        </w:rPr>
        <w:t xml:space="preserve"> CASE NO LC/H/235/2014</w:t>
      </w:r>
    </w:p>
    <w:p w:rsidR="008D3D3F" w:rsidRPr="00CC006B" w:rsidRDefault="008D3D3F" w:rsidP="00EA6896">
      <w:pPr>
        <w:spacing w:after="0" w:line="240" w:lineRule="auto"/>
        <w:rPr>
          <w:rFonts w:ascii="Tahoma" w:hAnsi="Tahoma" w:cs="Tahoma"/>
          <w:b/>
          <w:sz w:val="24"/>
          <w:szCs w:val="24"/>
        </w:rPr>
      </w:pPr>
      <w:r>
        <w:rPr>
          <w:rFonts w:ascii="Tahoma" w:hAnsi="Tahoma" w:cs="Tahoma"/>
          <w:b/>
          <w:sz w:val="24"/>
          <w:szCs w:val="24"/>
        </w:rPr>
        <w:t>15 AUGUST 2014</w:t>
      </w:r>
    </w:p>
    <w:p w:rsidR="00EA6896" w:rsidRPr="00CC006B" w:rsidRDefault="00EA6896" w:rsidP="00EA6896">
      <w:pPr>
        <w:spacing w:after="0" w:line="240" w:lineRule="auto"/>
        <w:rPr>
          <w:rFonts w:ascii="Tahoma" w:hAnsi="Tahoma" w:cs="Tahoma"/>
          <w:b/>
          <w:sz w:val="24"/>
          <w:szCs w:val="24"/>
        </w:rPr>
      </w:pPr>
    </w:p>
    <w:p w:rsidR="00EA6896" w:rsidRDefault="00EA6896" w:rsidP="00EA6896">
      <w:pPr>
        <w:spacing w:after="0" w:line="240" w:lineRule="auto"/>
        <w:rPr>
          <w:rFonts w:ascii="Tahoma" w:hAnsi="Tahoma" w:cs="Tahoma"/>
          <w:sz w:val="24"/>
          <w:szCs w:val="24"/>
        </w:rPr>
      </w:pPr>
    </w:p>
    <w:p w:rsidR="00EA6896" w:rsidRDefault="00EA6896" w:rsidP="00EA6896">
      <w:pPr>
        <w:spacing w:after="0" w:line="240" w:lineRule="auto"/>
        <w:rPr>
          <w:rFonts w:ascii="Tahoma" w:hAnsi="Tahoma" w:cs="Tahoma"/>
          <w:sz w:val="24"/>
          <w:szCs w:val="24"/>
        </w:rPr>
      </w:pPr>
      <w:r>
        <w:rPr>
          <w:rFonts w:ascii="Tahoma" w:hAnsi="Tahoma" w:cs="Tahoma"/>
          <w:sz w:val="24"/>
          <w:szCs w:val="24"/>
        </w:rPr>
        <w:t>In the matter between</w:t>
      </w:r>
    </w:p>
    <w:p w:rsidR="00EA6896" w:rsidRDefault="00EA6896" w:rsidP="00EA6896">
      <w:pPr>
        <w:spacing w:after="0" w:line="240" w:lineRule="auto"/>
        <w:rPr>
          <w:rFonts w:ascii="Tahoma" w:hAnsi="Tahoma" w:cs="Tahoma"/>
          <w:sz w:val="24"/>
          <w:szCs w:val="24"/>
        </w:rPr>
      </w:pPr>
    </w:p>
    <w:p w:rsidR="00EA6896" w:rsidRDefault="00EA6896" w:rsidP="00EA6896">
      <w:pPr>
        <w:spacing w:after="0" w:line="240" w:lineRule="auto"/>
        <w:rPr>
          <w:rFonts w:ascii="Tahoma" w:hAnsi="Tahoma" w:cs="Tahoma"/>
          <w:sz w:val="24"/>
          <w:szCs w:val="24"/>
        </w:rPr>
      </w:pPr>
    </w:p>
    <w:p w:rsidR="00EA6896" w:rsidRPr="00CC006B" w:rsidRDefault="00EA6896" w:rsidP="00EA6896">
      <w:pPr>
        <w:spacing w:after="0" w:line="240" w:lineRule="auto"/>
        <w:rPr>
          <w:rFonts w:ascii="Tahoma" w:hAnsi="Tahoma" w:cs="Tahoma"/>
          <w:b/>
          <w:sz w:val="24"/>
          <w:szCs w:val="24"/>
        </w:rPr>
      </w:pPr>
      <w:r w:rsidRPr="00CC006B">
        <w:rPr>
          <w:rFonts w:ascii="Tahoma" w:hAnsi="Tahoma" w:cs="Tahoma"/>
          <w:b/>
          <w:sz w:val="24"/>
          <w:szCs w:val="24"/>
        </w:rPr>
        <w:t>LINAH CHIPITIRI</w:t>
      </w:r>
      <w:r w:rsidRPr="00CC006B">
        <w:rPr>
          <w:rFonts w:ascii="Tahoma" w:hAnsi="Tahoma" w:cs="Tahoma"/>
          <w:b/>
          <w:sz w:val="24"/>
          <w:szCs w:val="24"/>
        </w:rPr>
        <w:tab/>
      </w:r>
      <w:r w:rsidRPr="00CC006B">
        <w:rPr>
          <w:rFonts w:ascii="Tahoma" w:hAnsi="Tahoma" w:cs="Tahoma"/>
          <w:b/>
          <w:sz w:val="24"/>
          <w:szCs w:val="24"/>
        </w:rPr>
        <w:tab/>
      </w:r>
      <w:r w:rsidRPr="00CC006B">
        <w:rPr>
          <w:rFonts w:ascii="Tahoma" w:hAnsi="Tahoma" w:cs="Tahoma"/>
          <w:b/>
          <w:sz w:val="24"/>
          <w:szCs w:val="24"/>
        </w:rPr>
        <w:tab/>
      </w:r>
      <w:r w:rsidRPr="00CC006B">
        <w:rPr>
          <w:rFonts w:ascii="Tahoma" w:hAnsi="Tahoma" w:cs="Tahoma"/>
          <w:b/>
          <w:sz w:val="24"/>
          <w:szCs w:val="24"/>
        </w:rPr>
        <w:tab/>
      </w:r>
      <w:r w:rsidRPr="00CC006B">
        <w:rPr>
          <w:rFonts w:ascii="Tahoma" w:hAnsi="Tahoma" w:cs="Tahoma"/>
          <w:b/>
          <w:sz w:val="24"/>
          <w:szCs w:val="24"/>
        </w:rPr>
        <w:tab/>
      </w:r>
      <w:r w:rsidRPr="00CC006B">
        <w:rPr>
          <w:rFonts w:ascii="Tahoma" w:hAnsi="Tahoma" w:cs="Tahoma"/>
          <w:b/>
          <w:sz w:val="24"/>
          <w:szCs w:val="24"/>
        </w:rPr>
        <w:tab/>
      </w:r>
      <w:r w:rsidRPr="00CC006B">
        <w:rPr>
          <w:rFonts w:ascii="Tahoma" w:hAnsi="Tahoma" w:cs="Tahoma"/>
          <w:b/>
          <w:sz w:val="24"/>
          <w:szCs w:val="24"/>
        </w:rPr>
        <w:tab/>
      </w:r>
      <w:r w:rsidR="00CC006B">
        <w:rPr>
          <w:rFonts w:ascii="Tahoma" w:hAnsi="Tahoma" w:cs="Tahoma"/>
          <w:b/>
          <w:sz w:val="24"/>
          <w:szCs w:val="24"/>
        </w:rPr>
        <w:t xml:space="preserve">  </w:t>
      </w:r>
      <w:r w:rsidR="008D3D3F">
        <w:rPr>
          <w:rFonts w:ascii="Tahoma" w:hAnsi="Tahoma" w:cs="Tahoma"/>
          <w:b/>
          <w:sz w:val="24"/>
          <w:szCs w:val="24"/>
        </w:rPr>
        <w:t xml:space="preserve">    </w:t>
      </w:r>
      <w:r w:rsidRPr="00CC006B">
        <w:rPr>
          <w:rFonts w:ascii="Tahoma" w:hAnsi="Tahoma" w:cs="Tahoma"/>
          <w:b/>
          <w:sz w:val="24"/>
          <w:szCs w:val="24"/>
        </w:rPr>
        <w:t>APPELLANT</w:t>
      </w:r>
    </w:p>
    <w:p w:rsidR="00EA6896" w:rsidRDefault="00EA6896" w:rsidP="00EA6896">
      <w:pPr>
        <w:spacing w:after="0" w:line="240" w:lineRule="auto"/>
        <w:rPr>
          <w:rFonts w:ascii="Tahoma" w:hAnsi="Tahoma" w:cs="Tahoma"/>
          <w:sz w:val="24"/>
          <w:szCs w:val="24"/>
        </w:rPr>
      </w:pPr>
    </w:p>
    <w:p w:rsidR="00EA6896" w:rsidRDefault="00EA6896" w:rsidP="00EA6896">
      <w:pPr>
        <w:spacing w:after="0" w:line="240" w:lineRule="auto"/>
        <w:rPr>
          <w:rFonts w:ascii="Tahoma" w:hAnsi="Tahoma" w:cs="Tahoma"/>
          <w:sz w:val="24"/>
          <w:szCs w:val="24"/>
        </w:rPr>
      </w:pPr>
    </w:p>
    <w:p w:rsidR="00EA6896" w:rsidRDefault="00EA6896" w:rsidP="00EA6896">
      <w:pPr>
        <w:spacing w:after="0" w:line="240" w:lineRule="auto"/>
        <w:rPr>
          <w:rFonts w:ascii="Tahoma" w:hAnsi="Tahoma" w:cs="Tahoma"/>
          <w:sz w:val="24"/>
          <w:szCs w:val="24"/>
        </w:rPr>
      </w:pPr>
      <w:r>
        <w:rPr>
          <w:rFonts w:ascii="Tahoma" w:hAnsi="Tahoma" w:cs="Tahoma"/>
          <w:sz w:val="24"/>
          <w:szCs w:val="24"/>
        </w:rPr>
        <w:t>Versus</w:t>
      </w:r>
    </w:p>
    <w:p w:rsidR="00EA6896" w:rsidRDefault="00EA6896" w:rsidP="00EA6896">
      <w:pPr>
        <w:spacing w:after="0" w:line="240" w:lineRule="auto"/>
        <w:rPr>
          <w:rFonts w:ascii="Tahoma" w:hAnsi="Tahoma" w:cs="Tahoma"/>
          <w:sz w:val="24"/>
          <w:szCs w:val="24"/>
        </w:rPr>
      </w:pPr>
    </w:p>
    <w:p w:rsidR="00EA6896" w:rsidRDefault="00EA6896" w:rsidP="00EA6896">
      <w:pPr>
        <w:spacing w:after="0" w:line="240" w:lineRule="auto"/>
        <w:rPr>
          <w:rFonts w:ascii="Tahoma" w:hAnsi="Tahoma" w:cs="Tahoma"/>
          <w:sz w:val="24"/>
          <w:szCs w:val="24"/>
        </w:rPr>
      </w:pPr>
    </w:p>
    <w:p w:rsidR="00EA6896" w:rsidRPr="00CC006B" w:rsidRDefault="00EA6896" w:rsidP="00EA6896">
      <w:pPr>
        <w:spacing w:after="0" w:line="240" w:lineRule="auto"/>
        <w:rPr>
          <w:rFonts w:ascii="Tahoma" w:hAnsi="Tahoma" w:cs="Tahoma"/>
          <w:b/>
          <w:sz w:val="24"/>
          <w:szCs w:val="24"/>
        </w:rPr>
      </w:pPr>
      <w:r w:rsidRPr="00CC006B">
        <w:rPr>
          <w:rFonts w:ascii="Tahoma" w:hAnsi="Tahoma" w:cs="Tahoma"/>
          <w:b/>
          <w:sz w:val="24"/>
          <w:szCs w:val="24"/>
        </w:rPr>
        <w:t>ZIMBABWE REVENUE AUTHORITY</w:t>
      </w:r>
      <w:r w:rsidRPr="00CC006B">
        <w:rPr>
          <w:rFonts w:ascii="Tahoma" w:hAnsi="Tahoma" w:cs="Tahoma"/>
          <w:b/>
          <w:sz w:val="24"/>
          <w:szCs w:val="24"/>
        </w:rPr>
        <w:tab/>
      </w:r>
      <w:r w:rsidRPr="00CC006B">
        <w:rPr>
          <w:rFonts w:ascii="Tahoma" w:hAnsi="Tahoma" w:cs="Tahoma"/>
          <w:b/>
          <w:sz w:val="24"/>
          <w:szCs w:val="24"/>
        </w:rPr>
        <w:tab/>
      </w:r>
      <w:r w:rsidRPr="00CC006B">
        <w:rPr>
          <w:rFonts w:ascii="Tahoma" w:hAnsi="Tahoma" w:cs="Tahoma"/>
          <w:b/>
          <w:sz w:val="24"/>
          <w:szCs w:val="24"/>
        </w:rPr>
        <w:tab/>
      </w:r>
      <w:r w:rsidRPr="00CC006B">
        <w:rPr>
          <w:rFonts w:ascii="Tahoma" w:hAnsi="Tahoma" w:cs="Tahoma"/>
          <w:b/>
          <w:sz w:val="24"/>
          <w:szCs w:val="24"/>
        </w:rPr>
        <w:tab/>
      </w:r>
      <w:r w:rsidR="00CC006B">
        <w:rPr>
          <w:rFonts w:ascii="Tahoma" w:hAnsi="Tahoma" w:cs="Tahoma"/>
          <w:b/>
          <w:sz w:val="24"/>
          <w:szCs w:val="24"/>
        </w:rPr>
        <w:t xml:space="preserve"> </w:t>
      </w:r>
      <w:r w:rsidR="008D3D3F">
        <w:rPr>
          <w:rFonts w:ascii="Tahoma" w:hAnsi="Tahoma" w:cs="Tahoma"/>
          <w:b/>
          <w:sz w:val="24"/>
          <w:szCs w:val="24"/>
        </w:rPr>
        <w:t xml:space="preserve">    </w:t>
      </w:r>
      <w:bookmarkStart w:id="0" w:name="_GoBack"/>
      <w:bookmarkEnd w:id="0"/>
      <w:r w:rsidRPr="00CC006B">
        <w:rPr>
          <w:rFonts w:ascii="Tahoma" w:hAnsi="Tahoma" w:cs="Tahoma"/>
          <w:b/>
          <w:sz w:val="24"/>
          <w:szCs w:val="24"/>
        </w:rPr>
        <w:t>RESPONDENT</w:t>
      </w:r>
    </w:p>
    <w:p w:rsidR="00EA6896" w:rsidRDefault="00EA6896" w:rsidP="00EA6896">
      <w:pPr>
        <w:spacing w:after="0" w:line="240" w:lineRule="auto"/>
        <w:rPr>
          <w:rFonts w:ascii="Tahoma" w:hAnsi="Tahoma" w:cs="Tahoma"/>
          <w:sz w:val="24"/>
          <w:szCs w:val="24"/>
        </w:rPr>
      </w:pPr>
    </w:p>
    <w:p w:rsidR="00EA6896" w:rsidRDefault="00EA6896" w:rsidP="00EA6896">
      <w:pPr>
        <w:spacing w:after="0" w:line="240" w:lineRule="auto"/>
        <w:rPr>
          <w:rFonts w:ascii="Tahoma" w:hAnsi="Tahoma" w:cs="Tahoma"/>
          <w:sz w:val="24"/>
          <w:szCs w:val="24"/>
        </w:rPr>
      </w:pPr>
    </w:p>
    <w:p w:rsidR="00EA6896" w:rsidRDefault="00EA6896" w:rsidP="00EA6896">
      <w:pPr>
        <w:spacing w:after="0" w:line="240" w:lineRule="auto"/>
        <w:rPr>
          <w:rFonts w:ascii="Tahoma" w:hAnsi="Tahoma" w:cs="Tahoma"/>
          <w:sz w:val="24"/>
          <w:szCs w:val="24"/>
        </w:rPr>
      </w:pPr>
      <w:r>
        <w:rPr>
          <w:rFonts w:ascii="Tahoma" w:hAnsi="Tahoma" w:cs="Tahoma"/>
          <w:sz w:val="24"/>
          <w:szCs w:val="24"/>
        </w:rPr>
        <w:t xml:space="preserve">Before The Honourable P </w:t>
      </w:r>
      <w:proofErr w:type="spellStart"/>
      <w:r>
        <w:rPr>
          <w:rFonts w:ascii="Tahoma" w:hAnsi="Tahoma" w:cs="Tahoma"/>
          <w:sz w:val="24"/>
          <w:szCs w:val="24"/>
        </w:rPr>
        <w:t>Muzofa</w:t>
      </w:r>
      <w:proofErr w:type="spellEnd"/>
      <w:r>
        <w:rPr>
          <w:rFonts w:ascii="Tahoma" w:hAnsi="Tahoma" w:cs="Tahoma"/>
          <w:sz w:val="24"/>
          <w:szCs w:val="24"/>
        </w:rPr>
        <w:t xml:space="preserve">   :   Judge</w:t>
      </w:r>
    </w:p>
    <w:p w:rsidR="00EA6896" w:rsidRDefault="00EA6896" w:rsidP="00EA6896">
      <w:pPr>
        <w:spacing w:after="0" w:line="240" w:lineRule="auto"/>
        <w:rPr>
          <w:rFonts w:ascii="Tahoma" w:hAnsi="Tahoma" w:cs="Tahoma"/>
          <w:sz w:val="24"/>
          <w:szCs w:val="24"/>
        </w:rPr>
      </w:pPr>
    </w:p>
    <w:p w:rsidR="00EA6896" w:rsidRPr="00CC006B" w:rsidRDefault="00EA6896" w:rsidP="00EA6896">
      <w:pPr>
        <w:spacing w:after="0" w:line="240" w:lineRule="auto"/>
        <w:rPr>
          <w:rFonts w:ascii="Tahoma" w:hAnsi="Tahoma" w:cs="Tahoma"/>
          <w:b/>
          <w:sz w:val="24"/>
          <w:szCs w:val="24"/>
        </w:rPr>
      </w:pPr>
      <w:r w:rsidRPr="00CC006B">
        <w:rPr>
          <w:rFonts w:ascii="Tahoma" w:hAnsi="Tahoma" w:cs="Tahoma"/>
          <w:b/>
          <w:sz w:val="24"/>
          <w:szCs w:val="24"/>
        </w:rPr>
        <w:t>For the Appellant</w:t>
      </w:r>
      <w:r w:rsidRPr="00CC006B">
        <w:rPr>
          <w:rFonts w:ascii="Tahoma" w:hAnsi="Tahoma" w:cs="Tahoma"/>
          <w:b/>
          <w:sz w:val="24"/>
          <w:szCs w:val="24"/>
        </w:rPr>
        <w:tab/>
      </w:r>
      <w:r w:rsidRPr="00CC006B">
        <w:rPr>
          <w:rFonts w:ascii="Tahoma" w:hAnsi="Tahoma" w:cs="Tahoma"/>
          <w:b/>
          <w:sz w:val="24"/>
          <w:szCs w:val="24"/>
        </w:rPr>
        <w:tab/>
        <w:t xml:space="preserve">R T </w:t>
      </w:r>
      <w:proofErr w:type="spellStart"/>
      <w:r w:rsidRPr="00CC006B">
        <w:rPr>
          <w:rFonts w:ascii="Tahoma" w:hAnsi="Tahoma" w:cs="Tahoma"/>
          <w:b/>
          <w:sz w:val="24"/>
          <w:szCs w:val="24"/>
        </w:rPr>
        <w:t>Maganga</w:t>
      </w:r>
      <w:proofErr w:type="spellEnd"/>
      <w:r w:rsidRPr="00CC006B">
        <w:rPr>
          <w:rFonts w:ascii="Tahoma" w:hAnsi="Tahoma" w:cs="Tahoma"/>
          <w:b/>
          <w:sz w:val="24"/>
          <w:szCs w:val="24"/>
        </w:rPr>
        <w:t xml:space="preserve">    (Legal Practitioner)</w:t>
      </w:r>
    </w:p>
    <w:p w:rsidR="00EA6896" w:rsidRPr="00CC006B" w:rsidRDefault="00EA6896" w:rsidP="00EA6896">
      <w:pPr>
        <w:spacing w:after="0" w:line="240" w:lineRule="auto"/>
        <w:rPr>
          <w:rFonts w:ascii="Tahoma" w:hAnsi="Tahoma" w:cs="Tahoma"/>
          <w:b/>
          <w:sz w:val="24"/>
          <w:szCs w:val="24"/>
        </w:rPr>
      </w:pPr>
    </w:p>
    <w:p w:rsidR="00EA6896" w:rsidRPr="00CC006B" w:rsidRDefault="00EA6896" w:rsidP="00EA6896">
      <w:pPr>
        <w:spacing w:after="0" w:line="240" w:lineRule="auto"/>
        <w:rPr>
          <w:rFonts w:ascii="Tahoma" w:hAnsi="Tahoma" w:cs="Tahoma"/>
          <w:b/>
          <w:sz w:val="24"/>
          <w:szCs w:val="24"/>
        </w:rPr>
      </w:pPr>
      <w:r w:rsidRPr="00CC006B">
        <w:rPr>
          <w:rFonts w:ascii="Tahoma" w:hAnsi="Tahoma" w:cs="Tahoma"/>
          <w:b/>
          <w:sz w:val="24"/>
          <w:szCs w:val="24"/>
        </w:rPr>
        <w:t xml:space="preserve">For the Respondent        K </w:t>
      </w:r>
      <w:proofErr w:type="spellStart"/>
      <w:r w:rsidRPr="00CC006B">
        <w:rPr>
          <w:rFonts w:ascii="Tahoma" w:hAnsi="Tahoma" w:cs="Tahoma"/>
          <w:b/>
          <w:sz w:val="24"/>
          <w:szCs w:val="24"/>
        </w:rPr>
        <w:t>Renzva</w:t>
      </w:r>
      <w:proofErr w:type="spellEnd"/>
      <w:r w:rsidRPr="00CC006B">
        <w:rPr>
          <w:rFonts w:ascii="Tahoma" w:hAnsi="Tahoma" w:cs="Tahoma"/>
          <w:b/>
          <w:sz w:val="24"/>
          <w:szCs w:val="24"/>
        </w:rPr>
        <w:t xml:space="preserve">   (Legal Officer)</w:t>
      </w:r>
    </w:p>
    <w:p w:rsidR="00EA6896" w:rsidRPr="00CC006B" w:rsidRDefault="00EA6896" w:rsidP="00EA6896">
      <w:pPr>
        <w:spacing w:after="0" w:line="240" w:lineRule="auto"/>
        <w:rPr>
          <w:rFonts w:ascii="Tahoma" w:hAnsi="Tahoma" w:cs="Tahoma"/>
          <w:b/>
          <w:sz w:val="24"/>
          <w:szCs w:val="24"/>
        </w:rPr>
      </w:pPr>
    </w:p>
    <w:p w:rsidR="00EA6896" w:rsidRDefault="00EA6896" w:rsidP="00EA6896">
      <w:pPr>
        <w:spacing w:after="0" w:line="240" w:lineRule="auto"/>
        <w:rPr>
          <w:rFonts w:ascii="Tahoma" w:hAnsi="Tahoma" w:cs="Tahoma"/>
          <w:sz w:val="24"/>
          <w:szCs w:val="24"/>
        </w:rPr>
      </w:pPr>
    </w:p>
    <w:p w:rsidR="00EA6896" w:rsidRPr="00CC006B" w:rsidRDefault="00FA6C7C" w:rsidP="00EA6896">
      <w:pPr>
        <w:spacing w:after="0" w:line="240" w:lineRule="auto"/>
        <w:rPr>
          <w:rFonts w:ascii="Tahoma" w:hAnsi="Tahoma" w:cs="Tahoma"/>
          <w:b/>
          <w:sz w:val="24"/>
          <w:szCs w:val="24"/>
        </w:rPr>
      </w:pPr>
      <w:r w:rsidRPr="00CC006B">
        <w:rPr>
          <w:rFonts w:ascii="Tahoma" w:hAnsi="Tahoma" w:cs="Tahoma"/>
          <w:b/>
          <w:sz w:val="24"/>
          <w:szCs w:val="24"/>
        </w:rPr>
        <w:t>MUZOFA J:</w:t>
      </w:r>
    </w:p>
    <w:p w:rsidR="00FA6C7C" w:rsidRDefault="00FA6C7C" w:rsidP="00EA6896">
      <w:pPr>
        <w:spacing w:after="0" w:line="240" w:lineRule="auto"/>
        <w:rPr>
          <w:rFonts w:ascii="Tahoma" w:hAnsi="Tahoma" w:cs="Tahoma"/>
          <w:sz w:val="24"/>
          <w:szCs w:val="24"/>
        </w:rPr>
      </w:pPr>
    </w:p>
    <w:p w:rsidR="00FA6C7C" w:rsidRDefault="00FA6C7C" w:rsidP="00CC006B">
      <w:pPr>
        <w:spacing w:after="0" w:line="360" w:lineRule="auto"/>
        <w:ind w:firstLine="720"/>
        <w:jc w:val="both"/>
        <w:rPr>
          <w:rFonts w:ascii="Tahoma" w:hAnsi="Tahoma" w:cs="Tahoma"/>
          <w:sz w:val="24"/>
          <w:szCs w:val="24"/>
        </w:rPr>
      </w:pPr>
      <w:r>
        <w:rPr>
          <w:rFonts w:ascii="Tahoma" w:hAnsi="Tahoma" w:cs="Tahoma"/>
          <w:sz w:val="24"/>
          <w:szCs w:val="24"/>
        </w:rPr>
        <w:t>The appellant raised two preliminary issues before the matter proceeded into the merits. Firstly that the respondent filed its notice of response out of time and therefore was barred in terms of Rule 19 3(b) of the Labour Court Rules (“the rules”). Secondly that the said notice of response was not properly before the court as it was not made on the proper form LC2 prescribed by the rules. The appellant relied on Rule 19 which deals with failure to file heads of argument instead of Rule 22 that deals with failure to file a notice of response within the prescribed time limits. That as it maybe the court will address the issues raised since substantively</w:t>
      </w:r>
      <w:r w:rsidR="009D1034">
        <w:rPr>
          <w:rFonts w:ascii="Tahoma" w:hAnsi="Tahoma" w:cs="Tahoma"/>
          <w:sz w:val="24"/>
          <w:szCs w:val="24"/>
        </w:rPr>
        <w:t xml:space="preserve"> the </w:t>
      </w:r>
      <w:r>
        <w:rPr>
          <w:rFonts w:ascii="Tahoma" w:hAnsi="Tahoma" w:cs="Tahoma"/>
          <w:sz w:val="24"/>
          <w:szCs w:val="24"/>
        </w:rPr>
        <w:t>points relate to the notice of response.</w:t>
      </w:r>
    </w:p>
    <w:p w:rsidR="00FA6C7C" w:rsidRDefault="00FA6C7C" w:rsidP="00CC006B">
      <w:pPr>
        <w:spacing w:after="0" w:line="240" w:lineRule="auto"/>
        <w:ind w:firstLine="720"/>
        <w:jc w:val="both"/>
        <w:rPr>
          <w:rFonts w:ascii="Tahoma" w:hAnsi="Tahoma" w:cs="Tahoma"/>
          <w:sz w:val="24"/>
          <w:szCs w:val="24"/>
        </w:rPr>
      </w:pPr>
    </w:p>
    <w:p w:rsidR="00FA6C7C" w:rsidRDefault="00FA6C7C" w:rsidP="00CC006B">
      <w:pPr>
        <w:spacing w:after="0" w:line="360" w:lineRule="auto"/>
        <w:ind w:firstLine="720"/>
        <w:jc w:val="both"/>
        <w:rPr>
          <w:rFonts w:ascii="Tahoma" w:hAnsi="Tahoma" w:cs="Tahoma"/>
          <w:sz w:val="24"/>
          <w:szCs w:val="24"/>
        </w:rPr>
      </w:pPr>
      <w:r>
        <w:rPr>
          <w:rFonts w:ascii="Tahoma" w:hAnsi="Tahoma" w:cs="Tahoma"/>
          <w:sz w:val="24"/>
          <w:szCs w:val="24"/>
        </w:rPr>
        <w:t>The appellant argued that the respondent was barred and cannot be heard. The respondent opposed the application. The respondent referred the court to Rule 15 (d) of the Rules. In terms of that rule the Registrar is required to give notice to the respondent to file a notice of response after receiving a notice of appeal.</w:t>
      </w:r>
    </w:p>
    <w:p w:rsidR="00FA6C7C" w:rsidRDefault="00FA6C7C" w:rsidP="00CC006B">
      <w:pPr>
        <w:spacing w:after="0" w:line="360" w:lineRule="auto"/>
        <w:ind w:firstLine="720"/>
        <w:jc w:val="both"/>
        <w:rPr>
          <w:rFonts w:ascii="Tahoma" w:hAnsi="Tahoma" w:cs="Tahoma"/>
          <w:sz w:val="24"/>
          <w:szCs w:val="24"/>
        </w:rPr>
      </w:pPr>
    </w:p>
    <w:p w:rsidR="00FA6C7C" w:rsidRDefault="00FA6C7C" w:rsidP="00CC006B">
      <w:pPr>
        <w:spacing w:after="0" w:line="360" w:lineRule="auto"/>
        <w:ind w:firstLine="720"/>
        <w:jc w:val="both"/>
        <w:rPr>
          <w:rFonts w:ascii="Tahoma" w:hAnsi="Tahoma" w:cs="Tahoma"/>
          <w:sz w:val="24"/>
          <w:szCs w:val="24"/>
        </w:rPr>
      </w:pPr>
      <w:r>
        <w:rPr>
          <w:rFonts w:ascii="Tahoma" w:hAnsi="Tahoma" w:cs="Tahoma"/>
          <w:sz w:val="24"/>
          <w:szCs w:val="24"/>
        </w:rPr>
        <w:t xml:space="preserve">It was argued by the respondent that in terms of the rules the appellant has to file an appeal, serve a copy of the notice on the respondent, a copy thereof is filed with the Registrar. It is only then that the Registrar is required to issue a notice inviting the respondent to file a notice of response. In </w:t>
      </w:r>
      <w:proofErr w:type="spellStart"/>
      <w:r>
        <w:rPr>
          <w:rFonts w:ascii="Tahoma" w:hAnsi="Tahoma" w:cs="Tahoma"/>
          <w:i/>
          <w:sz w:val="24"/>
          <w:szCs w:val="24"/>
        </w:rPr>
        <w:t>casu</w:t>
      </w:r>
      <w:proofErr w:type="spellEnd"/>
      <w:r>
        <w:rPr>
          <w:rFonts w:ascii="Tahoma" w:hAnsi="Tahoma" w:cs="Tahoma"/>
          <w:sz w:val="24"/>
          <w:szCs w:val="24"/>
        </w:rPr>
        <w:t xml:space="preserve"> the notice of appeal was served on the respondent together with the notice to respond. The respondent argued that this was irregular and the appellant cannot rely on an irregularity. In short the respondent’s case was that it was properly before the court. On the second issue the respondent submitted that the notice to respond was not on the LC2 form to that extent the respondent could not respond on the said form.</w:t>
      </w:r>
    </w:p>
    <w:p w:rsidR="00FA6C7C" w:rsidRDefault="00FA6C7C" w:rsidP="00CC006B">
      <w:pPr>
        <w:spacing w:after="0" w:line="240" w:lineRule="auto"/>
        <w:ind w:firstLine="720"/>
        <w:jc w:val="both"/>
        <w:rPr>
          <w:rFonts w:ascii="Tahoma" w:hAnsi="Tahoma" w:cs="Tahoma"/>
          <w:sz w:val="24"/>
          <w:szCs w:val="24"/>
        </w:rPr>
      </w:pPr>
    </w:p>
    <w:p w:rsidR="00FA6C7C" w:rsidRDefault="00FA6C7C" w:rsidP="00CC006B">
      <w:pPr>
        <w:spacing w:after="0" w:line="360" w:lineRule="auto"/>
        <w:ind w:firstLine="720"/>
        <w:jc w:val="both"/>
        <w:rPr>
          <w:rFonts w:ascii="Tahoma" w:hAnsi="Tahoma" w:cs="Tahoma"/>
          <w:sz w:val="24"/>
          <w:szCs w:val="24"/>
        </w:rPr>
      </w:pPr>
      <w:r>
        <w:rPr>
          <w:rFonts w:ascii="Tahoma" w:hAnsi="Tahoma" w:cs="Tahoma"/>
          <w:sz w:val="24"/>
          <w:szCs w:val="24"/>
        </w:rPr>
        <w:t>Rule 22 of the rules provides as follows:</w:t>
      </w:r>
    </w:p>
    <w:p w:rsidR="00FA6C7C" w:rsidRDefault="00FA6C7C" w:rsidP="00CC006B">
      <w:pPr>
        <w:spacing w:after="0" w:line="240" w:lineRule="auto"/>
        <w:jc w:val="both"/>
        <w:rPr>
          <w:rFonts w:ascii="Tahoma" w:hAnsi="Tahoma" w:cs="Tahoma"/>
          <w:sz w:val="24"/>
          <w:szCs w:val="24"/>
        </w:rPr>
      </w:pPr>
    </w:p>
    <w:p w:rsidR="00FA6C7C" w:rsidRDefault="00FA6C7C" w:rsidP="00CC006B">
      <w:pPr>
        <w:spacing w:after="0" w:line="240" w:lineRule="auto"/>
        <w:ind w:left="720"/>
        <w:jc w:val="both"/>
        <w:rPr>
          <w:rFonts w:ascii="Tahoma" w:hAnsi="Tahoma" w:cs="Tahoma"/>
          <w:sz w:val="24"/>
          <w:szCs w:val="24"/>
        </w:rPr>
      </w:pPr>
      <w:r>
        <w:rPr>
          <w:rFonts w:ascii="Tahoma" w:hAnsi="Tahoma" w:cs="Tahoma"/>
          <w:sz w:val="24"/>
          <w:szCs w:val="24"/>
        </w:rPr>
        <w:t>“Where a notice has been given to a party to file a notice of response within the period specified in Rule 14, 15 or 16 and that party fails to comply the matter shall nevertheless be set down … on the day of hearing the de</w:t>
      </w:r>
      <w:r w:rsidR="001B65E6">
        <w:rPr>
          <w:rFonts w:ascii="Tahoma" w:hAnsi="Tahoma" w:cs="Tahoma"/>
          <w:sz w:val="24"/>
          <w:szCs w:val="24"/>
        </w:rPr>
        <w:t>faulting party-</w:t>
      </w:r>
    </w:p>
    <w:p w:rsidR="001B65E6" w:rsidRDefault="001B65E6" w:rsidP="00CC006B">
      <w:pPr>
        <w:spacing w:after="0" w:line="240" w:lineRule="auto"/>
        <w:ind w:left="720"/>
        <w:jc w:val="both"/>
        <w:rPr>
          <w:rFonts w:ascii="Tahoma" w:hAnsi="Tahoma" w:cs="Tahoma"/>
          <w:sz w:val="24"/>
          <w:szCs w:val="24"/>
        </w:rPr>
      </w:pPr>
    </w:p>
    <w:p w:rsidR="001B65E6" w:rsidRDefault="001B65E6" w:rsidP="00CC006B">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Appears and shows good cause why he or she did not file a notice of response …</w:t>
      </w:r>
    </w:p>
    <w:p w:rsidR="001B65E6" w:rsidRDefault="001B65E6" w:rsidP="00CC006B">
      <w:pPr>
        <w:pStyle w:val="ListParagraph"/>
        <w:numPr>
          <w:ilvl w:val="0"/>
          <w:numId w:val="1"/>
        </w:numPr>
        <w:spacing w:after="0" w:line="240" w:lineRule="auto"/>
        <w:jc w:val="both"/>
        <w:rPr>
          <w:rFonts w:ascii="Tahoma" w:hAnsi="Tahoma" w:cs="Tahoma"/>
          <w:sz w:val="24"/>
          <w:szCs w:val="24"/>
        </w:rPr>
      </w:pPr>
      <w:r w:rsidRPr="001B65E6">
        <w:rPr>
          <w:rFonts w:ascii="Tahoma" w:hAnsi="Tahoma" w:cs="Tahoma"/>
          <w:sz w:val="24"/>
          <w:szCs w:val="24"/>
        </w:rPr>
        <w:t>Does not appear or show good cause why he or she did not file a response …</w:t>
      </w:r>
      <w:r>
        <w:rPr>
          <w:rFonts w:ascii="Tahoma" w:hAnsi="Tahoma" w:cs="Tahoma"/>
          <w:sz w:val="24"/>
          <w:szCs w:val="24"/>
        </w:rPr>
        <w:t>”</w:t>
      </w:r>
    </w:p>
    <w:p w:rsidR="001B65E6" w:rsidRDefault="001B65E6" w:rsidP="00CC006B">
      <w:pPr>
        <w:spacing w:after="0" w:line="240" w:lineRule="auto"/>
        <w:jc w:val="both"/>
        <w:rPr>
          <w:rFonts w:ascii="Tahoma" w:hAnsi="Tahoma" w:cs="Tahoma"/>
          <w:sz w:val="24"/>
          <w:szCs w:val="24"/>
        </w:rPr>
      </w:pPr>
    </w:p>
    <w:p w:rsidR="001B65E6" w:rsidRDefault="001B65E6" w:rsidP="00CC006B">
      <w:pPr>
        <w:spacing w:after="0" w:line="360" w:lineRule="auto"/>
        <w:ind w:firstLine="720"/>
        <w:jc w:val="both"/>
        <w:rPr>
          <w:rFonts w:ascii="Tahoma" w:hAnsi="Tahoma" w:cs="Tahoma"/>
          <w:sz w:val="24"/>
          <w:szCs w:val="24"/>
        </w:rPr>
      </w:pPr>
      <w:r>
        <w:rPr>
          <w:rFonts w:ascii="Tahoma" w:hAnsi="Tahoma" w:cs="Tahoma"/>
          <w:sz w:val="24"/>
          <w:szCs w:val="24"/>
        </w:rPr>
        <w:t>The respondent filed its notice of response despite the challenge that it was not properly served with process albeit on the 15</w:t>
      </w:r>
      <w:r w:rsidRPr="001B65E6">
        <w:rPr>
          <w:rFonts w:ascii="Tahoma" w:hAnsi="Tahoma" w:cs="Tahoma"/>
          <w:sz w:val="24"/>
          <w:szCs w:val="24"/>
          <w:vertAlign w:val="superscript"/>
        </w:rPr>
        <w:t>th</w:t>
      </w:r>
      <w:r>
        <w:rPr>
          <w:rFonts w:ascii="Tahoma" w:hAnsi="Tahoma" w:cs="Tahoma"/>
          <w:sz w:val="24"/>
          <w:szCs w:val="24"/>
        </w:rPr>
        <w:t xml:space="preserve"> day instead of the 14 days required by the rules. The respondent appeared before the court to explain the delay. The court has to determine whether the respondent has shown good cause for the delay. The respondent relied on the failure by the Registrar to serve process in terms of the rules. Particularly that the Registrar sent the notice to respond through the appellant. It was not in dispute that the appellant upon filing the notice to appeal, the Registrar upon receipt of the notice gave the notice to respond to the appellant. The appellant in turn serve</w:t>
      </w:r>
      <w:r w:rsidR="009D1034">
        <w:rPr>
          <w:rFonts w:ascii="Tahoma" w:hAnsi="Tahoma" w:cs="Tahoma"/>
          <w:sz w:val="24"/>
          <w:szCs w:val="24"/>
        </w:rPr>
        <w:t>d</w:t>
      </w:r>
      <w:r>
        <w:rPr>
          <w:rFonts w:ascii="Tahoma" w:hAnsi="Tahoma" w:cs="Tahoma"/>
          <w:sz w:val="24"/>
          <w:szCs w:val="24"/>
        </w:rPr>
        <w:t xml:space="preserve"> the notice of appeal together with the notice to respond to the respondent. Rule 15 (2) provides as follows:</w:t>
      </w:r>
    </w:p>
    <w:p w:rsidR="001B65E6" w:rsidRDefault="001B65E6" w:rsidP="00CC006B">
      <w:pPr>
        <w:spacing w:after="0" w:line="240" w:lineRule="auto"/>
        <w:jc w:val="both"/>
        <w:rPr>
          <w:rFonts w:ascii="Tahoma" w:hAnsi="Tahoma" w:cs="Tahoma"/>
          <w:sz w:val="24"/>
          <w:szCs w:val="24"/>
        </w:rPr>
      </w:pPr>
    </w:p>
    <w:p w:rsidR="001B65E6" w:rsidRDefault="001B65E6" w:rsidP="00CC006B">
      <w:pPr>
        <w:spacing w:after="0" w:line="240" w:lineRule="auto"/>
        <w:ind w:left="720"/>
        <w:jc w:val="both"/>
        <w:rPr>
          <w:rFonts w:ascii="Tahoma" w:hAnsi="Tahoma" w:cs="Tahoma"/>
          <w:sz w:val="24"/>
          <w:szCs w:val="24"/>
        </w:rPr>
      </w:pPr>
      <w:r>
        <w:rPr>
          <w:rFonts w:ascii="Tahoma" w:hAnsi="Tahoma" w:cs="Tahoma"/>
          <w:sz w:val="24"/>
          <w:szCs w:val="24"/>
        </w:rPr>
        <w:t xml:space="preserve">“The Registrar shall, within thirty days of receiving </w:t>
      </w:r>
      <w:proofErr w:type="gramStart"/>
      <w:r>
        <w:rPr>
          <w:rFonts w:ascii="Tahoma" w:hAnsi="Tahoma" w:cs="Tahoma"/>
          <w:sz w:val="24"/>
          <w:szCs w:val="24"/>
        </w:rPr>
        <w:t>a  notice</w:t>
      </w:r>
      <w:proofErr w:type="gramEnd"/>
      <w:r>
        <w:rPr>
          <w:rFonts w:ascii="Tahoma" w:hAnsi="Tahoma" w:cs="Tahoma"/>
          <w:sz w:val="24"/>
          <w:szCs w:val="24"/>
        </w:rPr>
        <w:t xml:space="preserve"> of appeal in terms of </w:t>
      </w:r>
      <w:proofErr w:type="spellStart"/>
      <w:r>
        <w:rPr>
          <w:rFonts w:ascii="Tahoma" w:hAnsi="Tahoma" w:cs="Tahoma"/>
          <w:sz w:val="24"/>
          <w:szCs w:val="24"/>
        </w:rPr>
        <w:t>subrule</w:t>
      </w:r>
      <w:proofErr w:type="spellEnd"/>
      <w:r>
        <w:rPr>
          <w:rFonts w:ascii="Tahoma" w:hAnsi="Tahoma" w:cs="Tahoma"/>
          <w:sz w:val="24"/>
          <w:szCs w:val="24"/>
        </w:rPr>
        <w:t xml:space="preserve"> 1 (d), give notice in Part 1 of Form LC2 to the respondent …”</w:t>
      </w:r>
    </w:p>
    <w:p w:rsidR="001B65E6" w:rsidRDefault="001B65E6" w:rsidP="00CC006B">
      <w:pPr>
        <w:spacing w:after="0" w:line="360" w:lineRule="auto"/>
        <w:jc w:val="both"/>
        <w:rPr>
          <w:rFonts w:ascii="Tahoma" w:hAnsi="Tahoma" w:cs="Tahoma"/>
          <w:sz w:val="24"/>
          <w:szCs w:val="24"/>
        </w:rPr>
      </w:pPr>
    </w:p>
    <w:p w:rsidR="001B65E6" w:rsidRDefault="001B65E6" w:rsidP="00CC006B">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rules do not specifically prescribe what medium should be used to give notice to the respondent. If there were terms like the “Registrar shall through …. </w:t>
      </w:r>
      <w:proofErr w:type="gramStart"/>
      <w:r w:rsidR="009D1034">
        <w:rPr>
          <w:rFonts w:ascii="Tahoma" w:hAnsi="Tahoma" w:cs="Tahoma"/>
          <w:sz w:val="24"/>
          <w:szCs w:val="24"/>
        </w:rPr>
        <w:t>g</w:t>
      </w:r>
      <w:r>
        <w:rPr>
          <w:rFonts w:ascii="Tahoma" w:hAnsi="Tahoma" w:cs="Tahoma"/>
          <w:sz w:val="24"/>
          <w:szCs w:val="24"/>
        </w:rPr>
        <w:t>ive</w:t>
      </w:r>
      <w:proofErr w:type="gramEnd"/>
      <w:r>
        <w:rPr>
          <w:rFonts w:ascii="Tahoma" w:hAnsi="Tahoma" w:cs="Tahoma"/>
          <w:sz w:val="24"/>
          <w:szCs w:val="24"/>
        </w:rPr>
        <w:t xml:space="preserve"> notice”</w:t>
      </w:r>
      <w:r w:rsidR="009D1034">
        <w:rPr>
          <w:rFonts w:ascii="Tahoma" w:hAnsi="Tahoma" w:cs="Tahoma"/>
          <w:sz w:val="24"/>
          <w:szCs w:val="24"/>
        </w:rPr>
        <w:t xml:space="preserve"> </w:t>
      </w:r>
      <w:r>
        <w:rPr>
          <w:rFonts w:ascii="Tahoma" w:hAnsi="Tahoma" w:cs="Tahoma"/>
          <w:sz w:val="24"/>
          <w:szCs w:val="24"/>
        </w:rPr>
        <w:t>the respondent’s argument would be valid. The Registrar therefore can choose which medium to use to send the notice to respond. I believe sending the notice through the appellant is for expediency. The only issue is whether the Registrar’s conduct was in compliance with Rule 15 (1</w:t>
      </w:r>
      <w:proofErr w:type="gramStart"/>
      <w:r>
        <w:rPr>
          <w:rFonts w:ascii="Tahoma" w:hAnsi="Tahoma" w:cs="Tahoma"/>
          <w:sz w:val="24"/>
          <w:szCs w:val="24"/>
        </w:rPr>
        <w:t>)(</w:t>
      </w:r>
      <w:proofErr w:type="gramEnd"/>
      <w:r>
        <w:rPr>
          <w:rFonts w:ascii="Tahoma" w:hAnsi="Tahoma" w:cs="Tahoma"/>
          <w:sz w:val="24"/>
          <w:szCs w:val="24"/>
        </w:rPr>
        <w:t xml:space="preserve">d)(ii). It was not disputed that the notice to respond was issued before the Registrar was in receipt of proof that the notice of appeal had been served on the respondent. That on its own cannot be allowed to vitiate proceedings. The bottom line being that there was no prejudice suffered by the respondent as a result of that irregularity. The respondent did not argue that it was prejudiced by the Registrar’s conduct. The rules </w:t>
      </w:r>
      <w:r w:rsidR="00506352">
        <w:rPr>
          <w:rFonts w:ascii="Tahoma" w:hAnsi="Tahoma" w:cs="Tahoma"/>
          <w:sz w:val="24"/>
          <w:szCs w:val="24"/>
        </w:rPr>
        <w:t xml:space="preserve">of the court are not an end in themselves, they are meant to ensure practical and smooth process to achieve the goals of the enabling Acts of Parliament. In my view </w:t>
      </w:r>
      <w:r w:rsidR="00427DC7">
        <w:rPr>
          <w:rFonts w:ascii="Tahoma" w:hAnsi="Tahoma" w:cs="Tahoma"/>
          <w:sz w:val="24"/>
          <w:szCs w:val="24"/>
        </w:rPr>
        <w:t xml:space="preserve">           </w:t>
      </w:r>
      <w:r w:rsidR="00506352">
        <w:rPr>
          <w:rFonts w:ascii="Tahoma" w:hAnsi="Tahoma" w:cs="Tahoma"/>
          <w:sz w:val="24"/>
          <w:szCs w:val="24"/>
        </w:rPr>
        <w:t>nit</w:t>
      </w:r>
      <w:r w:rsidR="00427DC7">
        <w:rPr>
          <w:rFonts w:ascii="Tahoma" w:hAnsi="Tahoma" w:cs="Tahoma"/>
          <w:sz w:val="24"/>
          <w:szCs w:val="24"/>
        </w:rPr>
        <w:t>-</w:t>
      </w:r>
      <w:r w:rsidR="00506352">
        <w:rPr>
          <w:rFonts w:ascii="Tahoma" w:hAnsi="Tahoma" w:cs="Tahoma"/>
          <w:sz w:val="24"/>
          <w:szCs w:val="24"/>
        </w:rPr>
        <w:t>picking would actually defeat the very purpose of the rules particularly where no prejudice befalls the aggrieved party. It is the court’s finding that the respondent was properly served with a notice to respond.</w:t>
      </w:r>
    </w:p>
    <w:p w:rsidR="00506352" w:rsidRDefault="00506352" w:rsidP="00CC006B">
      <w:pPr>
        <w:spacing w:after="0" w:line="240" w:lineRule="auto"/>
        <w:ind w:firstLine="720"/>
        <w:jc w:val="both"/>
        <w:rPr>
          <w:rFonts w:ascii="Tahoma" w:hAnsi="Tahoma" w:cs="Tahoma"/>
          <w:sz w:val="24"/>
          <w:szCs w:val="24"/>
        </w:rPr>
      </w:pPr>
    </w:p>
    <w:p w:rsidR="00506352" w:rsidRDefault="00506352" w:rsidP="00CC006B">
      <w:pPr>
        <w:spacing w:after="0" w:line="360" w:lineRule="auto"/>
        <w:ind w:firstLine="720"/>
        <w:jc w:val="both"/>
        <w:rPr>
          <w:rFonts w:ascii="Tahoma" w:hAnsi="Tahoma" w:cs="Tahoma"/>
          <w:sz w:val="24"/>
          <w:szCs w:val="24"/>
        </w:rPr>
      </w:pPr>
      <w:r>
        <w:rPr>
          <w:rFonts w:ascii="Tahoma" w:hAnsi="Tahoma" w:cs="Tahoma"/>
          <w:sz w:val="24"/>
          <w:szCs w:val="24"/>
        </w:rPr>
        <w:t>The respondent being fully convinced that it has shown good cause for the delay did not seek the indulgence of this court to condone its conduct. The court is alive to the established precedent that a court cannot extend its indulgence and condone conduct where no application has been made</w:t>
      </w:r>
      <w:r w:rsidR="009D1034">
        <w:rPr>
          <w:rFonts w:ascii="Tahoma" w:hAnsi="Tahoma" w:cs="Tahoma"/>
          <w:sz w:val="24"/>
          <w:szCs w:val="24"/>
        </w:rPr>
        <w:t>,</w:t>
      </w:r>
      <w:r>
        <w:rPr>
          <w:rFonts w:ascii="Tahoma" w:hAnsi="Tahoma" w:cs="Tahoma"/>
          <w:sz w:val="24"/>
          <w:szCs w:val="24"/>
        </w:rPr>
        <w:t xml:space="preserve"> </w:t>
      </w:r>
      <w:r w:rsidR="009D1034">
        <w:rPr>
          <w:rFonts w:ascii="Tahoma" w:hAnsi="Tahoma" w:cs="Tahoma"/>
          <w:sz w:val="24"/>
          <w:szCs w:val="24"/>
        </w:rPr>
        <w:t>s</w:t>
      </w:r>
      <w:r>
        <w:rPr>
          <w:rFonts w:ascii="Tahoma" w:hAnsi="Tahoma" w:cs="Tahoma"/>
          <w:sz w:val="24"/>
          <w:szCs w:val="24"/>
        </w:rPr>
        <w:t xml:space="preserve">ee generally </w:t>
      </w:r>
      <w:proofErr w:type="spellStart"/>
      <w:r>
        <w:rPr>
          <w:rFonts w:ascii="Tahoma" w:hAnsi="Tahoma" w:cs="Tahoma"/>
          <w:i/>
          <w:sz w:val="24"/>
          <w:szCs w:val="24"/>
        </w:rPr>
        <w:t>Moyo</w:t>
      </w:r>
      <w:proofErr w:type="spellEnd"/>
      <w:r>
        <w:rPr>
          <w:rFonts w:ascii="Tahoma" w:hAnsi="Tahoma" w:cs="Tahoma"/>
          <w:sz w:val="24"/>
          <w:szCs w:val="24"/>
        </w:rPr>
        <w:t xml:space="preserve"> v </w:t>
      </w:r>
      <w:r>
        <w:rPr>
          <w:rFonts w:ascii="Tahoma" w:hAnsi="Tahoma" w:cs="Tahoma"/>
          <w:i/>
          <w:sz w:val="24"/>
          <w:szCs w:val="24"/>
        </w:rPr>
        <w:t>Forestry Commission</w:t>
      </w:r>
      <w:r>
        <w:rPr>
          <w:rFonts w:ascii="Tahoma" w:hAnsi="Tahoma" w:cs="Tahoma"/>
          <w:sz w:val="24"/>
          <w:szCs w:val="24"/>
        </w:rPr>
        <w:t xml:space="preserve"> 1997 (1) ZLR 254 (S). However this court is empowered in terms of Rule 26 to direct or authorise a departure from the rules in the interests of justice, fairness and equity. The circumstances of this case being that the respondent filed its notice of response just one day after the </w:t>
      </w:r>
      <w:r>
        <w:rPr>
          <w:rFonts w:ascii="Tahoma" w:hAnsi="Tahoma" w:cs="Tahoma"/>
          <w:i/>
          <w:sz w:val="24"/>
          <w:szCs w:val="24"/>
        </w:rPr>
        <w:t xml:space="preserve">dies </w:t>
      </w:r>
      <w:proofErr w:type="spellStart"/>
      <w:r>
        <w:rPr>
          <w:rFonts w:ascii="Tahoma" w:hAnsi="Tahoma" w:cs="Tahoma"/>
          <w:i/>
          <w:sz w:val="24"/>
          <w:szCs w:val="24"/>
        </w:rPr>
        <w:t>inducie</w:t>
      </w:r>
      <w:proofErr w:type="spellEnd"/>
      <w:r>
        <w:rPr>
          <w:rFonts w:ascii="Tahoma" w:hAnsi="Tahoma" w:cs="Tahoma"/>
          <w:sz w:val="24"/>
          <w:szCs w:val="24"/>
        </w:rPr>
        <w:t xml:space="preserve">, the matter is ready to proceed on the merits and no prejudice has been suffered by either party. The court will allow the notice of response as properly filed. Nothing turns on the second preliminary point. I say so because it was undisputed that the respondent was not served with the notice to respond on the prescribed form LC2. The respondent can therefore not be held accountable for failing to use the Form LC2 in its notice to respond. Accordingly both points in </w:t>
      </w:r>
      <w:proofErr w:type="spellStart"/>
      <w:r>
        <w:rPr>
          <w:rFonts w:ascii="Tahoma" w:hAnsi="Tahoma" w:cs="Tahoma"/>
          <w:i/>
          <w:sz w:val="24"/>
          <w:szCs w:val="24"/>
        </w:rPr>
        <w:t>limine</w:t>
      </w:r>
      <w:proofErr w:type="spellEnd"/>
      <w:r>
        <w:rPr>
          <w:rFonts w:ascii="Tahoma" w:hAnsi="Tahoma" w:cs="Tahoma"/>
          <w:i/>
          <w:sz w:val="24"/>
          <w:szCs w:val="24"/>
        </w:rPr>
        <w:t xml:space="preserve"> </w:t>
      </w:r>
      <w:r w:rsidRPr="00506352">
        <w:rPr>
          <w:rFonts w:ascii="Tahoma" w:hAnsi="Tahoma" w:cs="Tahoma"/>
          <w:sz w:val="24"/>
          <w:szCs w:val="24"/>
        </w:rPr>
        <w:t>should be dismissed and the following order is made:</w:t>
      </w:r>
    </w:p>
    <w:p w:rsidR="00506352" w:rsidRDefault="00506352" w:rsidP="00CC006B">
      <w:pPr>
        <w:spacing w:after="0" w:line="360" w:lineRule="auto"/>
        <w:ind w:firstLine="720"/>
        <w:jc w:val="both"/>
        <w:rPr>
          <w:rFonts w:ascii="Tahoma" w:hAnsi="Tahoma" w:cs="Tahoma"/>
          <w:sz w:val="24"/>
          <w:szCs w:val="24"/>
        </w:rPr>
      </w:pPr>
    </w:p>
    <w:p w:rsidR="00506352" w:rsidRDefault="00506352" w:rsidP="009D1034">
      <w:pPr>
        <w:pStyle w:val="ListParagraph"/>
        <w:numPr>
          <w:ilvl w:val="0"/>
          <w:numId w:val="2"/>
        </w:numPr>
        <w:spacing w:after="0" w:line="360" w:lineRule="auto"/>
        <w:jc w:val="both"/>
        <w:rPr>
          <w:rFonts w:ascii="Tahoma" w:hAnsi="Tahoma" w:cs="Tahoma"/>
          <w:sz w:val="24"/>
          <w:szCs w:val="24"/>
        </w:rPr>
      </w:pPr>
      <w:r w:rsidRPr="009D1034">
        <w:rPr>
          <w:rFonts w:ascii="Tahoma" w:hAnsi="Tahoma" w:cs="Tahoma"/>
          <w:sz w:val="24"/>
          <w:szCs w:val="24"/>
        </w:rPr>
        <w:t xml:space="preserve">The points in </w:t>
      </w:r>
      <w:proofErr w:type="spellStart"/>
      <w:r w:rsidRPr="009D1034">
        <w:rPr>
          <w:rFonts w:ascii="Tahoma" w:hAnsi="Tahoma" w:cs="Tahoma"/>
          <w:i/>
          <w:sz w:val="24"/>
          <w:szCs w:val="24"/>
        </w:rPr>
        <w:t>limine</w:t>
      </w:r>
      <w:proofErr w:type="spellEnd"/>
      <w:r w:rsidRPr="009D1034">
        <w:rPr>
          <w:rFonts w:ascii="Tahoma" w:hAnsi="Tahoma" w:cs="Tahoma"/>
          <w:i/>
          <w:sz w:val="24"/>
          <w:szCs w:val="24"/>
        </w:rPr>
        <w:t xml:space="preserve"> </w:t>
      </w:r>
      <w:r w:rsidRPr="009D1034">
        <w:rPr>
          <w:rFonts w:ascii="Tahoma" w:hAnsi="Tahoma" w:cs="Tahoma"/>
          <w:sz w:val="24"/>
          <w:szCs w:val="24"/>
        </w:rPr>
        <w:t>be and are hereby dismissed.</w:t>
      </w:r>
    </w:p>
    <w:p w:rsidR="009D1034" w:rsidRDefault="009D1034" w:rsidP="009D1034">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Registrar is directed to set down the matter to be heard on the merits.</w:t>
      </w:r>
    </w:p>
    <w:p w:rsidR="00506352" w:rsidRPr="009D1034" w:rsidRDefault="00506352" w:rsidP="009D1034">
      <w:pPr>
        <w:pStyle w:val="ListParagraph"/>
        <w:numPr>
          <w:ilvl w:val="0"/>
          <w:numId w:val="2"/>
        </w:numPr>
        <w:spacing w:after="0" w:line="360" w:lineRule="auto"/>
        <w:jc w:val="both"/>
        <w:rPr>
          <w:rFonts w:ascii="Tahoma" w:hAnsi="Tahoma" w:cs="Tahoma"/>
          <w:sz w:val="24"/>
          <w:szCs w:val="24"/>
        </w:rPr>
      </w:pPr>
      <w:r w:rsidRPr="009D1034">
        <w:rPr>
          <w:rFonts w:ascii="Tahoma" w:hAnsi="Tahoma" w:cs="Tahoma"/>
          <w:sz w:val="24"/>
          <w:szCs w:val="24"/>
        </w:rPr>
        <w:t>No order as to costs</w:t>
      </w:r>
    </w:p>
    <w:p w:rsidR="00506352" w:rsidRDefault="00506352" w:rsidP="00CC006B">
      <w:pPr>
        <w:spacing w:after="0" w:line="360" w:lineRule="auto"/>
        <w:ind w:firstLine="720"/>
        <w:jc w:val="both"/>
        <w:rPr>
          <w:rFonts w:ascii="Tahoma" w:hAnsi="Tahoma" w:cs="Tahoma"/>
          <w:sz w:val="24"/>
          <w:szCs w:val="24"/>
        </w:rPr>
      </w:pPr>
    </w:p>
    <w:p w:rsidR="00506352" w:rsidRDefault="00506352" w:rsidP="00CC006B">
      <w:pPr>
        <w:spacing w:after="0" w:line="360" w:lineRule="auto"/>
        <w:ind w:firstLine="720"/>
        <w:jc w:val="both"/>
        <w:rPr>
          <w:rFonts w:ascii="Tahoma" w:hAnsi="Tahoma" w:cs="Tahoma"/>
          <w:sz w:val="24"/>
          <w:szCs w:val="24"/>
        </w:rPr>
      </w:pPr>
    </w:p>
    <w:p w:rsidR="00CC006B" w:rsidRDefault="00CC006B" w:rsidP="00CC006B">
      <w:pPr>
        <w:spacing w:after="0" w:line="360" w:lineRule="auto"/>
        <w:ind w:firstLine="720"/>
        <w:jc w:val="both"/>
        <w:rPr>
          <w:rFonts w:ascii="Tahoma" w:hAnsi="Tahoma" w:cs="Tahoma"/>
          <w:i/>
          <w:sz w:val="24"/>
          <w:szCs w:val="24"/>
        </w:rPr>
      </w:pPr>
    </w:p>
    <w:p w:rsidR="00506352" w:rsidRPr="00CC006B" w:rsidRDefault="00CC006B" w:rsidP="001C0AF0">
      <w:pPr>
        <w:spacing w:after="0" w:line="360" w:lineRule="auto"/>
        <w:jc w:val="both"/>
        <w:rPr>
          <w:rFonts w:ascii="Tahoma" w:hAnsi="Tahoma" w:cs="Tahoma"/>
          <w:b/>
          <w:sz w:val="24"/>
          <w:szCs w:val="24"/>
        </w:rPr>
      </w:pPr>
      <w:proofErr w:type="spellStart"/>
      <w:r w:rsidRPr="00CC006B">
        <w:rPr>
          <w:rFonts w:ascii="Tahoma" w:hAnsi="Tahoma" w:cs="Tahoma"/>
          <w:b/>
          <w:i/>
          <w:sz w:val="24"/>
          <w:szCs w:val="24"/>
        </w:rPr>
        <w:t>Maganga</w:t>
      </w:r>
      <w:proofErr w:type="spellEnd"/>
      <w:r w:rsidRPr="00CC006B">
        <w:rPr>
          <w:rFonts w:ascii="Tahoma" w:hAnsi="Tahoma" w:cs="Tahoma"/>
          <w:b/>
          <w:i/>
          <w:sz w:val="24"/>
          <w:szCs w:val="24"/>
        </w:rPr>
        <w:t xml:space="preserve"> &amp; Company</w:t>
      </w:r>
      <w:r w:rsidRPr="00CC006B">
        <w:rPr>
          <w:rFonts w:ascii="Tahoma" w:hAnsi="Tahoma" w:cs="Tahoma"/>
          <w:b/>
          <w:sz w:val="24"/>
          <w:szCs w:val="24"/>
        </w:rPr>
        <w:t>, appellant’s legal practitioners</w:t>
      </w:r>
    </w:p>
    <w:p w:rsidR="00506352" w:rsidRPr="00506352" w:rsidRDefault="00506352" w:rsidP="00CC006B">
      <w:pPr>
        <w:spacing w:after="0" w:line="360" w:lineRule="auto"/>
        <w:ind w:left="720"/>
        <w:jc w:val="both"/>
        <w:rPr>
          <w:rFonts w:ascii="Tahoma" w:hAnsi="Tahoma" w:cs="Tahoma"/>
          <w:sz w:val="24"/>
          <w:szCs w:val="24"/>
        </w:rPr>
      </w:pPr>
    </w:p>
    <w:p w:rsidR="00506352" w:rsidRPr="00506352" w:rsidRDefault="00506352" w:rsidP="00CC006B">
      <w:pPr>
        <w:spacing w:after="0" w:line="360" w:lineRule="auto"/>
        <w:ind w:left="720"/>
        <w:jc w:val="both"/>
        <w:rPr>
          <w:rFonts w:ascii="Tahoma" w:hAnsi="Tahoma" w:cs="Tahoma"/>
          <w:sz w:val="24"/>
          <w:szCs w:val="24"/>
        </w:rPr>
      </w:pPr>
    </w:p>
    <w:sectPr w:rsidR="00506352" w:rsidRPr="00506352" w:rsidSect="00CC006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972" w:rsidRDefault="00386972" w:rsidP="00CC006B">
      <w:pPr>
        <w:spacing w:after="0" w:line="240" w:lineRule="auto"/>
      </w:pPr>
      <w:r>
        <w:separator/>
      </w:r>
    </w:p>
  </w:endnote>
  <w:endnote w:type="continuationSeparator" w:id="0">
    <w:p w:rsidR="00386972" w:rsidRDefault="00386972" w:rsidP="00CC0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425860"/>
      <w:docPartObj>
        <w:docPartGallery w:val="Page Numbers (Bottom of Page)"/>
        <w:docPartUnique/>
      </w:docPartObj>
    </w:sdtPr>
    <w:sdtEndPr>
      <w:rPr>
        <w:noProof/>
      </w:rPr>
    </w:sdtEndPr>
    <w:sdtContent>
      <w:p w:rsidR="00CC006B" w:rsidRDefault="00CC006B">
        <w:pPr>
          <w:pStyle w:val="Footer"/>
          <w:jc w:val="center"/>
        </w:pPr>
        <w:r>
          <w:fldChar w:fldCharType="begin"/>
        </w:r>
        <w:r>
          <w:instrText xml:space="preserve"> PAGE   \* MERGEFORMAT </w:instrText>
        </w:r>
        <w:r>
          <w:fldChar w:fldCharType="separate"/>
        </w:r>
        <w:r w:rsidR="008D3D3F">
          <w:rPr>
            <w:noProof/>
          </w:rPr>
          <w:t>2</w:t>
        </w:r>
        <w:r>
          <w:rPr>
            <w:noProof/>
          </w:rPr>
          <w:fldChar w:fldCharType="end"/>
        </w:r>
      </w:p>
    </w:sdtContent>
  </w:sdt>
  <w:p w:rsidR="00CC006B" w:rsidRDefault="00CC0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972" w:rsidRDefault="00386972" w:rsidP="00CC006B">
      <w:pPr>
        <w:spacing w:after="0" w:line="240" w:lineRule="auto"/>
      </w:pPr>
      <w:r>
        <w:separator/>
      </w:r>
    </w:p>
  </w:footnote>
  <w:footnote w:type="continuationSeparator" w:id="0">
    <w:p w:rsidR="00386972" w:rsidRDefault="00386972" w:rsidP="00CC0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06B" w:rsidRPr="00CC006B" w:rsidRDefault="00CC006B" w:rsidP="00CC006B">
    <w:pPr>
      <w:spacing w:after="0" w:line="240" w:lineRule="auto"/>
      <w:ind w:left="5040"/>
      <w:rPr>
        <w:rFonts w:ascii="Tahoma" w:hAnsi="Tahoma" w:cs="Tahoma"/>
        <w:b/>
        <w:sz w:val="24"/>
        <w:szCs w:val="24"/>
      </w:rPr>
    </w:pPr>
    <w:r>
      <w:rPr>
        <w:rFonts w:ascii="Tahoma" w:hAnsi="Tahoma" w:cs="Tahoma"/>
        <w:b/>
        <w:sz w:val="24"/>
        <w:szCs w:val="24"/>
      </w:rPr>
      <w:t xml:space="preserve">  </w:t>
    </w:r>
    <w:r w:rsidRPr="00CC006B">
      <w:rPr>
        <w:rFonts w:ascii="Tahoma" w:hAnsi="Tahoma" w:cs="Tahoma"/>
        <w:b/>
        <w:sz w:val="24"/>
        <w:szCs w:val="24"/>
      </w:rPr>
      <w:t>JUDGMENT NO LC/H</w:t>
    </w:r>
    <w:r w:rsidR="008D3D3F">
      <w:rPr>
        <w:rFonts w:ascii="Tahoma" w:hAnsi="Tahoma" w:cs="Tahoma"/>
        <w:b/>
        <w:sz w:val="24"/>
        <w:szCs w:val="24"/>
      </w:rPr>
      <w:t>/514</w:t>
    </w:r>
    <w:r w:rsidRPr="00CC006B">
      <w:rPr>
        <w:rFonts w:ascii="Tahoma" w:hAnsi="Tahoma" w:cs="Tahoma"/>
        <w:b/>
        <w:sz w:val="24"/>
        <w:szCs w:val="24"/>
      </w:rPr>
      <w:t>/2014</w:t>
    </w:r>
  </w:p>
  <w:p w:rsidR="00CC006B" w:rsidRDefault="00CC006B">
    <w:pPr>
      <w:pStyle w:val="Header"/>
    </w:pPr>
  </w:p>
  <w:p w:rsidR="00CC006B" w:rsidRDefault="00CC00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F54E5"/>
    <w:multiLevelType w:val="hybridMultilevel"/>
    <w:tmpl w:val="0772E1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0113112"/>
    <w:multiLevelType w:val="hybridMultilevel"/>
    <w:tmpl w:val="7772DA76"/>
    <w:lvl w:ilvl="0" w:tplc="7A42DC5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896"/>
    <w:rsid w:val="001816C2"/>
    <w:rsid w:val="001B65E6"/>
    <w:rsid w:val="001C0AF0"/>
    <w:rsid w:val="00386972"/>
    <w:rsid w:val="003B1403"/>
    <w:rsid w:val="00427DC7"/>
    <w:rsid w:val="00506352"/>
    <w:rsid w:val="00856F76"/>
    <w:rsid w:val="008D3D3F"/>
    <w:rsid w:val="009D1034"/>
    <w:rsid w:val="00C14EC1"/>
    <w:rsid w:val="00CC006B"/>
    <w:rsid w:val="00E4547A"/>
    <w:rsid w:val="00EA6896"/>
    <w:rsid w:val="00FA6C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5E6"/>
    <w:pPr>
      <w:ind w:left="720"/>
      <w:contextualSpacing/>
    </w:pPr>
  </w:style>
  <w:style w:type="paragraph" w:styleId="Header">
    <w:name w:val="header"/>
    <w:basedOn w:val="Normal"/>
    <w:link w:val="HeaderChar"/>
    <w:uiPriority w:val="99"/>
    <w:unhideWhenUsed/>
    <w:rsid w:val="00CC0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06B"/>
  </w:style>
  <w:style w:type="paragraph" w:styleId="Footer">
    <w:name w:val="footer"/>
    <w:basedOn w:val="Normal"/>
    <w:link w:val="FooterChar"/>
    <w:uiPriority w:val="99"/>
    <w:unhideWhenUsed/>
    <w:rsid w:val="00CC0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06B"/>
  </w:style>
  <w:style w:type="paragraph" w:styleId="BalloonText">
    <w:name w:val="Balloon Text"/>
    <w:basedOn w:val="Normal"/>
    <w:link w:val="BalloonTextChar"/>
    <w:uiPriority w:val="99"/>
    <w:semiHidden/>
    <w:unhideWhenUsed/>
    <w:rsid w:val="00CC0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5E6"/>
    <w:pPr>
      <w:ind w:left="720"/>
      <w:contextualSpacing/>
    </w:pPr>
  </w:style>
  <w:style w:type="paragraph" w:styleId="Header">
    <w:name w:val="header"/>
    <w:basedOn w:val="Normal"/>
    <w:link w:val="HeaderChar"/>
    <w:uiPriority w:val="99"/>
    <w:unhideWhenUsed/>
    <w:rsid w:val="00CC00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06B"/>
  </w:style>
  <w:style w:type="paragraph" w:styleId="Footer">
    <w:name w:val="footer"/>
    <w:basedOn w:val="Normal"/>
    <w:link w:val="FooterChar"/>
    <w:uiPriority w:val="99"/>
    <w:unhideWhenUsed/>
    <w:rsid w:val="00CC00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06B"/>
  </w:style>
  <w:style w:type="paragraph" w:styleId="BalloonText">
    <w:name w:val="Balloon Text"/>
    <w:basedOn w:val="Normal"/>
    <w:link w:val="BalloonTextChar"/>
    <w:uiPriority w:val="99"/>
    <w:semiHidden/>
    <w:unhideWhenUsed/>
    <w:rsid w:val="00CC0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2014-07-25T10:20:00Z</cp:lastPrinted>
  <dcterms:created xsi:type="dcterms:W3CDTF">2014-07-22T10:43:00Z</dcterms:created>
  <dcterms:modified xsi:type="dcterms:W3CDTF">2014-08-04T08:51:00Z</dcterms:modified>
</cp:coreProperties>
</file>