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F6" w:rsidRDefault="00660469">
      <w:pPr>
        <w:pStyle w:val="Heading1"/>
        <w:spacing w:before="82" w:line="360" w:lineRule="auto"/>
        <w:ind w:right="31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67"/>
        </w:rPr>
        <w:t xml:space="preserve"> </w:t>
      </w:r>
      <w:r>
        <w:t>HARARE,</w:t>
      </w:r>
      <w:r>
        <w:rPr>
          <w:spacing w:val="-2"/>
        </w:rPr>
        <w:t xml:space="preserve"> </w:t>
      </w:r>
      <w:r>
        <w:t>22 MAY, 2023</w:t>
      </w:r>
    </w:p>
    <w:p w:rsidR="00982AF6" w:rsidRDefault="00660469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24 AUGUST,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660469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</w:t>
      </w:r>
    </w:p>
    <w:p w:rsidR="00982AF6" w:rsidRDefault="00982AF6">
      <w:pPr>
        <w:pStyle w:val="BodyText"/>
        <w:ind w:left="0"/>
        <w:rPr>
          <w:rFonts w:ascii="Tahoma"/>
          <w:sz w:val="28"/>
        </w:rPr>
      </w:pPr>
    </w:p>
    <w:p w:rsidR="00982AF6" w:rsidRDefault="00660469">
      <w:pPr>
        <w:pStyle w:val="Heading1"/>
        <w:spacing w:before="241"/>
      </w:pPr>
      <w:r>
        <w:t>LILFORD</w:t>
      </w:r>
      <w:r>
        <w:rPr>
          <w:spacing w:val="-4"/>
        </w:rPr>
        <w:t xml:space="preserve"> </w:t>
      </w:r>
      <w:r>
        <w:t>NHANDARA</w:t>
      </w:r>
      <w:r>
        <w:rPr>
          <w:spacing w:val="-4"/>
        </w:rPr>
        <w:t xml:space="preserve"> </w:t>
      </w:r>
      <w:r>
        <w:t>N.O</w:t>
      </w:r>
    </w:p>
    <w:p w:rsidR="00982AF6" w:rsidRDefault="00982AF6">
      <w:pPr>
        <w:pStyle w:val="BodyText"/>
        <w:spacing w:before="1"/>
        <w:ind w:left="0"/>
        <w:rPr>
          <w:rFonts w:ascii="Tahoma"/>
          <w:b/>
          <w:sz w:val="24"/>
        </w:rPr>
      </w:pPr>
    </w:p>
    <w:p w:rsidR="00982AF6" w:rsidRDefault="00660469">
      <w:pPr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:rsidR="00982AF6" w:rsidRDefault="00660469">
      <w:pPr>
        <w:pStyle w:val="Heading1"/>
        <w:spacing w:before="156"/>
      </w:pPr>
      <w:r>
        <w:t>MARANATHA</w:t>
      </w:r>
      <w:r>
        <w:rPr>
          <w:spacing w:val="-6"/>
        </w:rPr>
        <w:t xml:space="preserve"> </w:t>
      </w:r>
      <w:r>
        <w:t>FEROCHROME</w:t>
      </w:r>
      <w:r>
        <w:rPr>
          <w:spacing w:val="-4"/>
        </w:rPr>
        <w:t xml:space="preserve"> </w:t>
      </w:r>
      <w:r>
        <w:t>(PVT)LTD</w:t>
      </w:r>
    </w:p>
    <w:p w:rsidR="00982AF6" w:rsidRDefault="00660469">
      <w:pPr>
        <w:spacing w:before="156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A.</w:t>
      </w:r>
      <w:r>
        <w:rPr>
          <w:rFonts w:ascii="Tahoma"/>
          <w:b/>
          <w:spacing w:val="47"/>
          <w:sz w:val="24"/>
        </w:rPr>
        <w:t xml:space="preserve"> </w:t>
      </w:r>
      <w:r>
        <w:rPr>
          <w:rFonts w:ascii="Tahoma"/>
          <w:b/>
          <w:sz w:val="24"/>
        </w:rPr>
        <w:t>MALUNGA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&amp;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220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OTHERS</w:t>
      </w: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982AF6">
      <w:pPr>
        <w:pStyle w:val="BodyText"/>
        <w:spacing w:before="7"/>
        <w:ind w:left="0"/>
        <w:rPr>
          <w:rFonts w:ascii="Tahoma"/>
          <w:b/>
          <w:sz w:val="21"/>
        </w:rPr>
      </w:pPr>
    </w:p>
    <w:p w:rsidR="00982AF6" w:rsidRDefault="00660469">
      <w:pPr>
        <w:pStyle w:val="Heading1"/>
        <w:spacing w:before="1"/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Honorable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Hove,</w:t>
      </w:r>
      <w:r>
        <w:rPr>
          <w:spacing w:val="-3"/>
        </w:rPr>
        <w:t xml:space="preserve"> </w:t>
      </w:r>
      <w:r>
        <w:t>Judge:</w:t>
      </w:r>
    </w:p>
    <w:p w:rsidR="00982AF6" w:rsidRDefault="00982AF6">
      <w:pPr>
        <w:pStyle w:val="BodyText"/>
        <w:spacing w:before="10"/>
        <w:ind w:left="0"/>
        <w:rPr>
          <w:rFonts w:ascii="Tahoma"/>
          <w:b/>
          <w:sz w:val="37"/>
        </w:rPr>
      </w:pPr>
    </w:p>
    <w:p w:rsidR="00982AF6" w:rsidRDefault="00660469">
      <w:pPr>
        <w:tabs>
          <w:tab w:val="left" w:pos="2323"/>
        </w:tabs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Appellant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4"/>
          <w:sz w:val="24"/>
        </w:rPr>
        <w:t xml:space="preserve"> </w:t>
      </w:r>
      <w:r>
        <w:rPr>
          <w:rFonts w:ascii="Tahoma"/>
          <w:sz w:val="24"/>
        </w:rPr>
        <w:t>In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person</w:t>
      </w:r>
    </w:p>
    <w:p w:rsidR="00982AF6" w:rsidRDefault="00660469">
      <w:pPr>
        <w:tabs>
          <w:tab w:val="left" w:pos="2324"/>
          <w:tab w:val="left" w:pos="2762"/>
        </w:tabs>
        <w:spacing w:before="144" w:line="360" w:lineRule="auto"/>
        <w:ind w:left="100" w:right="574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1</w:t>
      </w:r>
      <w:r>
        <w:rPr>
          <w:rFonts w:ascii="Tahoma"/>
          <w:position w:val="8"/>
          <w:sz w:val="16"/>
        </w:rPr>
        <w:t>st</w:t>
      </w:r>
      <w:r>
        <w:rPr>
          <w:rFonts w:ascii="Tahoma"/>
          <w:spacing w:val="23"/>
          <w:position w:val="8"/>
          <w:sz w:val="16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Mr. S. Bhebhe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2</w:t>
      </w:r>
      <w:r>
        <w:rPr>
          <w:rFonts w:ascii="Tahoma"/>
          <w:position w:val="8"/>
          <w:sz w:val="16"/>
        </w:rPr>
        <w:t>nd</w:t>
      </w:r>
      <w:r>
        <w:rPr>
          <w:rFonts w:ascii="Tahoma"/>
          <w:spacing w:val="24"/>
          <w:position w:val="8"/>
          <w:sz w:val="16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pacing w:val="72"/>
          <w:sz w:val="24"/>
        </w:rPr>
        <w:t xml:space="preserve"> </w:t>
      </w:r>
      <w:r>
        <w:rPr>
          <w:rFonts w:ascii="Tahoma"/>
          <w:sz w:val="24"/>
        </w:rPr>
        <w:t>:</w:t>
      </w:r>
      <w:r>
        <w:rPr>
          <w:rFonts w:ascii="Tahoma"/>
          <w:sz w:val="24"/>
        </w:rPr>
        <w:tab/>
        <w:t>Mr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z w:val="24"/>
        </w:rPr>
        <w:t>.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E.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z w:val="24"/>
        </w:rPr>
        <w:t>Dondo</w:t>
      </w:r>
    </w:p>
    <w:p w:rsidR="00982AF6" w:rsidRDefault="00982AF6">
      <w:pPr>
        <w:pStyle w:val="BodyText"/>
        <w:ind w:left="0"/>
        <w:rPr>
          <w:rFonts w:ascii="Tahoma"/>
          <w:sz w:val="36"/>
        </w:rPr>
      </w:pPr>
    </w:p>
    <w:p w:rsidR="00982AF6" w:rsidRDefault="00660469">
      <w:pPr>
        <w:pStyle w:val="Heading1"/>
      </w:pPr>
      <w:r>
        <w:t>HOVE</w:t>
      </w:r>
      <w:r>
        <w:rPr>
          <w:spacing w:val="-3"/>
        </w:rPr>
        <w:t xml:space="preserve"> </w:t>
      </w:r>
      <w:r>
        <w:t>J:</w:t>
      </w:r>
    </w:p>
    <w:p w:rsidR="00982AF6" w:rsidRDefault="00660469">
      <w:pPr>
        <w:spacing w:before="80" w:line="360" w:lineRule="auto"/>
        <w:ind w:left="171" w:right="278" w:hanging="71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 NO. LC/H/239/23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LC/H/1118/22</w:t>
      </w: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982AF6">
      <w:pPr>
        <w:pStyle w:val="BodyText"/>
        <w:spacing w:before="1"/>
        <w:ind w:left="0"/>
        <w:rPr>
          <w:rFonts w:ascii="Tahoma"/>
          <w:b/>
          <w:sz w:val="32"/>
        </w:rPr>
      </w:pPr>
    </w:p>
    <w:p w:rsidR="00982AF6" w:rsidRDefault="00660469">
      <w:pPr>
        <w:pStyle w:val="Heading1"/>
        <w:ind w:left="940"/>
      </w:pPr>
      <w:r>
        <w:t>Appellant</w:t>
      </w: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982AF6">
      <w:pPr>
        <w:pStyle w:val="BodyText"/>
        <w:ind w:left="0"/>
        <w:rPr>
          <w:rFonts w:ascii="Tahoma"/>
          <w:b/>
          <w:sz w:val="28"/>
        </w:rPr>
      </w:pPr>
    </w:p>
    <w:p w:rsidR="00982AF6" w:rsidRDefault="00660469">
      <w:pPr>
        <w:spacing w:before="194"/>
        <w:ind w:left="1026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1</w:t>
      </w:r>
      <w:r>
        <w:rPr>
          <w:rFonts w:ascii="Tahoma"/>
          <w:b/>
          <w:position w:val="8"/>
          <w:sz w:val="16"/>
        </w:rPr>
        <w:t>ST</w:t>
      </w:r>
      <w:r>
        <w:rPr>
          <w:rFonts w:ascii="Tahoma"/>
          <w:b/>
          <w:spacing w:val="41"/>
          <w:position w:val="8"/>
          <w:sz w:val="16"/>
        </w:rPr>
        <w:t xml:space="preserve"> </w:t>
      </w:r>
      <w:r>
        <w:rPr>
          <w:rFonts w:ascii="Tahoma"/>
          <w:b/>
          <w:sz w:val="24"/>
        </w:rPr>
        <w:t>Respondent</w:t>
      </w:r>
    </w:p>
    <w:p w:rsidR="00982AF6" w:rsidRDefault="00660469">
      <w:pPr>
        <w:pStyle w:val="Heading1"/>
        <w:spacing w:before="22"/>
        <w:ind w:left="1007"/>
      </w:pPr>
      <w:r>
        <w:t>2</w:t>
      </w:r>
      <w:r>
        <w:rPr>
          <w:position w:val="8"/>
          <w:sz w:val="16"/>
        </w:rPr>
        <w:t>ND</w:t>
      </w:r>
      <w:r>
        <w:rPr>
          <w:spacing w:val="17"/>
          <w:position w:val="8"/>
          <w:sz w:val="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221</w:t>
      </w:r>
      <w:r>
        <w:rPr>
          <w:spacing w:val="-8"/>
        </w:rPr>
        <w:t xml:space="preserve"> </w:t>
      </w:r>
      <w:r>
        <w:t>Respondents</w:t>
      </w:r>
    </w:p>
    <w:p w:rsidR="00982AF6" w:rsidRDefault="00982AF6">
      <w:pPr>
        <w:sectPr w:rsidR="00982AF6">
          <w:footerReference w:type="default" r:id="rId7"/>
          <w:type w:val="continuous"/>
          <w:pgSz w:w="11910" w:h="16840"/>
          <w:pgMar w:top="1340" w:right="1320" w:bottom="1180" w:left="1340" w:header="720" w:footer="992" w:gutter="0"/>
          <w:pgNumType w:start="1"/>
          <w:cols w:num="2" w:space="720" w:equalWidth="0">
            <w:col w:w="4806" w:space="448"/>
            <w:col w:w="3996"/>
          </w:cols>
        </w:sectPr>
      </w:pPr>
    </w:p>
    <w:p w:rsidR="00982AF6" w:rsidRDefault="00982AF6">
      <w:pPr>
        <w:pStyle w:val="BodyText"/>
        <w:ind w:left="0"/>
        <w:rPr>
          <w:rFonts w:ascii="Tahoma"/>
          <w:b/>
          <w:sz w:val="20"/>
        </w:rPr>
      </w:pPr>
    </w:p>
    <w:p w:rsidR="00982AF6" w:rsidRDefault="00982AF6">
      <w:pPr>
        <w:pStyle w:val="BodyText"/>
        <w:spacing w:before="8"/>
        <w:ind w:left="0"/>
        <w:rPr>
          <w:rFonts w:ascii="Tahoma"/>
          <w:b/>
          <w:sz w:val="24"/>
        </w:rPr>
      </w:pPr>
    </w:p>
    <w:p w:rsidR="00982AF6" w:rsidRDefault="00660469">
      <w:pPr>
        <w:pStyle w:val="BodyText"/>
        <w:spacing w:before="57" w:line="256" w:lineRule="auto"/>
        <w:ind w:right="247"/>
      </w:pPr>
      <w:r>
        <w:t>This is an application for the confirmation of a draft ruling by the applicant in terms of Section 93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 Act</w:t>
      </w:r>
      <w:r>
        <w:rPr>
          <w:spacing w:val="-2"/>
        </w:rPr>
        <w:t xml:space="preserve"> </w:t>
      </w:r>
      <w:r>
        <w:t>[ Chapter</w:t>
      </w:r>
      <w:r>
        <w:rPr>
          <w:spacing w:val="-3"/>
        </w:rPr>
        <w:t xml:space="preserve"> </w:t>
      </w:r>
      <w:r>
        <w:t>28:01] (the Act).</w:t>
      </w:r>
    </w:p>
    <w:p w:rsidR="00982AF6" w:rsidRDefault="00660469">
      <w:pPr>
        <w:pStyle w:val="BodyText"/>
        <w:spacing w:before="164" w:line="259" w:lineRule="auto"/>
        <w:ind w:right="390"/>
      </w:pPr>
      <w:r>
        <w:t xml:space="preserve">The applicant in casu presided over the quantification </w:t>
      </w:r>
      <w:r>
        <w:t>of amounts claimed by the employees from</w:t>
      </w:r>
      <w:r>
        <w:rPr>
          <w:spacing w:val="-4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employer,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responded.</w:t>
      </w:r>
    </w:p>
    <w:p w:rsidR="00982AF6" w:rsidRDefault="00660469">
      <w:pPr>
        <w:pStyle w:val="BodyText"/>
        <w:spacing w:before="159" w:line="259" w:lineRule="auto"/>
        <w:ind w:right="753"/>
      </w:pPr>
      <w:r>
        <w:t>At the hearing of the quantification process, the employer raised preliminary issues and these</w:t>
      </w:r>
      <w:r>
        <w:rPr>
          <w:spacing w:val="-47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</w:p>
    <w:p w:rsidR="00982AF6" w:rsidRDefault="00660469">
      <w:pPr>
        <w:pStyle w:val="ListParagraph"/>
        <w:numPr>
          <w:ilvl w:val="0"/>
          <w:numId w:val="1"/>
        </w:numPr>
        <w:tabs>
          <w:tab w:val="left" w:pos="821"/>
        </w:tabs>
        <w:spacing w:before="160"/>
        <w:ind w:hanging="361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221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 court.</w:t>
      </w:r>
    </w:p>
    <w:p w:rsidR="00982AF6" w:rsidRDefault="00660469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Whether</w:t>
      </w:r>
      <w:r>
        <w:rPr>
          <w:spacing w:val="-2"/>
        </w:rPr>
        <w:t xml:space="preserve"> </w:t>
      </w:r>
      <w:r>
        <w:t>or 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prescribed.</w:t>
      </w:r>
    </w:p>
    <w:p w:rsidR="00982AF6" w:rsidRDefault="00660469">
      <w:pPr>
        <w:pStyle w:val="BodyText"/>
        <w:spacing w:before="180" w:line="259" w:lineRule="auto"/>
        <w:ind w:right="123"/>
      </w:pPr>
      <w:r>
        <w:t>The first preliminary point raised was abandoned at the appeal stage. The 1</w:t>
      </w:r>
      <w:r>
        <w:rPr>
          <w:vertAlign w:val="superscript"/>
        </w:rPr>
        <w:t>st</w:t>
      </w:r>
      <w:r>
        <w:t xml:space="preserve"> respondent was not</w:t>
      </w:r>
      <w:r>
        <w:rPr>
          <w:spacing w:val="1"/>
        </w:rPr>
        <w:t xml:space="preserve"> </w:t>
      </w:r>
      <w:r>
        <w:t>going to persist with it in view of the supreme court decision in Mapondera &amp; a</w:t>
      </w:r>
      <w:r>
        <w:t>nor</w:t>
      </w:r>
      <w:r>
        <w:rPr>
          <w:spacing w:val="1"/>
        </w:rPr>
        <w:t xml:space="preserve"> </w:t>
      </w:r>
      <w:r>
        <w:t>v Freda Rebecca</w:t>
      </w:r>
      <w:r>
        <w:rPr>
          <w:spacing w:val="-47"/>
        </w:rPr>
        <w:t xml:space="preserve"> </w:t>
      </w:r>
      <w:r>
        <w:t>Gold</w:t>
      </w:r>
      <w:r>
        <w:rPr>
          <w:spacing w:val="-3"/>
        </w:rPr>
        <w:t xml:space="preserve"> </w:t>
      </w:r>
      <w:r>
        <w:t>Mine</w:t>
      </w:r>
      <w:r>
        <w:rPr>
          <w:spacing w:val="1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81/22.</w:t>
      </w:r>
    </w:p>
    <w:p w:rsidR="00982AF6" w:rsidRDefault="00660469">
      <w:pPr>
        <w:pStyle w:val="BodyText"/>
        <w:spacing w:before="160" w:line="259" w:lineRule="auto"/>
        <w:ind w:right="247"/>
      </w:pPr>
      <w:r>
        <w:t>The 1</w:t>
      </w:r>
      <w:r>
        <w:rPr>
          <w:vertAlign w:val="superscript"/>
        </w:rPr>
        <w:t>st</w:t>
      </w:r>
      <w:r>
        <w:t xml:space="preserve"> respondent however persisted with the other</w:t>
      </w:r>
      <w:r>
        <w:rPr>
          <w:spacing w:val="1"/>
        </w:rPr>
        <w:t xml:space="preserve"> </w:t>
      </w:r>
      <w:r>
        <w:t>point in limine that the claims had prescribed</w:t>
      </w:r>
      <w:r>
        <w:rPr>
          <w:spacing w:val="-47"/>
        </w:rPr>
        <w:t xml:space="preserve"> </w:t>
      </w:r>
      <w:r>
        <w:t>the 1</w:t>
      </w:r>
      <w:r>
        <w:rPr>
          <w:vertAlign w:val="superscript"/>
        </w:rPr>
        <w:t>st</w:t>
      </w:r>
      <w:r>
        <w:t xml:space="preserve"> respondent argued further that the 2</w:t>
      </w:r>
      <w:r>
        <w:rPr>
          <w:vertAlign w:val="superscript"/>
        </w:rPr>
        <w:t>nd</w:t>
      </w:r>
      <w:r>
        <w:t xml:space="preserve"> to 221</w:t>
      </w:r>
      <w:r>
        <w:rPr>
          <w:vertAlign w:val="superscript"/>
        </w:rPr>
        <w:t>st</w:t>
      </w:r>
      <w:r>
        <w:t xml:space="preserve"> respondent’s heads of arguments should be</w:t>
      </w:r>
      <w:r>
        <w:rPr>
          <w:spacing w:val="1"/>
        </w:rPr>
        <w:t xml:space="preserve"> </w:t>
      </w:r>
      <w:r>
        <w:t>expunged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record</w:t>
      </w:r>
      <w:r>
        <w:rPr>
          <w:spacing w:val="-6"/>
        </w:rPr>
        <w:t xml:space="preserve"> </w:t>
      </w:r>
      <w:r>
        <w:t>as they had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improperly</w:t>
      </w:r>
      <w:r>
        <w:rPr>
          <w:spacing w:val="2"/>
        </w:rPr>
        <w:t xml:space="preserve"> </w:t>
      </w:r>
      <w:r>
        <w:t>filed.</w:t>
      </w:r>
    </w:p>
    <w:p w:rsidR="00982AF6" w:rsidRDefault="00982AF6">
      <w:pPr>
        <w:spacing w:line="259" w:lineRule="auto"/>
        <w:sectPr w:rsidR="00982AF6">
          <w:type w:val="continuous"/>
          <w:pgSz w:w="11910" w:h="16840"/>
          <w:pgMar w:top="1340" w:right="1320" w:bottom="1180" w:left="1340" w:header="720" w:footer="720" w:gutter="0"/>
          <w:cols w:space="720"/>
        </w:sectPr>
      </w:pPr>
    </w:p>
    <w:p w:rsidR="00982AF6" w:rsidRDefault="00660469">
      <w:pPr>
        <w:pStyle w:val="BodyText"/>
        <w:spacing w:before="41" w:line="259" w:lineRule="auto"/>
        <w:ind w:right="123"/>
      </w:pPr>
      <w:r>
        <w:lastRenderedPageBreak/>
        <w:t>The rules of court do not provide for the filing of heads of arguments prior to the filing of the notice</w:t>
      </w:r>
      <w:r>
        <w:rPr>
          <w:spacing w:val="1"/>
        </w:rPr>
        <w:t xml:space="preserve"> </w:t>
      </w:r>
      <w:r>
        <w:t>of response. The heads were not premised on any pleadings. Heads of argument are filed to support</w:t>
      </w:r>
      <w:r>
        <w:rPr>
          <w:spacing w:val="1"/>
        </w:rPr>
        <w:t xml:space="preserve"> </w:t>
      </w:r>
      <w:r>
        <w:t>arguments made in pleadings. The heads of arguments were not filed in terms of the rules. They are</w:t>
      </w:r>
      <w:r>
        <w:rPr>
          <w:spacing w:val="1"/>
        </w:rPr>
        <w:t xml:space="preserve"> </w:t>
      </w:r>
      <w:r>
        <w:t>improperly before the court. The 2</w:t>
      </w:r>
      <w:r>
        <w:rPr>
          <w:vertAlign w:val="superscript"/>
        </w:rPr>
        <w:t>nd</w:t>
      </w:r>
      <w:r>
        <w:t xml:space="preserve"> to the 221</w:t>
      </w:r>
      <w:r>
        <w:rPr>
          <w:vertAlign w:val="superscript"/>
        </w:rPr>
        <w:t>st</w:t>
      </w:r>
      <w:r>
        <w:t xml:space="preserve"> responden</w:t>
      </w:r>
      <w:r>
        <w:t>ts should have, prior to these</w:t>
      </w:r>
      <w:r>
        <w:rPr>
          <w:spacing w:val="1"/>
        </w:rPr>
        <w:t xml:space="preserve"> </w:t>
      </w:r>
      <w:r>
        <w:t>proceedings being argued in court, sought to regularize the irregularity by way of an application to</w:t>
      </w:r>
      <w:r>
        <w:rPr>
          <w:spacing w:val="1"/>
        </w:rPr>
        <w:t xml:space="preserve"> </w:t>
      </w:r>
      <w:r>
        <w:t>the court. They did not. Their heads of arguments remained irregular for they were not filed in terms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15(6)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</w:t>
      </w:r>
      <w:r>
        <w:t>abour</w:t>
      </w:r>
      <w:r>
        <w:rPr>
          <w:spacing w:val="-3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Rules,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t>expunged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record.</w:t>
      </w:r>
    </w:p>
    <w:p w:rsidR="00982AF6" w:rsidRDefault="00660469">
      <w:pPr>
        <w:pStyle w:val="BodyText"/>
        <w:spacing w:before="159" w:line="259" w:lineRule="auto"/>
        <w:ind w:right="146"/>
      </w:pPr>
      <w:r>
        <w:t>The 1</w:t>
      </w:r>
      <w:r>
        <w:rPr>
          <w:vertAlign w:val="superscript"/>
        </w:rPr>
        <w:t>st</w:t>
      </w:r>
      <w:r>
        <w:t xml:space="preserve"> respondent argued and drew the court’s attention to the fact that the applicant failed to deal</w:t>
      </w:r>
      <w:r>
        <w:rPr>
          <w:spacing w:val="-47"/>
        </w:rPr>
        <w:t xml:space="preserve"> </w:t>
      </w:r>
      <w:r>
        <w:t>with the preliminary point raised before him that the arbitrary award which formed the basi</w:t>
      </w:r>
      <w:r>
        <w:t>s of the</w:t>
      </w:r>
      <w:r>
        <w:rPr>
          <w:spacing w:val="1"/>
        </w:rPr>
        <w:t xml:space="preserve"> </w:t>
      </w:r>
      <w:r>
        <w:t>application for quantification had prescribed. This was an issue that had been placed before him and</w:t>
      </w:r>
      <w:r>
        <w:rPr>
          <w:spacing w:val="-47"/>
        </w:rPr>
        <w:t xml:space="preserve"> </w:t>
      </w:r>
      <w:r>
        <w:t>he was mandated to deal with the issue first before delving in to the merits of the quantification</w:t>
      </w:r>
      <w:r>
        <w:rPr>
          <w:spacing w:val="1"/>
        </w:rPr>
        <w:t xml:space="preserve"> </w:t>
      </w:r>
      <w:r>
        <w:t>proceedings.</w:t>
      </w:r>
    </w:p>
    <w:p w:rsidR="00982AF6" w:rsidRDefault="00660469">
      <w:pPr>
        <w:pStyle w:val="BodyText"/>
        <w:spacing w:before="158" w:line="259" w:lineRule="auto"/>
        <w:ind w:right="423"/>
      </w:pPr>
      <w:r>
        <w:t xml:space="preserve">The court must therefore consider </w:t>
      </w:r>
      <w:r>
        <w:t>the alleged failure by the applicant to consider the preliminary</w:t>
      </w:r>
      <w:r>
        <w:rPr>
          <w:spacing w:val="-47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respondent.</w:t>
      </w:r>
    </w:p>
    <w:p w:rsidR="00982AF6" w:rsidRDefault="00660469">
      <w:pPr>
        <w:pStyle w:val="BodyText"/>
        <w:spacing w:before="161" w:line="259" w:lineRule="auto"/>
        <w:ind w:right="116"/>
      </w:pPr>
      <w:r>
        <w:t>The 1</w:t>
      </w:r>
      <w:r>
        <w:rPr>
          <w:vertAlign w:val="superscript"/>
        </w:rPr>
        <w:t>st</w:t>
      </w:r>
      <w:r>
        <w:t xml:space="preserve"> respondent argues that a perusal of the applicant’s draft ruling will show that the applicant</w:t>
      </w:r>
      <w:r>
        <w:rPr>
          <w:spacing w:val="1"/>
        </w:rPr>
        <w:t xml:space="preserve"> </w:t>
      </w:r>
      <w:r>
        <w:t>did not consider the two preliminary issues that were raised. (the 1</w:t>
      </w:r>
      <w:r>
        <w:rPr>
          <w:vertAlign w:val="superscript"/>
        </w:rPr>
        <w:t>st</w:t>
      </w:r>
      <w:r>
        <w:t xml:space="preserve"> respondent has since</w:t>
      </w:r>
      <w:r>
        <w:rPr>
          <w:spacing w:val="1"/>
        </w:rPr>
        <w:t xml:space="preserve"> </w:t>
      </w:r>
      <w:r>
        <w:t>abandoned the question of whether or not the 3</w:t>
      </w:r>
      <w:r>
        <w:rPr>
          <w:vertAlign w:val="superscript"/>
        </w:rPr>
        <w:t>rd</w:t>
      </w:r>
      <w:r>
        <w:t xml:space="preserve"> to the 221</w:t>
      </w:r>
      <w:r>
        <w:rPr>
          <w:vertAlign w:val="superscript"/>
        </w:rPr>
        <w:t>st</w:t>
      </w:r>
      <w:r>
        <w:t xml:space="preserve"> respondents were properly before the</w:t>
      </w:r>
      <w:r>
        <w:rPr>
          <w:spacing w:val="-47"/>
        </w:rPr>
        <w:t xml:space="preserve"> </w:t>
      </w:r>
      <w:r>
        <w:t>court.)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thus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preliminary</w:t>
      </w:r>
      <w:r>
        <w:rPr>
          <w:spacing w:val="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in conne</w:t>
      </w:r>
      <w:r>
        <w:t>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 argument.</w:t>
      </w:r>
    </w:p>
    <w:p w:rsidR="00982AF6" w:rsidRDefault="00660469">
      <w:pPr>
        <w:pStyle w:val="BodyText"/>
        <w:spacing w:before="158" w:line="259" w:lineRule="auto"/>
        <w:ind w:right="300"/>
      </w:pPr>
      <w:r>
        <w:t>The 1</w:t>
      </w:r>
      <w:r>
        <w:rPr>
          <w:vertAlign w:val="superscript"/>
        </w:rPr>
        <w:t>st</w:t>
      </w:r>
      <w:r>
        <w:t xml:space="preserve"> respondent submitted that once a preliminary issue has been raised, it must be considered</w:t>
      </w:r>
      <w:r>
        <w:rPr>
          <w:spacing w:val="1"/>
        </w:rPr>
        <w:t xml:space="preserve"> </w:t>
      </w:r>
      <w:r>
        <w:t>and disposed of before deciding the merits of the dispute. The disposition of the issue cannot be</w:t>
      </w:r>
      <w:r>
        <w:rPr>
          <w:spacing w:val="1"/>
        </w:rPr>
        <w:t xml:space="preserve"> </w:t>
      </w:r>
      <w:r>
        <w:t xml:space="preserve">implied and must be expressly and </w:t>
      </w:r>
      <w:r>
        <w:t>explicitly addressed. A failure to do so vitiates the proceedings,</w:t>
      </w:r>
      <w:r>
        <w:rPr>
          <w:spacing w:val="1"/>
        </w:rPr>
        <w:t xml:space="preserve"> </w:t>
      </w:r>
      <w:r>
        <w:t>breaches natural justice and invalidates any outcome of those proceedings. In support of this</w:t>
      </w:r>
      <w:r>
        <w:rPr>
          <w:spacing w:val="1"/>
        </w:rPr>
        <w:t xml:space="preserve"> </w:t>
      </w:r>
      <w:r>
        <w:t>submission, the 1</w:t>
      </w:r>
      <w:r>
        <w:rPr>
          <w:vertAlign w:val="superscript"/>
        </w:rPr>
        <w:t>st</w:t>
      </w:r>
      <w:r>
        <w:t xml:space="preserve"> respondent referred the court to several court decisions. Firstly, referenc</w:t>
      </w:r>
      <w:r>
        <w:t>e was</w:t>
      </w:r>
      <w:r>
        <w:rPr>
          <w:spacing w:val="1"/>
        </w:rPr>
        <w:t xml:space="preserve"> </w:t>
      </w:r>
      <w:r>
        <w:t xml:space="preserve">made to the case of </w:t>
      </w:r>
      <w:r>
        <w:rPr>
          <w:b/>
        </w:rPr>
        <w:t>Chartpril Enterprise (pvt) Ltd and ors v Elnour United Engineering group (pvt)</w:t>
      </w:r>
      <w:r>
        <w:rPr>
          <w:b/>
          <w:spacing w:val="-47"/>
        </w:rPr>
        <w:t xml:space="preserve"> </w:t>
      </w:r>
      <w:r>
        <w:rPr>
          <w:b/>
        </w:rPr>
        <w:t>Ltd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anor HH 602/21</w:t>
      </w:r>
      <w:r>
        <w:rPr>
          <w:b/>
          <w:spacing w:val="-1"/>
        </w:rPr>
        <w:t xml:space="preserve"> </w:t>
      </w:r>
      <w:r>
        <w:t>the court stated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:rsidR="00982AF6" w:rsidRDefault="00660469">
      <w:pPr>
        <w:spacing w:before="159" w:line="259" w:lineRule="auto"/>
        <w:ind w:left="820" w:right="115"/>
        <w:rPr>
          <w:i/>
        </w:rPr>
      </w:pPr>
      <w:r>
        <w:rPr>
          <w:i/>
        </w:rPr>
        <w:t>“he has a duty to decide all the challenges and issues raised before him unless disposal of one</w:t>
      </w:r>
      <w:r>
        <w:rPr>
          <w:i/>
          <w:spacing w:val="-47"/>
        </w:rPr>
        <w:t xml:space="preserve"> </w:t>
      </w:r>
      <w:r>
        <w:rPr>
          <w:i/>
        </w:rPr>
        <w:t>issue disposes of a claim rendering it unnecessary to decide all the issues raised. The</w:t>
      </w:r>
      <w:r>
        <w:rPr>
          <w:i/>
          <w:spacing w:val="1"/>
        </w:rPr>
        <w:t xml:space="preserve"> </w:t>
      </w:r>
      <w:r>
        <w:rPr>
          <w:i/>
        </w:rPr>
        <w:t>arbitrator</w:t>
      </w:r>
      <w:r>
        <w:rPr>
          <w:i/>
          <w:spacing w:val="5"/>
        </w:rPr>
        <w:t xml:space="preserve"> </w:t>
      </w:r>
      <w:r>
        <w:rPr>
          <w:i/>
        </w:rPr>
        <w:t>committed</w:t>
      </w:r>
      <w:r>
        <w:rPr>
          <w:i/>
          <w:spacing w:val="4"/>
        </w:rPr>
        <w:t xml:space="preserve"> </w:t>
      </w:r>
      <w:r>
        <w:rPr>
          <w:i/>
        </w:rPr>
        <w:t>a</w:t>
      </w:r>
      <w:r>
        <w:rPr>
          <w:i/>
          <w:spacing w:val="3"/>
        </w:rPr>
        <w:t xml:space="preserve"> </w:t>
      </w:r>
      <w:r>
        <w:rPr>
          <w:i/>
        </w:rPr>
        <w:t>procedural</w:t>
      </w:r>
      <w:r>
        <w:rPr>
          <w:i/>
          <w:spacing w:val="4"/>
        </w:rPr>
        <w:t xml:space="preserve"> </w:t>
      </w:r>
      <w:r>
        <w:rPr>
          <w:i/>
        </w:rPr>
        <w:t>irregularity…</w:t>
      </w:r>
      <w:r>
        <w:rPr>
          <w:i/>
          <w:spacing w:val="1"/>
        </w:rPr>
        <w:t xml:space="preserve"> </w:t>
      </w:r>
      <w:r>
        <w:rPr>
          <w:i/>
        </w:rPr>
        <w:t>thereby</w:t>
      </w:r>
      <w:r>
        <w:rPr>
          <w:i/>
          <w:spacing w:val="4"/>
        </w:rPr>
        <w:t xml:space="preserve"> </w:t>
      </w:r>
      <w:r>
        <w:rPr>
          <w:i/>
        </w:rPr>
        <w:t>deviating</w:t>
      </w:r>
      <w:r>
        <w:rPr>
          <w:i/>
          <w:spacing w:val="5"/>
        </w:rPr>
        <w:t xml:space="preserve"> </w:t>
      </w:r>
      <w:r>
        <w:rPr>
          <w:i/>
        </w:rPr>
        <w:t>from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4"/>
        </w:rPr>
        <w:t xml:space="preserve"> </w:t>
      </w:r>
      <w:r>
        <w:rPr>
          <w:i/>
        </w:rPr>
        <w:t>basic</w:t>
      </w:r>
      <w:r>
        <w:rPr>
          <w:i/>
          <w:spacing w:val="1"/>
        </w:rPr>
        <w:t xml:space="preserve"> </w:t>
      </w:r>
      <w:r>
        <w:rPr>
          <w:i/>
        </w:rPr>
        <w:t>principles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procedural law</w:t>
      </w:r>
      <w:r>
        <w:rPr>
          <w:i/>
          <w:spacing w:val="-3"/>
        </w:rPr>
        <w:t xml:space="preserve"> </w:t>
      </w:r>
      <w:r>
        <w:rPr>
          <w:i/>
        </w:rPr>
        <w:t>resulting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grave</w:t>
      </w:r>
      <w:r>
        <w:rPr>
          <w:i/>
          <w:spacing w:val="-2"/>
        </w:rPr>
        <w:t xml:space="preserve"> </w:t>
      </w:r>
      <w:r>
        <w:rPr>
          <w:i/>
        </w:rPr>
        <w:t>miscarriage of justice, the</w:t>
      </w:r>
      <w:r>
        <w:rPr>
          <w:i/>
          <w:spacing w:val="-4"/>
        </w:rPr>
        <w:t xml:space="preserve"> </w:t>
      </w:r>
      <w:r>
        <w:rPr>
          <w:i/>
        </w:rPr>
        <w:t>award</w:t>
      </w:r>
      <w:r>
        <w:rPr>
          <w:i/>
          <w:spacing w:val="-3"/>
        </w:rPr>
        <w:t xml:space="preserve"> </w:t>
      </w:r>
      <w:r>
        <w:rPr>
          <w:i/>
        </w:rPr>
        <w:t>wil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set</w:t>
      </w:r>
      <w:r>
        <w:rPr>
          <w:i/>
          <w:spacing w:val="-4"/>
        </w:rPr>
        <w:t xml:space="preserve"> </w:t>
      </w:r>
      <w:r>
        <w:rPr>
          <w:i/>
        </w:rPr>
        <w:t>aside…”</w:t>
      </w:r>
    </w:p>
    <w:p w:rsidR="00982AF6" w:rsidRDefault="00660469">
      <w:pPr>
        <w:pStyle w:val="BodyText"/>
        <w:spacing w:before="160"/>
      </w:pP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proceeded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observation.</w:t>
      </w:r>
    </w:p>
    <w:p w:rsidR="00982AF6" w:rsidRDefault="00660469">
      <w:pPr>
        <w:spacing w:before="180" w:line="259" w:lineRule="auto"/>
        <w:ind w:left="820" w:right="121"/>
        <w:rPr>
          <w:i/>
        </w:rPr>
      </w:pPr>
      <w:r>
        <w:rPr>
          <w:i/>
        </w:rPr>
        <w:t>“whilst arbitration proceedings are by their nature informal, the approach is that the conduct</w:t>
      </w:r>
      <w:r>
        <w:rPr>
          <w:i/>
          <w:spacing w:val="-47"/>
        </w:rPr>
        <w:t xml:space="preserve"> </w:t>
      </w:r>
      <w:r>
        <w:rPr>
          <w:i/>
        </w:rPr>
        <w:t>of arbitration proceedings must follow due process of law. The proceedings ought to be</w:t>
      </w:r>
      <w:r>
        <w:rPr>
          <w:i/>
          <w:spacing w:val="1"/>
        </w:rPr>
        <w:t xml:space="preserve"> </w:t>
      </w:r>
      <w:r>
        <w:rPr>
          <w:i/>
        </w:rPr>
        <w:t>guided by basic principles of procedural law in such a way that the proceedings are fair and</w:t>
      </w:r>
      <w:r>
        <w:rPr>
          <w:i/>
          <w:spacing w:val="1"/>
        </w:rPr>
        <w:t xml:space="preserve"> </w:t>
      </w:r>
      <w:r>
        <w:rPr>
          <w:i/>
        </w:rPr>
        <w:t>just. …parties (must be ) afforded an opportunity to be heard and a ruling or decision</w:t>
      </w:r>
      <w:r>
        <w:rPr>
          <w:i/>
          <w:spacing w:val="1"/>
        </w:rPr>
        <w:t xml:space="preserve"> </w:t>
      </w:r>
      <w:r>
        <w:rPr>
          <w:i/>
        </w:rPr>
        <w:t>rendered…”</w:t>
      </w:r>
    </w:p>
    <w:p w:rsidR="00982AF6" w:rsidRDefault="00660469">
      <w:pPr>
        <w:spacing w:before="161" w:line="259" w:lineRule="auto"/>
        <w:ind w:left="100" w:right="181"/>
      </w:pPr>
      <w:r>
        <w:t xml:space="preserve">See also </w:t>
      </w:r>
      <w:r>
        <w:rPr>
          <w:b/>
        </w:rPr>
        <w:t>Gwaradzimba v C.J Petron and Company SC 12/16, S v Makaw</w:t>
      </w:r>
      <w:r>
        <w:rPr>
          <w:b/>
        </w:rPr>
        <w:t>a and anor 1991 (1) ZLR 142</w:t>
      </w:r>
      <w:r>
        <w:rPr>
          <w:b/>
          <w:spacing w:val="-47"/>
        </w:rPr>
        <w:t xml:space="preserve"> </w:t>
      </w:r>
      <w:r>
        <w:rPr>
          <w:b/>
        </w:rPr>
        <w:t xml:space="preserve">(SC), and Heywood Investments (Pvt) Ltd v Zakeyo 2013 (2) ZLR (S) </w:t>
      </w:r>
      <w:r>
        <w:t>where the court stated as</w:t>
      </w:r>
      <w:r>
        <w:rPr>
          <w:spacing w:val="1"/>
        </w:rPr>
        <w:t xml:space="preserve"> </w:t>
      </w:r>
      <w:r>
        <w:t>follows;</w:t>
      </w:r>
    </w:p>
    <w:p w:rsidR="00982AF6" w:rsidRDefault="00660469">
      <w:pPr>
        <w:spacing w:before="159" w:line="259" w:lineRule="auto"/>
        <w:ind w:left="820" w:right="219"/>
        <w:rPr>
          <w:i/>
        </w:rPr>
      </w:pPr>
      <w:r>
        <w:rPr>
          <w:i/>
        </w:rPr>
        <w:t>“it is incumbent upon a court before which an application is made to determine it. A court</w:t>
      </w:r>
      <w:r>
        <w:rPr>
          <w:i/>
          <w:spacing w:val="1"/>
        </w:rPr>
        <w:t xml:space="preserve"> </w:t>
      </w:r>
      <w:r>
        <w:rPr>
          <w:i/>
        </w:rPr>
        <w:t>before which an interlocutory applic</w:t>
      </w:r>
      <w:r>
        <w:rPr>
          <w:i/>
        </w:rPr>
        <w:t>ation has been made should not proceed to determine a</w:t>
      </w:r>
      <w:r>
        <w:rPr>
          <w:i/>
          <w:spacing w:val="-47"/>
        </w:rPr>
        <w:t xml:space="preserve"> </w:t>
      </w:r>
      <w:r>
        <w:rPr>
          <w:i/>
        </w:rPr>
        <w:t>matter on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merits without</w:t>
      </w:r>
      <w:r>
        <w:rPr>
          <w:i/>
          <w:spacing w:val="-1"/>
        </w:rPr>
        <w:t xml:space="preserve"> </w:t>
      </w:r>
      <w:r>
        <w:rPr>
          <w:i/>
        </w:rPr>
        <w:t>first</w:t>
      </w:r>
      <w:r>
        <w:rPr>
          <w:i/>
          <w:spacing w:val="3"/>
        </w:rPr>
        <w:t xml:space="preserve"> </w:t>
      </w:r>
      <w:r>
        <w:rPr>
          <w:i/>
        </w:rPr>
        <w:t>determining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interlocutory</w:t>
      </w:r>
      <w:r>
        <w:rPr>
          <w:i/>
          <w:spacing w:val="-4"/>
        </w:rPr>
        <w:t xml:space="preserve"> </w:t>
      </w:r>
      <w:r>
        <w:rPr>
          <w:i/>
        </w:rPr>
        <w:t>application”.</w:t>
      </w:r>
    </w:p>
    <w:p w:rsidR="00982AF6" w:rsidRDefault="00982AF6">
      <w:pPr>
        <w:spacing w:line="259" w:lineRule="auto"/>
        <w:sectPr w:rsidR="00982AF6">
          <w:pgSz w:w="11910" w:h="16840"/>
          <w:pgMar w:top="1380" w:right="1320" w:bottom="1180" w:left="1340" w:header="0" w:footer="992" w:gutter="0"/>
          <w:cols w:space="720"/>
        </w:sectPr>
      </w:pPr>
    </w:p>
    <w:p w:rsidR="00982AF6" w:rsidRDefault="00660469">
      <w:pPr>
        <w:pStyle w:val="BodyText"/>
        <w:spacing w:before="41" w:line="259" w:lineRule="auto"/>
        <w:ind w:right="213"/>
      </w:pPr>
      <w:r>
        <w:lastRenderedPageBreak/>
        <w:t>That this is the correct position of law is beyond dispute a court is indeed duty bound to consider</w:t>
      </w:r>
      <w:r>
        <w:rPr>
          <w:spacing w:val="1"/>
        </w:rPr>
        <w:t xml:space="preserve"> </w:t>
      </w:r>
      <w:r>
        <w:t>preli</w:t>
      </w:r>
      <w:r>
        <w:t>minary points before proceeding to deal with the merits of an application. The applicant ought</w:t>
      </w:r>
      <w:r>
        <w:rPr>
          <w:spacing w:val="1"/>
        </w:rPr>
        <w:t xml:space="preserve"> </w:t>
      </w:r>
      <w:r>
        <w:t>therefore to have considered the issue placed before him and give his reasons before proceeding to</w:t>
      </w:r>
      <w:r>
        <w:rPr>
          <w:spacing w:val="-47"/>
        </w:rPr>
        <w:t xml:space="preserve"> </w:t>
      </w:r>
      <w:r>
        <w:t>deal with the merits of the application. He did not do this. H</w:t>
      </w:r>
      <w:r>
        <w:t>e stated in his draft ruling that the</w:t>
      </w:r>
      <w:r>
        <w:rPr>
          <w:spacing w:val="1"/>
        </w:rPr>
        <w:t xml:space="preserve"> </w:t>
      </w:r>
      <w:r>
        <w:t>parties had raised the issue of prescription, after this, he proceeded to point that there were only</w:t>
      </w:r>
      <w:r>
        <w:rPr>
          <w:spacing w:val="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him, and</w:t>
      </w:r>
      <w:r>
        <w:rPr>
          <w:spacing w:val="-1"/>
        </w:rPr>
        <w:t xml:space="preserve"> </w:t>
      </w:r>
      <w:r>
        <w:t>listed them</w:t>
      </w:r>
      <w:r>
        <w:rPr>
          <w:spacing w:val="-1"/>
        </w:rPr>
        <w:t xml:space="preserve"> </w:t>
      </w:r>
      <w:r>
        <w:t>as</w:t>
      </w:r>
    </w:p>
    <w:p w:rsidR="00982AF6" w:rsidRDefault="00660469">
      <w:pPr>
        <w:pStyle w:val="ListParagraph"/>
        <w:numPr>
          <w:ilvl w:val="0"/>
          <w:numId w:val="3"/>
        </w:numPr>
        <w:tabs>
          <w:tab w:val="left" w:pos="821"/>
        </w:tabs>
        <w:spacing w:before="158"/>
        <w:ind w:hanging="361"/>
      </w:pPr>
      <w:r>
        <w:t>Quantification of</w:t>
      </w:r>
      <w:r>
        <w:rPr>
          <w:spacing w:val="-3"/>
        </w:rPr>
        <w:t xml:space="preserve"> </w:t>
      </w:r>
      <w:r>
        <w:t>the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arbitral</w:t>
      </w:r>
      <w:r>
        <w:rPr>
          <w:spacing w:val="-1"/>
        </w:rPr>
        <w:t xml:space="preserve"> </w:t>
      </w:r>
      <w:r>
        <w:t>award,</w:t>
      </w:r>
      <w:r>
        <w:rPr>
          <w:spacing w:val="1"/>
        </w:rPr>
        <w:t xml:space="preserve"> </w:t>
      </w:r>
      <w:r>
        <w:t>and</w:t>
      </w:r>
    </w:p>
    <w:p w:rsidR="00982AF6" w:rsidRDefault="00660469">
      <w:pPr>
        <w:pStyle w:val="ListParagraph"/>
        <w:numPr>
          <w:ilvl w:val="0"/>
          <w:numId w:val="3"/>
        </w:numPr>
        <w:tabs>
          <w:tab w:val="left" w:pos="821"/>
        </w:tabs>
        <w:ind w:hanging="361"/>
      </w:pP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claimants.</w:t>
      </w:r>
    </w:p>
    <w:p w:rsidR="00982AF6" w:rsidRDefault="00660469">
      <w:pPr>
        <w:pStyle w:val="BodyText"/>
        <w:spacing w:before="180" w:line="259" w:lineRule="auto"/>
        <w:ind w:right="1176"/>
      </w:pPr>
      <w:r>
        <w:t>He proceeded to deal with those issues and tabulated what was to be paid to each of the</w:t>
      </w:r>
      <w:r>
        <w:rPr>
          <w:spacing w:val="-47"/>
        </w:rPr>
        <w:t xml:space="preserve"> </w:t>
      </w:r>
      <w:r>
        <w:t>employees.</w:t>
      </w:r>
    </w:p>
    <w:p w:rsidR="00982AF6" w:rsidRDefault="00660469">
      <w:pPr>
        <w:pStyle w:val="BodyText"/>
        <w:spacing w:before="162" w:line="259" w:lineRule="auto"/>
        <w:ind w:right="383"/>
      </w:pPr>
      <w:r>
        <w:t>In my opinion, he did not deal with the issue of prescription at all. The record shows that he made</w:t>
      </w:r>
      <w:r>
        <w:rPr>
          <w:spacing w:val="-47"/>
        </w:rPr>
        <w:t xml:space="preserve"> </w:t>
      </w:r>
      <w:r>
        <w:t>no reference to prescription neither did he g</w:t>
      </w:r>
      <w:r>
        <w:t>ive reasons for findings that the matter had not</w:t>
      </w:r>
      <w:r>
        <w:rPr>
          <w:spacing w:val="1"/>
        </w:rPr>
        <w:t xml:space="preserve"> </w:t>
      </w:r>
      <w:r>
        <w:t>prescribed.</w:t>
      </w:r>
    </w:p>
    <w:p w:rsidR="00982AF6" w:rsidRDefault="00660469">
      <w:pPr>
        <w:pStyle w:val="BodyText"/>
        <w:spacing w:before="157" w:line="259" w:lineRule="auto"/>
        <w:ind w:right="152"/>
      </w:pPr>
      <w:r>
        <w:t>He states, while discussing the issue of identification of claimants, that he had no jurisdiction to deal</w:t>
      </w:r>
      <w:r>
        <w:rPr>
          <w:spacing w:val="-47"/>
        </w:rPr>
        <w:t xml:space="preserve"> </w:t>
      </w:r>
      <w:r>
        <w:t xml:space="preserve">with any other issues outside the terms of reference. This, it may be argued referred to </w:t>
      </w:r>
      <w:r>
        <w:t>the fact that</w:t>
      </w:r>
      <w:r>
        <w:rPr>
          <w:spacing w:val="1"/>
        </w:rPr>
        <w:t xml:space="preserve"> </w:t>
      </w:r>
      <w:r>
        <w:t>he could not deal with prescription. But even then, no reasons were given for holding the view that</w:t>
      </w:r>
      <w:r>
        <w:rPr>
          <w:spacing w:val="1"/>
        </w:rPr>
        <w:t xml:space="preserve"> </w:t>
      </w:r>
      <w:r>
        <w:t>he could not go outside the “terms of reference”. At the end of the day, It could not be said with</w:t>
      </w:r>
      <w:r>
        <w:rPr>
          <w:spacing w:val="1"/>
        </w:rPr>
        <w:t xml:space="preserve"> </w:t>
      </w:r>
      <w:r>
        <w:t>certainty that the issue was dealt with. If</w:t>
      </w:r>
      <w:r>
        <w:t xml:space="preserve"> it can be assumed that the issue was dealt with, no reasons</w:t>
      </w:r>
      <w:r>
        <w:rPr>
          <w:spacing w:val="-47"/>
        </w:rPr>
        <w:t xml:space="preserve"> </w:t>
      </w:r>
      <w:r>
        <w:t>where given for the decision. This was a misdirection on the part of the applicant. The applicant may</w:t>
      </w:r>
      <w:r>
        <w:rPr>
          <w:spacing w:val="-47"/>
        </w:rPr>
        <w:t xml:space="preserve"> </w:t>
      </w:r>
      <w:r>
        <w:t>have tacitly accepted that the matter had not prescribed and proceeded to quantify. If this w</w:t>
      </w:r>
      <w:r>
        <w:t>as so,</w:t>
      </w:r>
      <w:r>
        <w:rPr>
          <w:spacing w:val="1"/>
        </w:rPr>
        <w:t xml:space="preserve"> </w:t>
      </w:r>
      <w:r>
        <w:t>then reasons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his ruling</w:t>
      </w:r>
      <w:r>
        <w:rPr>
          <w:spacing w:val="-2"/>
        </w:rPr>
        <w:t xml:space="preserve"> </w:t>
      </w:r>
      <w:r>
        <w:t>ought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according 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b/>
        </w:rPr>
        <w:t>Chinhoyi Municipality</w:t>
      </w:r>
      <w:r>
        <w:rPr>
          <w:b/>
          <w:spacing w:val="1"/>
        </w:rPr>
        <w:t xml:space="preserve"> </w:t>
      </w:r>
      <w:r>
        <w:rPr>
          <w:b/>
        </w:rPr>
        <w:t>v Magwana and Partners legal Practitioners HH 403/16</w:t>
      </w:r>
      <w:r>
        <w:t>, the court has no luxury of keeping the</w:t>
      </w:r>
      <w:r>
        <w:rPr>
          <w:spacing w:val="1"/>
        </w:rPr>
        <w:t xml:space="preserve"> </w:t>
      </w:r>
      <w:r>
        <w:t>ruling in its head for that would breach the rules of na</w:t>
      </w:r>
      <w:r>
        <w:t>tural justice. The applicant failed therefore to</w:t>
      </w:r>
      <w:r>
        <w:rPr>
          <w:spacing w:val="1"/>
        </w:rPr>
        <w:t xml:space="preserve"> </w:t>
      </w:r>
      <w:r>
        <w:t>expressly consider and again failed to render a ruling on the issue of prescription. It is for this reason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aside.</w:t>
      </w:r>
    </w:p>
    <w:p w:rsidR="00982AF6" w:rsidRDefault="00660469">
      <w:pPr>
        <w:pStyle w:val="BodyText"/>
        <w:spacing w:before="159" w:line="259" w:lineRule="auto"/>
        <w:ind w:right="260"/>
      </w:pPr>
      <w:r>
        <w:t>It has been argued that this court has no power to deal with applications of this nature in any other</w:t>
      </w:r>
      <w:r>
        <w:rPr>
          <w:spacing w:val="-47"/>
        </w:rPr>
        <w:t xml:space="preserve"> </w:t>
      </w:r>
      <w:r>
        <w:t>way except to confirm with or without amendments or to refuse to confirm . several decisions in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 this preposition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submitted and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 ;</w:t>
      </w:r>
    </w:p>
    <w:p w:rsidR="00982AF6" w:rsidRDefault="00660469">
      <w:pPr>
        <w:pStyle w:val="Heading2"/>
        <w:spacing w:line="403" w:lineRule="auto"/>
        <w:ind w:left="798" w:right="2554"/>
      </w:pPr>
      <w:r>
        <w:t>Air Zimbabwe (private) LIMITED V Mateko and ors SC 180/20</w:t>
      </w:r>
      <w:r>
        <w:rPr>
          <w:spacing w:val="1"/>
        </w:rPr>
        <w:t xml:space="preserve"> </w:t>
      </w:r>
      <w:r>
        <w:t>Triangle (Private) Limited v Mutasa and others SC 77 (2)</w:t>
      </w:r>
      <w:r>
        <w:rPr>
          <w:spacing w:val="1"/>
        </w:rPr>
        <w:t xml:space="preserve"> </w:t>
      </w:r>
      <w:r>
        <w:t>Zangairai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Zimbabwe</w:t>
      </w:r>
      <w:r>
        <w:rPr>
          <w:spacing w:val="-4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anor</w:t>
      </w:r>
      <w:r>
        <w:rPr>
          <w:spacing w:val="-2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113/21</w:t>
      </w:r>
    </w:p>
    <w:p w:rsidR="00982AF6" w:rsidRDefault="00660469">
      <w:pPr>
        <w:pStyle w:val="BodyText"/>
        <w:spacing w:line="259" w:lineRule="auto"/>
        <w:ind w:right="252"/>
      </w:pPr>
      <w:r>
        <w:t xml:space="preserve">In </w:t>
      </w:r>
      <w:r>
        <w:rPr>
          <w:b/>
        </w:rPr>
        <w:t xml:space="preserve">Triangle (Private) Limited case </w:t>
      </w:r>
      <w:r>
        <w:t>(supra), the court stated that the court, in de</w:t>
      </w:r>
      <w:r>
        <w:t>aling with section 93</w:t>
      </w:r>
      <w:r>
        <w:rPr>
          <w:spacing w:val="-47"/>
        </w:rPr>
        <w:t xml:space="preserve"> </w:t>
      </w:r>
      <w:r>
        <w:t xml:space="preserve">applications, it was essentially being asked to exercise its powers of review and in </w:t>
      </w:r>
      <w:r>
        <w:rPr>
          <w:b/>
        </w:rPr>
        <w:t>Zangairai case</w:t>
      </w:r>
      <w:r>
        <w:rPr>
          <w:b/>
          <w:spacing w:val="1"/>
        </w:rPr>
        <w:t xml:space="preserve"> </w:t>
      </w:r>
      <w:r>
        <w:t>(supra) the</w:t>
      </w:r>
      <w:r>
        <w:rPr>
          <w:spacing w:val="-2"/>
        </w:rPr>
        <w:t xml:space="preserve"> </w:t>
      </w:r>
      <w:r>
        <w:t>supreme</w:t>
      </w:r>
      <w:r>
        <w:rPr>
          <w:spacing w:val="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captured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as;</w:t>
      </w:r>
    </w:p>
    <w:p w:rsidR="00982AF6" w:rsidRDefault="00660469">
      <w:pPr>
        <w:spacing w:before="156" w:line="259" w:lineRule="auto"/>
        <w:ind w:left="820" w:right="594"/>
        <w:rPr>
          <w:i/>
        </w:rPr>
      </w:pPr>
      <w:r>
        <w:rPr>
          <w:i/>
        </w:rPr>
        <w:t>“generally, in review proceedings, the reviewing authority has t</w:t>
      </w:r>
      <w:r>
        <w:rPr>
          <w:i/>
        </w:rPr>
        <w:t>he power to uphold the</w:t>
      </w:r>
      <w:r>
        <w:rPr>
          <w:i/>
          <w:spacing w:val="1"/>
        </w:rPr>
        <w:t xml:space="preserve"> </w:t>
      </w:r>
      <w:r>
        <w:rPr>
          <w:i/>
        </w:rPr>
        <w:t>proceedings and/or decision, to set aside the proceedings and/or decision and indeed to</w:t>
      </w:r>
      <w:r>
        <w:rPr>
          <w:i/>
          <w:spacing w:val="-47"/>
        </w:rPr>
        <w:t xml:space="preserve"> </w:t>
      </w:r>
      <w:r>
        <w:rPr>
          <w:i/>
        </w:rPr>
        <w:t>substitute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 xml:space="preserve"> </w:t>
      </w:r>
      <w:r>
        <w:rPr>
          <w:i/>
        </w:rPr>
        <w:t>appropriate</w:t>
      </w:r>
      <w:r>
        <w:rPr>
          <w:i/>
          <w:spacing w:val="-2"/>
        </w:rPr>
        <w:t xml:space="preserve"> </w:t>
      </w:r>
      <w:r>
        <w:rPr>
          <w:i/>
        </w:rPr>
        <w:t>remedy…”</w:t>
      </w:r>
    </w:p>
    <w:p w:rsidR="00982AF6" w:rsidRDefault="00660469">
      <w:pPr>
        <w:pStyle w:val="BodyText"/>
        <w:spacing w:before="159" w:line="259" w:lineRule="auto"/>
        <w:ind w:right="163"/>
        <w:rPr>
          <w:b/>
        </w:rPr>
      </w:pPr>
      <w:r>
        <w:t>This is a position that is more in line with how the court should interpret the provisions of section 93</w:t>
      </w:r>
      <w:r>
        <w:rPr>
          <w:spacing w:val="-47"/>
        </w:rPr>
        <w:t xml:space="preserve"> </w:t>
      </w:r>
      <w:r>
        <w:t>(5b). That section is talking of an instance when the court grants the application with or without</w:t>
      </w:r>
      <w:r>
        <w:rPr>
          <w:spacing w:val="1"/>
        </w:rPr>
        <w:t xml:space="preserve"> </w:t>
      </w:r>
      <w:r>
        <w:t>amendments and the subsequent registration of the award. The section (5b) is not outlining the</w:t>
      </w:r>
      <w:r>
        <w:rPr>
          <w:spacing w:val="1"/>
        </w:rPr>
        <w:t xml:space="preserve"> </w:t>
      </w:r>
      <w:r>
        <w:t>powers of the Labour court. It is prescribing for the registra</w:t>
      </w:r>
      <w:r>
        <w:t>tion of the award in cases where the</w:t>
      </w:r>
      <w:r>
        <w:rPr>
          <w:spacing w:val="1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ruling</w:t>
      </w:r>
      <w:r>
        <w:rPr>
          <w:spacing w:val="-2"/>
        </w:rPr>
        <w:t xml:space="preserve"> </w:t>
      </w:r>
      <w:r>
        <w:t>is granted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or without</w:t>
      </w:r>
      <w:r>
        <w:rPr>
          <w:spacing w:val="-2"/>
        </w:rPr>
        <w:t xml:space="preserve"> </w:t>
      </w:r>
      <w:r>
        <w:t>amendments.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Drum</w:t>
      </w:r>
      <w:r>
        <w:rPr>
          <w:b/>
          <w:spacing w:val="-3"/>
        </w:rPr>
        <w:t xml:space="preserve"> </w:t>
      </w:r>
      <w:r>
        <w:rPr>
          <w:b/>
        </w:rPr>
        <w:t>City</w:t>
      </w:r>
      <w:r>
        <w:rPr>
          <w:b/>
          <w:spacing w:val="-2"/>
        </w:rPr>
        <w:t xml:space="preserve"> </w:t>
      </w:r>
      <w:r>
        <w:rPr>
          <w:b/>
        </w:rPr>
        <w:t>(Private) Limited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Garudzo</w:t>
      </w:r>
      <w:r>
        <w:rPr>
          <w:b/>
          <w:spacing w:val="-2"/>
        </w:rPr>
        <w:t xml:space="preserve"> </w:t>
      </w:r>
      <w:r>
        <w:rPr>
          <w:b/>
        </w:rPr>
        <w:t>SC</w:t>
      </w:r>
    </w:p>
    <w:p w:rsidR="00982AF6" w:rsidRDefault="00982AF6">
      <w:pPr>
        <w:spacing w:line="259" w:lineRule="auto"/>
        <w:sectPr w:rsidR="00982AF6">
          <w:pgSz w:w="11910" w:h="16840"/>
          <w:pgMar w:top="1380" w:right="1320" w:bottom="1180" w:left="1340" w:header="0" w:footer="992" w:gutter="0"/>
          <w:cols w:space="720"/>
        </w:sectPr>
      </w:pPr>
    </w:p>
    <w:p w:rsidR="00982AF6" w:rsidRDefault="00660469">
      <w:pPr>
        <w:pStyle w:val="BodyText"/>
        <w:spacing w:before="41" w:line="259" w:lineRule="auto"/>
        <w:ind w:right="168"/>
      </w:pPr>
      <w:r>
        <w:rPr>
          <w:b/>
        </w:rPr>
        <w:lastRenderedPageBreak/>
        <w:t xml:space="preserve">57/18 </w:t>
      </w:r>
      <w:r>
        <w:t>the court was clear that it was commenting obiter dictum and not setting a binding principle.</w:t>
      </w:r>
      <w:r>
        <w:rPr>
          <w:spacing w:val="1"/>
        </w:rPr>
        <w:t xml:space="preserve"> </w:t>
      </w:r>
      <w:r>
        <w:t>It st</w:t>
      </w:r>
      <w:r>
        <w:t>ated that the court could set aside or reverse a draft ruling which has no merit. The court cannot</w:t>
      </w:r>
      <w:r>
        <w:rPr>
          <w:spacing w:val="-47"/>
        </w:rPr>
        <w:t xml:space="preserve"> </w:t>
      </w:r>
      <w:r>
        <w:t>substitute its own decision for that of the Labour officer. By virtue of its powers of review and in line</w:t>
      </w:r>
      <w:r>
        <w:rPr>
          <w:spacing w:val="-47"/>
        </w:rPr>
        <w:t xml:space="preserve"> </w:t>
      </w:r>
      <w:r>
        <w:t xml:space="preserve">with the supreme court decision in the case of </w:t>
      </w:r>
      <w:r>
        <w:rPr>
          <w:b/>
        </w:rPr>
        <w:t>Daln</w:t>
      </w:r>
      <w:r>
        <w:rPr>
          <w:b/>
        </w:rPr>
        <w:t xml:space="preserve">y Mine v Banda 1999 (1) ZLR 220 </w:t>
      </w:r>
      <w:r>
        <w:t>which stated</w:t>
      </w:r>
      <w:r>
        <w:rPr>
          <w:spacing w:val="1"/>
        </w:rPr>
        <w:t xml:space="preserve"> </w:t>
      </w:r>
      <w:r>
        <w:t>that Labour Disputes must generally not be decided on the basis of procedural irregularities, these</w:t>
      </w:r>
      <w:r>
        <w:rPr>
          <w:spacing w:val="1"/>
        </w:rPr>
        <w:t xml:space="preserve"> </w:t>
      </w:r>
      <w:r>
        <w:t>irregularities should not be ignored but must be put right by the court itself deciding the matter or</w:t>
      </w:r>
      <w:r>
        <w:rPr>
          <w:spacing w:val="1"/>
        </w:rPr>
        <w:t xml:space="preserve"> </w:t>
      </w:r>
      <w:r>
        <w:t>by remitt</w:t>
      </w:r>
      <w:r>
        <w:t>ing</w:t>
      </w:r>
      <w:r>
        <w:rPr>
          <w:spacing w:val="1"/>
        </w:rPr>
        <w:t xml:space="preserve"> </w:t>
      </w:r>
      <w:r>
        <w:t>the matter to the tribunal aquo for it to decide the matter in a procedurally correct</w:t>
      </w:r>
      <w:r>
        <w:rPr>
          <w:spacing w:val="1"/>
        </w:rPr>
        <w:t xml:space="preserve"> </w:t>
      </w:r>
      <w:r>
        <w:t>manner. The court, can therefore set aside and remit procedurally flawed proceedings to the</w:t>
      </w:r>
      <w:r>
        <w:rPr>
          <w:spacing w:val="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aquo</w:t>
      </w:r>
      <w:r>
        <w:rPr>
          <w:spacing w:val="1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done in</w:t>
      </w:r>
      <w:r>
        <w:rPr>
          <w:spacing w:val="-1"/>
        </w:rPr>
        <w:t xml:space="preserve"> </w:t>
      </w:r>
      <w:r>
        <w:t>a procedurally</w:t>
      </w:r>
      <w:r>
        <w:rPr>
          <w:spacing w:val="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man</w:t>
      </w:r>
      <w:r>
        <w:t>ner.</w:t>
      </w:r>
    </w:p>
    <w:p w:rsidR="00982AF6" w:rsidRDefault="00660469">
      <w:pPr>
        <w:pStyle w:val="BodyText"/>
        <w:spacing w:before="157" w:line="259" w:lineRule="auto"/>
        <w:ind w:right="130"/>
      </w:pPr>
      <w:r>
        <w:t>It is therefore an accepted principle of law that on review, as is the case in casu, the court can remit</w:t>
      </w:r>
      <w:r>
        <w:rPr>
          <w:spacing w:val="1"/>
        </w:rPr>
        <w:t xml:space="preserve"> </w:t>
      </w:r>
      <w:r>
        <w:t>where there are procedural irregularities for the tribunal aquo to decide the matter in a procedurally</w:t>
      </w:r>
      <w:r>
        <w:rPr>
          <w:spacing w:val="-47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manner. The</w:t>
      </w:r>
      <w:r>
        <w:rPr>
          <w:spacing w:val="4"/>
        </w:rPr>
        <w:t xml:space="preserve"> </w:t>
      </w:r>
      <w:r>
        <w:t>justice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3"/>
        </w:rPr>
        <w:t xml:space="preserve"> </w:t>
      </w:r>
      <w:r>
        <w:t>demands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procedural</w:t>
      </w:r>
      <w:r>
        <w:rPr>
          <w:spacing w:val="4"/>
        </w:rPr>
        <w:t xml:space="preserve"> </w:t>
      </w:r>
      <w:r>
        <w:t>irregularities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put</w:t>
      </w:r>
      <w:r>
        <w:rPr>
          <w:spacing w:val="3"/>
        </w:rPr>
        <w:t xml:space="preserve"> </w:t>
      </w:r>
      <w:r>
        <w:t>right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real</w:t>
      </w:r>
      <w:r>
        <w:rPr>
          <w:spacing w:val="-2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between the</w:t>
      </w:r>
      <w:r>
        <w:rPr>
          <w:spacing w:val="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be dealt with.</w:t>
      </w:r>
    </w:p>
    <w:p w:rsidR="00982AF6" w:rsidRDefault="00660469">
      <w:pPr>
        <w:pStyle w:val="BodyText"/>
        <w:spacing w:before="160" w:line="259" w:lineRule="auto"/>
        <w:ind w:right="272"/>
      </w:pPr>
      <w:r>
        <w:t>In the result therefore the court finds that the Labour officer erred in failing to consider a</w:t>
      </w:r>
      <w:r>
        <w:rPr>
          <w:spacing w:val="1"/>
        </w:rPr>
        <w:t xml:space="preserve"> </w:t>
      </w:r>
      <w:r>
        <w:t>preliminary issue which had been placed before it. Th</w:t>
      </w:r>
      <w:r>
        <w:t>is was a fatal irregularity and the matter must</w:t>
      </w:r>
      <w:r>
        <w:rPr>
          <w:spacing w:val="-47"/>
        </w:rPr>
        <w:t xml:space="preserve"> </w:t>
      </w:r>
      <w:r>
        <w:t>be remitted to the Labour officer to enable him to decide the matter in a procedurally correct</w:t>
      </w:r>
      <w:r>
        <w:rPr>
          <w:spacing w:val="1"/>
        </w:rPr>
        <w:t xml:space="preserve"> </w:t>
      </w:r>
      <w:r>
        <w:t>manner.</w:t>
      </w:r>
    </w:p>
    <w:p w:rsidR="00982AF6" w:rsidRDefault="00660469">
      <w:pPr>
        <w:spacing w:before="160"/>
        <w:ind w:left="100"/>
        <w:rPr>
          <w:b/>
        </w:rPr>
      </w:pPr>
      <w:r>
        <w:rPr>
          <w:b/>
          <w:u w:val="single"/>
        </w:rPr>
        <w:t>Order:</w:t>
      </w:r>
    </w:p>
    <w:p w:rsidR="00982AF6" w:rsidRDefault="00982AF6">
      <w:pPr>
        <w:pStyle w:val="BodyText"/>
        <w:spacing w:before="2"/>
        <w:ind w:left="0"/>
        <w:rPr>
          <w:b/>
          <w:sz w:val="10"/>
        </w:rPr>
      </w:pPr>
    </w:p>
    <w:p w:rsidR="00982AF6" w:rsidRDefault="00660469">
      <w:pPr>
        <w:pStyle w:val="ListParagraph"/>
        <w:numPr>
          <w:ilvl w:val="0"/>
          <w:numId w:val="2"/>
        </w:numPr>
        <w:tabs>
          <w:tab w:val="left" w:pos="821"/>
        </w:tabs>
        <w:spacing w:before="56"/>
        <w:ind w:hanging="361"/>
      </w:pPr>
      <w:r>
        <w:t>The draft ruling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aside.</w:t>
      </w:r>
    </w:p>
    <w:p w:rsidR="00982AF6" w:rsidRDefault="00660469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960"/>
      </w:pPr>
      <w:bookmarkStart w:id="0" w:name="_GoBack"/>
      <w:bookmarkEnd w:id="0"/>
      <w:r>
        <w:t>The matter is remitted to the Labour officer to enable him to dec</w:t>
      </w:r>
      <w:r>
        <w:t>ide the matter in a</w:t>
      </w:r>
      <w:r>
        <w:rPr>
          <w:spacing w:val="-47"/>
        </w:rPr>
        <w:t xml:space="preserve"> </w:t>
      </w:r>
      <w:r>
        <w:t>procedurally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.</w:t>
      </w:r>
    </w:p>
    <w:p w:rsidR="00982AF6" w:rsidRDefault="00660469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hanging="361"/>
      </w:pPr>
      <w:r>
        <w:t>There is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costs.</w:t>
      </w:r>
    </w:p>
    <w:sectPr w:rsidR="00982AF6">
      <w:pgSz w:w="11910" w:h="16840"/>
      <w:pgMar w:top="1380" w:right="132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469" w:rsidRDefault="00660469">
      <w:r>
        <w:separator/>
      </w:r>
    </w:p>
  </w:endnote>
  <w:endnote w:type="continuationSeparator" w:id="0">
    <w:p w:rsidR="00660469" w:rsidRDefault="0066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F6" w:rsidRDefault="00660469">
    <w:pPr>
      <w:pStyle w:val="BodyText"/>
      <w:spacing w:line="14" w:lineRule="auto"/>
      <w:ind w:left="0"/>
      <w:rPr>
        <w:sz w:val="20"/>
      </w:rPr>
    </w:pPr>
    <w:r>
      <w:pict>
        <v:rect id="_x0000_s2050" style="position:absolute;margin-left:70.6pt;margin-top:778.3pt;width:454.25pt;height:.5pt;z-index:-15790592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pt;margin-top:780.9pt;width:53.5pt;height:13.05pt;z-index:-15790080;mso-position-horizontal-relative:page;mso-position-vertical-relative:page" filled="f" stroked="f">
          <v:textbox inset="0,0,0,0">
            <w:txbxContent>
              <w:p w:rsidR="00982AF6" w:rsidRDefault="0066046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8E7436">
                  <w:rPr>
                    <w:b/>
                    <w:noProof/>
                  </w:rPr>
                  <w:t>4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|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469" w:rsidRDefault="00660469">
      <w:r>
        <w:separator/>
      </w:r>
    </w:p>
  </w:footnote>
  <w:footnote w:type="continuationSeparator" w:id="0">
    <w:p w:rsidR="00660469" w:rsidRDefault="0066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D84"/>
    <w:multiLevelType w:val="hybridMultilevel"/>
    <w:tmpl w:val="B3E8446E"/>
    <w:lvl w:ilvl="0" w:tplc="93D6DC3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236866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271600A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000C9A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D8CB2B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F128352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306891B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6784936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D8A0ED14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2E2470"/>
    <w:multiLevelType w:val="hybridMultilevel"/>
    <w:tmpl w:val="254A1046"/>
    <w:lvl w:ilvl="0" w:tplc="A86CD6C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3E4B2A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F74959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51D4CC9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4F16952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94260A9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E4AB12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BFE8CB20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2E2CAF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404AD8"/>
    <w:multiLevelType w:val="hybridMultilevel"/>
    <w:tmpl w:val="2A648682"/>
    <w:lvl w:ilvl="0" w:tplc="D32E4C2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10E889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A56E8D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C208433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8090AB2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57BAEBCA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5FB0668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D47668EA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5F128D4C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2AF6"/>
    <w:rsid w:val="00660469"/>
    <w:rsid w:val="008E7436"/>
    <w:rsid w:val="009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20883CA-B828-46A2-8601-024807D4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59"/>
      <w:ind w:left="100" w:hanging="5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8654</Characters>
  <Application>Microsoft Office Word</Application>
  <DocSecurity>0</DocSecurity>
  <Lines>72</Lines>
  <Paragraphs>20</Paragraphs>
  <ScaleCrop>false</ScaleCrop>
  <Company/>
  <LinksUpToDate>false</LinksUpToDate>
  <CharactersWithSpaces>10152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Microsoft account</cp:lastModifiedBy>
  <cp:revision>2</cp:revision>
  <dcterms:created xsi:type="dcterms:W3CDTF">2023-09-19T06:57:00Z</dcterms:created>
  <dcterms:modified xsi:type="dcterms:W3CDTF">2023-09-19T07:21:00Z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