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F9" w:rsidRDefault="007B0C08"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LIKANI SITHOLE </w:t>
      </w:r>
      <w:r w:rsidR="00187801">
        <w:rPr>
          <w:rFonts w:ascii="Times New Roman" w:hAnsi="Times New Roman" w:cs="Times New Roman"/>
          <w:sz w:val="24"/>
          <w:szCs w:val="24"/>
        </w:rPr>
        <w:t xml:space="preserve"> </w:t>
      </w:r>
    </w:p>
    <w:p w:rsidR="007B2076" w:rsidRDefault="007B2076"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B2076" w:rsidRDefault="007B0C08"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187801">
        <w:rPr>
          <w:rFonts w:ascii="Times New Roman" w:hAnsi="Times New Roman" w:cs="Times New Roman"/>
          <w:sz w:val="24"/>
          <w:szCs w:val="24"/>
        </w:rPr>
        <w:t>2</w:t>
      </w:r>
      <w:r w:rsidR="00E33471">
        <w:rPr>
          <w:rFonts w:ascii="Times New Roman" w:hAnsi="Times New Roman" w:cs="Times New Roman"/>
          <w:sz w:val="24"/>
          <w:szCs w:val="24"/>
        </w:rPr>
        <w:t>7</w:t>
      </w:r>
      <w:r>
        <w:rPr>
          <w:rFonts w:ascii="Times New Roman" w:hAnsi="Times New Roman" w:cs="Times New Roman"/>
          <w:sz w:val="24"/>
          <w:szCs w:val="24"/>
        </w:rPr>
        <w:t xml:space="preserve"> November 2019</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C24349" w:rsidP="00512C69">
      <w:pPr>
        <w:spacing w:after="0" w:line="240" w:lineRule="auto"/>
        <w:rPr>
          <w:rFonts w:ascii="Times New Roman" w:hAnsi="Times New Roman" w:cs="Times New Roman"/>
          <w:sz w:val="24"/>
          <w:szCs w:val="24"/>
        </w:rPr>
      </w:pPr>
      <w:r>
        <w:rPr>
          <w:rFonts w:ascii="Times New Roman" w:hAnsi="Times New Roman" w:cs="Times New Roman"/>
          <w:b/>
          <w:sz w:val="24"/>
          <w:szCs w:val="24"/>
        </w:rPr>
        <w:t>Criminal Appeal (Reasons for Judgement)</w:t>
      </w:r>
    </w:p>
    <w:p w:rsidR="00512C69" w:rsidRDefault="00512C69"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Default="00445166"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N Nhambura</w:t>
      </w:r>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appellant </w:t>
      </w:r>
    </w:p>
    <w:p w:rsidR="00512C69" w:rsidRDefault="000C41EB" w:rsidP="0051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J Matsikidze</w:t>
      </w:r>
      <w:r w:rsidR="00512C69">
        <w:rPr>
          <w:rFonts w:ascii="Times New Roman" w:hAnsi="Times New Roman" w:cs="Times New Roman"/>
          <w:sz w:val="24"/>
          <w:szCs w:val="24"/>
        </w:rPr>
        <w:t xml:space="preserve">, for the </w:t>
      </w:r>
      <w:r>
        <w:rPr>
          <w:rFonts w:ascii="Times New Roman" w:hAnsi="Times New Roman" w:cs="Times New Roman"/>
          <w:sz w:val="24"/>
          <w:szCs w:val="24"/>
        </w:rPr>
        <w:t xml:space="preserve">respondent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BF77C0" w:rsidRDefault="00921977" w:rsidP="00331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331A67">
        <w:rPr>
          <w:rFonts w:ascii="Times New Roman" w:hAnsi="Times New Roman" w:cs="Times New Roman"/>
          <w:sz w:val="24"/>
          <w:szCs w:val="24"/>
        </w:rPr>
        <w:t xml:space="preserve">On 27 November 2019 we dismissed this appeal in its entirety and indicated that our reasons for dismissal would follow, these are they. </w:t>
      </w:r>
    </w:p>
    <w:p w:rsidR="00331A67" w:rsidRDefault="00331A67" w:rsidP="00331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10 April 2019, the appellant appeared</w:t>
      </w:r>
      <w:r w:rsidR="00204999">
        <w:rPr>
          <w:rFonts w:ascii="Times New Roman" w:hAnsi="Times New Roman" w:cs="Times New Roman"/>
          <w:sz w:val="24"/>
          <w:szCs w:val="24"/>
        </w:rPr>
        <w:t xml:space="preserve"> on</w:t>
      </w:r>
      <w:r>
        <w:rPr>
          <w:rFonts w:ascii="Times New Roman" w:hAnsi="Times New Roman" w:cs="Times New Roman"/>
          <w:sz w:val="24"/>
          <w:szCs w:val="24"/>
        </w:rPr>
        <w:t xml:space="preserve"> charges of contravening s 131 (1) (a) as read with s 131 (2) (e) of the Criminal Code for unlawful entry into premises in aggravating circumstances, he was convicted after a full trial and sentenced to 36 months imprisonment with 6 months imprisonment being suspended for 5 years on the usual conditions of future good behaviour, a further 12 months were further suspended on conditions of restitution. When the appellant appeared for trial he was unrepresented.</w:t>
      </w:r>
    </w:p>
    <w:p w:rsidR="00331A67" w:rsidRDefault="00331A67" w:rsidP="00331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noted an appeal against both conviction and sentence outlining the following grounds: </w:t>
      </w:r>
    </w:p>
    <w:p w:rsidR="00CE1BF4" w:rsidRDefault="00CE1BF4" w:rsidP="00331A67">
      <w:pPr>
        <w:spacing w:after="0" w:line="360" w:lineRule="auto"/>
        <w:jc w:val="both"/>
        <w:rPr>
          <w:rFonts w:ascii="Times New Roman" w:hAnsi="Times New Roman" w:cs="Times New Roman"/>
          <w:sz w:val="24"/>
          <w:szCs w:val="24"/>
        </w:rPr>
      </w:pPr>
    </w:p>
    <w:p w:rsidR="00CE1BF4" w:rsidRDefault="00CE1BF4" w:rsidP="00331A6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AD CONVICTION</w:t>
      </w:r>
    </w:p>
    <w:p w:rsidR="00CE1BF4" w:rsidRDefault="00CE1BF4" w:rsidP="00CE1B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honourable court </w:t>
      </w:r>
      <w:r>
        <w:rPr>
          <w:rFonts w:ascii="Times New Roman" w:hAnsi="Times New Roman" w:cs="Times New Roman"/>
          <w:i/>
          <w:sz w:val="24"/>
          <w:szCs w:val="24"/>
        </w:rPr>
        <w:t>a quo</w:t>
      </w:r>
      <w:r w:rsidR="00BD7C89">
        <w:rPr>
          <w:rFonts w:ascii="Times New Roman" w:hAnsi="Times New Roman" w:cs="Times New Roman"/>
          <w:sz w:val="24"/>
          <w:szCs w:val="24"/>
        </w:rPr>
        <w:t xml:space="preserve"> erred in convicting the appellant based on circumstantial evidence when in fact the g</w:t>
      </w:r>
      <w:r w:rsidR="00682668">
        <w:rPr>
          <w:rFonts w:ascii="Times New Roman" w:hAnsi="Times New Roman" w:cs="Times New Roman"/>
          <w:sz w:val="24"/>
          <w:szCs w:val="24"/>
        </w:rPr>
        <w:t xml:space="preserve">uilt of the appellant   was not the only reasonable inference to be drawn from the circumstances of the case. </w:t>
      </w:r>
    </w:p>
    <w:p w:rsidR="00893FE4" w:rsidRDefault="00682668" w:rsidP="00CE1B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honourable court </w:t>
      </w:r>
      <w:r>
        <w:rPr>
          <w:rFonts w:ascii="Times New Roman" w:hAnsi="Times New Roman" w:cs="Times New Roman"/>
          <w:i/>
          <w:sz w:val="24"/>
          <w:szCs w:val="24"/>
        </w:rPr>
        <w:t>a quo</w:t>
      </w:r>
      <w:r>
        <w:rPr>
          <w:rFonts w:ascii="Times New Roman" w:hAnsi="Times New Roman" w:cs="Times New Roman"/>
          <w:sz w:val="24"/>
          <w:szCs w:val="24"/>
        </w:rPr>
        <w:t xml:space="preserve"> erred in disregarding the defence raised by the appellant when in fact the defence was reasonably probably </w:t>
      </w:r>
      <w:r w:rsidR="00B571DC">
        <w:rPr>
          <w:rFonts w:ascii="Times New Roman" w:hAnsi="Times New Roman" w:cs="Times New Roman"/>
          <w:sz w:val="24"/>
          <w:szCs w:val="24"/>
        </w:rPr>
        <w:t>true</w:t>
      </w:r>
      <w:r>
        <w:rPr>
          <w:rFonts w:ascii="Times New Roman" w:hAnsi="Times New Roman" w:cs="Times New Roman"/>
          <w:sz w:val="24"/>
          <w:szCs w:val="24"/>
        </w:rPr>
        <w:t xml:space="preserve"> </w:t>
      </w:r>
      <w:r>
        <w:rPr>
          <w:rFonts w:ascii="Times New Roman" w:hAnsi="Times New Roman" w:cs="Times New Roman"/>
          <w:i/>
          <w:sz w:val="24"/>
          <w:szCs w:val="24"/>
        </w:rPr>
        <w:t>vis-à-vis</w:t>
      </w:r>
      <w:r>
        <w:rPr>
          <w:rFonts w:ascii="Times New Roman" w:hAnsi="Times New Roman" w:cs="Times New Roman"/>
          <w:sz w:val="24"/>
          <w:szCs w:val="24"/>
        </w:rPr>
        <w:t xml:space="preserve"> the fact that the defence </w:t>
      </w:r>
      <w:r w:rsidR="00893FE4">
        <w:rPr>
          <w:rFonts w:ascii="Times New Roman" w:hAnsi="Times New Roman" w:cs="Times New Roman"/>
          <w:sz w:val="24"/>
          <w:szCs w:val="24"/>
        </w:rPr>
        <w:t>withstood the</w:t>
      </w:r>
      <w:r>
        <w:rPr>
          <w:rFonts w:ascii="Times New Roman" w:hAnsi="Times New Roman" w:cs="Times New Roman"/>
          <w:sz w:val="24"/>
          <w:szCs w:val="24"/>
        </w:rPr>
        <w:t xml:space="preserve"> rigors of cross-examination.</w:t>
      </w:r>
    </w:p>
    <w:p w:rsidR="00893FE4" w:rsidRDefault="00893FE4" w:rsidP="00893FE4">
      <w:pPr>
        <w:spacing w:after="0" w:line="360" w:lineRule="auto"/>
        <w:jc w:val="both"/>
        <w:rPr>
          <w:rFonts w:ascii="Times New Roman" w:hAnsi="Times New Roman" w:cs="Times New Roman"/>
          <w:sz w:val="24"/>
          <w:szCs w:val="24"/>
        </w:rPr>
      </w:pPr>
    </w:p>
    <w:p w:rsidR="00513F2A" w:rsidRDefault="00513F2A" w:rsidP="00893FE4">
      <w:pPr>
        <w:spacing w:after="0" w:line="360" w:lineRule="auto"/>
        <w:jc w:val="both"/>
        <w:rPr>
          <w:rFonts w:ascii="Times New Roman" w:hAnsi="Times New Roman" w:cs="Times New Roman"/>
          <w:sz w:val="24"/>
          <w:szCs w:val="24"/>
        </w:rPr>
      </w:pPr>
    </w:p>
    <w:p w:rsidR="00513F2A" w:rsidRDefault="00513F2A" w:rsidP="00893FE4">
      <w:pPr>
        <w:spacing w:after="0" w:line="360" w:lineRule="auto"/>
        <w:jc w:val="both"/>
        <w:rPr>
          <w:rFonts w:ascii="Times New Roman" w:hAnsi="Times New Roman" w:cs="Times New Roman"/>
          <w:sz w:val="24"/>
          <w:szCs w:val="24"/>
        </w:rPr>
      </w:pPr>
    </w:p>
    <w:p w:rsidR="00893FE4" w:rsidRDefault="00893FE4" w:rsidP="00893FE4">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AD SENTENCE</w:t>
      </w:r>
    </w:p>
    <w:p w:rsidR="00682668" w:rsidRDefault="00893FE4" w:rsidP="00893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honourable court </w:t>
      </w:r>
      <w:r>
        <w:rPr>
          <w:rFonts w:ascii="Times New Roman" w:hAnsi="Times New Roman" w:cs="Times New Roman"/>
          <w:i/>
          <w:sz w:val="24"/>
          <w:szCs w:val="24"/>
        </w:rPr>
        <w:t>a quo</w:t>
      </w:r>
      <w:r>
        <w:rPr>
          <w:rFonts w:ascii="Times New Roman" w:hAnsi="Times New Roman" w:cs="Times New Roman"/>
          <w:sz w:val="24"/>
          <w:szCs w:val="24"/>
        </w:rPr>
        <w:t xml:space="preserve"> erred in sentencing the appellant to restitute the sum of $2 500-00 to the complainant when in fact no proper assessment or evaluations of the unrecovered goods had been made. </w:t>
      </w:r>
    </w:p>
    <w:p w:rsidR="006042C6" w:rsidRDefault="006042C6" w:rsidP="00893FE4">
      <w:pPr>
        <w:spacing w:after="0" w:line="360" w:lineRule="auto"/>
        <w:jc w:val="both"/>
        <w:rPr>
          <w:rFonts w:ascii="Times New Roman" w:hAnsi="Times New Roman" w:cs="Times New Roman"/>
          <w:sz w:val="24"/>
          <w:szCs w:val="24"/>
        </w:rPr>
      </w:pPr>
    </w:p>
    <w:p w:rsidR="006042C6" w:rsidRDefault="006042C6" w:rsidP="00893FE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BACKGROUND</w:t>
      </w:r>
    </w:p>
    <w:p w:rsidR="006042C6" w:rsidRDefault="006042C6" w:rsidP="006042C6">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alleged that on the period extending from 15 July 2018 to 27 January 2019, at Tom Homestead, Gwama Village, Chief Mutema Chipinge, the appellant unlawfully, and intentionally entered Otilia Chiyangwa’s bedroom through breaking the window which was closed and then  stole various clothing, a solar panel</w:t>
      </w:r>
      <w:r w:rsidR="00513F2A">
        <w:rPr>
          <w:rFonts w:ascii="Times New Roman" w:hAnsi="Times New Roman" w:cs="Times New Roman"/>
          <w:sz w:val="24"/>
          <w:szCs w:val="24"/>
        </w:rPr>
        <w:t xml:space="preserve"> and</w:t>
      </w:r>
      <w:r>
        <w:rPr>
          <w:rFonts w:ascii="Times New Roman" w:hAnsi="Times New Roman" w:cs="Times New Roman"/>
          <w:sz w:val="24"/>
          <w:szCs w:val="24"/>
        </w:rPr>
        <w:t xml:space="preserve"> two black Omega speakers belonging to the complainant. </w:t>
      </w:r>
      <w:r w:rsidR="00B1698E">
        <w:rPr>
          <w:rFonts w:ascii="Times New Roman" w:hAnsi="Times New Roman" w:cs="Times New Roman"/>
          <w:sz w:val="24"/>
          <w:szCs w:val="24"/>
        </w:rPr>
        <w:t>On 27 January 2019, the complainant arrived from</w:t>
      </w:r>
      <w:r w:rsidR="003970E9">
        <w:rPr>
          <w:rFonts w:ascii="Times New Roman" w:hAnsi="Times New Roman" w:cs="Times New Roman"/>
          <w:sz w:val="24"/>
          <w:szCs w:val="24"/>
        </w:rPr>
        <w:t xml:space="preserve"> South Africa and discovered that her house had been broken into. On 29 January 2019 complainant reported the matter to the police, leading to the recovery of some of the property stolen. Complainant </w:t>
      </w:r>
      <w:r w:rsidR="00CA070F">
        <w:rPr>
          <w:rFonts w:ascii="Times New Roman" w:hAnsi="Times New Roman" w:cs="Times New Roman"/>
          <w:sz w:val="24"/>
          <w:szCs w:val="24"/>
        </w:rPr>
        <w:t>also managed</w:t>
      </w:r>
      <w:r w:rsidR="003970E9">
        <w:rPr>
          <w:rFonts w:ascii="Times New Roman" w:hAnsi="Times New Roman" w:cs="Times New Roman"/>
          <w:sz w:val="24"/>
          <w:szCs w:val="24"/>
        </w:rPr>
        <w:t xml:space="preserve"> to recover some of the </w:t>
      </w:r>
      <w:r w:rsidR="004F27C5">
        <w:rPr>
          <w:rFonts w:ascii="Times New Roman" w:hAnsi="Times New Roman" w:cs="Times New Roman"/>
          <w:sz w:val="24"/>
          <w:szCs w:val="24"/>
        </w:rPr>
        <w:t xml:space="preserve">stolen property from people who had bought from the appellant. </w:t>
      </w:r>
      <w:r w:rsidR="00B1698E">
        <w:rPr>
          <w:rFonts w:ascii="Times New Roman" w:hAnsi="Times New Roman" w:cs="Times New Roman"/>
          <w:sz w:val="24"/>
          <w:szCs w:val="24"/>
        </w:rPr>
        <w:t xml:space="preserve"> </w:t>
      </w:r>
    </w:p>
    <w:p w:rsidR="00CA070F" w:rsidRDefault="00CA070F" w:rsidP="006042C6">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pleaded not guilty to the charges, and in his defence, stated that he shifted clothes and property of his young brother and son from their homes due to incessant burglaries which were taking place. He did not know part of the property he shifted to his home belonged to the complainant. He then called his son, Kenneth Sithole to inform him what he had done and the reason for doing so. He denied ever going to complainant’s residence at all.</w:t>
      </w:r>
    </w:p>
    <w:p w:rsidR="00C37E01" w:rsidRDefault="00C37E01" w:rsidP="006042C6">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disputed by the defence that the complainant left for South Africa in 2018 leaving her property secured in her house, when she returned in January 2019, she discovered that her house had been broken into and property stolen. Some of the stolen property was recovered from the appellant by the police during investigations, the other property was recovered by the complainant from third parties who had bought that property from the appellant. </w:t>
      </w:r>
    </w:p>
    <w:p w:rsidR="003C1DE7" w:rsidRDefault="003C1DE7" w:rsidP="006042C6">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evidence adduced by the state the learned magistrate properly in our view applied circumstantial evidence and convicted the appellant. The law regarding circumstantial evidence is settled:</w:t>
      </w:r>
    </w:p>
    <w:p w:rsidR="00E81514" w:rsidRPr="00E2246C" w:rsidRDefault="00E2246C" w:rsidP="00E2246C">
      <w:pPr>
        <w:tabs>
          <w:tab w:val="left" w:pos="851"/>
        </w:tabs>
        <w:spacing w:after="0" w:line="240" w:lineRule="auto"/>
        <w:ind w:left="1436" w:hanging="585"/>
        <w:jc w:val="both"/>
        <w:rPr>
          <w:rFonts w:ascii="Times New Roman" w:hAnsi="Times New Roman" w:cs="Times New Roman"/>
          <w:szCs w:val="24"/>
        </w:rPr>
      </w:pPr>
      <w:r>
        <w:rPr>
          <w:rFonts w:ascii="Times New Roman" w:hAnsi="Times New Roman" w:cs="Times New Roman"/>
          <w:szCs w:val="24"/>
        </w:rPr>
        <w:t xml:space="preserve">“(i) </w:t>
      </w:r>
      <w:r>
        <w:rPr>
          <w:rFonts w:ascii="Times New Roman" w:hAnsi="Times New Roman" w:cs="Times New Roman"/>
          <w:szCs w:val="24"/>
        </w:rPr>
        <w:tab/>
      </w:r>
      <w:r w:rsidR="00E81514" w:rsidRPr="00E2246C">
        <w:rPr>
          <w:rFonts w:ascii="Times New Roman" w:hAnsi="Times New Roman" w:cs="Times New Roman"/>
          <w:szCs w:val="24"/>
        </w:rPr>
        <w:t xml:space="preserve">the circumstances from which an inference of guilt is sought to be drawn must be cogently and firmly established. </w:t>
      </w:r>
    </w:p>
    <w:p w:rsidR="00327BFB" w:rsidRPr="00E2246C" w:rsidRDefault="00E81514" w:rsidP="00E2246C">
      <w:pPr>
        <w:pStyle w:val="ListParagraph"/>
        <w:numPr>
          <w:ilvl w:val="0"/>
          <w:numId w:val="7"/>
        </w:numPr>
        <w:tabs>
          <w:tab w:val="left" w:pos="426"/>
          <w:tab w:val="left" w:pos="851"/>
        </w:tabs>
        <w:spacing w:after="0" w:line="240" w:lineRule="auto"/>
        <w:jc w:val="both"/>
        <w:rPr>
          <w:rFonts w:ascii="Times New Roman" w:hAnsi="Times New Roman" w:cs="Times New Roman"/>
          <w:szCs w:val="24"/>
        </w:rPr>
      </w:pPr>
      <w:r w:rsidRPr="00E2246C">
        <w:rPr>
          <w:rFonts w:ascii="Times New Roman" w:hAnsi="Times New Roman" w:cs="Times New Roman"/>
          <w:szCs w:val="24"/>
        </w:rPr>
        <w:t>these circumstances should</w:t>
      </w:r>
      <w:r w:rsidR="00327BFB" w:rsidRPr="00E2246C">
        <w:rPr>
          <w:rFonts w:ascii="Times New Roman" w:hAnsi="Times New Roman" w:cs="Times New Roman"/>
          <w:szCs w:val="24"/>
        </w:rPr>
        <w:t xml:space="preserve"> be of a definite tendency u</w:t>
      </w:r>
      <w:r w:rsidR="00E2246C" w:rsidRPr="00E2246C">
        <w:rPr>
          <w:rFonts w:ascii="Times New Roman" w:hAnsi="Times New Roman" w:cs="Times New Roman"/>
          <w:szCs w:val="24"/>
        </w:rPr>
        <w:t xml:space="preserve">nerringly pointing towards the </w:t>
      </w:r>
      <w:r w:rsidR="00327BFB" w:rsidRPr="00E2246C">
        <w:rPr>
          <w:rFonts w:ascii="Times New Roman" w:hAnsi="Times New Roman" w:cs="Times New Roman"/>
          <w:szCs w:val="24"/>
        </w:rPr>
        <w:t xml:space="preserve">guilt of the accused. </w:t>
      </w:r>
    </w:p>
    <w:p w:rsidR="00327BFB" w:rsidRPr="00E2246C" w:rsidRDefault="00327BFB" w:rsidP="00E2246C">
      <w:pPr>
        <w:pStyle w:val="ListParagraph"/>
        <w:numPr>
          <w:ilvl w:val="0"/>
          <w:numId w:val="7"/>
        </w:numPr>
        <w:tabs>
          <w:tab w:val="left" w:pos="851"/>
        </w:tabs>
        <w:spacing w:after="0" w:line="240" w:lineRule="auto"/>
        <w:jc w:val="both"/>
        <w:rPr>
          <w:rFonts w:ascii="Times New Roman" w:hAnsi="Times New Roman" w:cs="Times New Roman"/>
          <w:szCs w:val="24"/>
        </w:rPr>
      </w:pPr>
      <w:r w:rsidRPr="00E2246C">
        <w:rPr>
          <w:rFonts w:ascii="Times New Roman" w:hAnsi="Times New Roman" w:cs="Times New Roman"/>
          <w:szCs w:val="24"/>
        </w:rPr>
        <w:lastRenderedPageBreak/>
        <w:t xml:space="preserve">the circumstances taken cumulatively should form a chain  so complete that there is no  escape from the conclusion that within all human probability the crime was committed by the accused and no one else; and </w:t>
      </w:r>
    </w:p>
    <w:p w:rsidR="003316A1" w:rsidRPr="003C79F4" w:rsidRDefault="00E2246C" w:rsidP="00B952EA">
      <w:pPr>
        <w:pStyle w:val="ListParagraph"/>
        <w:numPr>
          <w:ilvl w:val="0"/>
          <w:numId w:val="7"/>
        </w:numPr>
        <w:tabs>
          <w:tab w:val="left" w:pos="851"/>
        </w:tabs>
        <w:spacing w:after="0" w:line="240" w:lineRule="auto"/>
        <w:jc w:val="both"/>
        <w:rPr>
          <w:rFonts w:ascii="Times New Roman" w:hAnsi="Times New Roman" w:cs="Times New Roman"/>
          <w:sz w:val="24"/>
          <w:szCs w:val="24"/>
        </w:rPr>
      </w:pPr>
      <w:r w:rsidRPr="00B952EA">
        <w:rPr>
          <w:rFonts w:ascii="Times New Roman" w:hAnsi="Times New Roman" w:cs="Times New Roman"/>
          <w:szCs w:val="24"/>
        </w:rPr>
        <w:t>t</w:t>
      </w:r>
      <w:r w:rsidR="00327BFB" w:rsidRPr="00B952EA">
        <w:rPr>
          <w:rFonts w:ascii="Times New Roman" w:hAnsi="Times New Roman" w:cs="Times New Roman"/>
          <w:szCs w:val="24"/>
        </w:rPr>
        <w:t xml:space="preserve">he circumstantial </w:t>
      </w:r>
      <w:r w:rsidRPr="00B952EA">
        <w:rPr>
          <w:rFonts w:ascii="Times New Roman" w:hAnsi="Times New Roman" w:cs="Times New Roman"/>
          <w:szCs w:val="24"/>
        </w:rPr>
        <w:t xml:space="preserve">evidence in order to sustain conviction must be complete and inescapable of explanation by any other hypothesis than that of guilt of the accused but should be inconsistent with his innocence.” </w:t>
      </w:r>
      <w:r>
        <w:rPr>
          <w:rStyle w:val="FootnoteReference"/>
          <w:rFonts w:ascii="Times New Roman" w:hAnsi="Times New Roman" w:cs="Times New Roman"/>
          <w:sz w:val="24"/>
          <w:szCs w:val="24"/>
        </w:rPr>
        <w:footnoteReference w:id="1"/>
      </w:r>
    </w:p>
    <w:p w:rsidR="003C79F4" w:rsidRPr="003316A1" w:rsidRDefault="003C79F4" w:rsidP="003C79F4">
      <w:pPr>
        <w:pStyle w:val="ListParagraph"/>
        <w:tabs>
          <w:tab w:val="left" w:pos="851"/>
        </w:tabs>
        <w:spacing w:after="0" w:line="240" w:lineRule="auto"/>
        <w:ind w:left="1575"/>
        <w:jc w:val="both"/>
        <w:rPr>
          <w:rFonts w:ascii="Times New Roman" w:hAnsi="Times New Roman" w:cs="Times New Roman"/>
          <w:sz w:val="24"/>
          <w:szCs w:val="24"/>
        </w:rPr>
      </w:pPr>
    </w:p>
    <w:p w:rsidR="00E81514" w:rsidRDefault="003C79F4" w:rsidP="003316A1">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of proceedings clearly in our view shows that the complainant’s house was broken into through a closed window and property was stolen. That is not in dispute. The stolen property was recovered from the appellant’s place and other from people who had bought such property from the appellant. The property so recovered belong to the complainant. We do </w:t>
      </w:r>
      <w:r w:rsidR="007571BD">
        <w:rPr>
          <w:rFonts w:ascii="Times New Roman" w:hAnsi="Times New Roman" w:cs="Times New Roman"/>
          <w:sz w:val="24"/>
          <w:szCs w:val="24"/>
        </w:rPr>
        <w:t>not accept the</w:t>
      </w:r>
      <w:r>
        <w:rPr>
          <w:rFonts w:ascii="Times New Roman" w:hAnsi="Times New Roman" w:cs="Times New Roman"/>
          <w:sz w:val="24"/>
          <w:szCs w:val="24"/>
        </w:rPr>
        <w:t xml:space="preserve"> argument by the state which submitted in its heads that it</w:t>
      </w:r>
      <w:r w:rsidR="007571BD">
        <w:rPr>
          <w:rFonts w:ascii="Times New Roman" w:hAnsi="Times New Roman" w:cs="Times New Roman"/>
          <w:sz w:val="24"/>
          <w:szCs w:val="24"/>
        </w:rPr>
        <w:t xml:space="preserve"> i</w:t>
      </w:r>
      <w:r>
        <w:rPr>
          <w:rFonts w:ascii="Times New Roman" w:hAnsi="Times New Roman" w:cs="Times New Roman"/>
          <w:sz w:val="24"/>
          <w:szCs w:val="24"/>
        </w:rPr>
        <w:t xml:space="preserve">s not clear as to how the complainant’s property was broken into, and that complainant’s relatives might have taken the property, that inference is farfetched in our view, first the appellant does not say he </w:t>
      </w:r>
      <w:r w:rsidR="007571BD">
        <w:rPr>
          <w:rFonts w:ascii="Times New Roman" w:hAnsi="Times New Roman" w:cs="Times New Roman"/>
          <w:sz w:val="24"/>
          <w:szCs w:val="24"/>
        </w:rPr>
        <w:t>got the</w:t>
      </w:r>
      <w:r>
        <w:rPr>
          <w:rFonts w:ascii="Times New Roman" w:hAnsi="Times New Roman" w:cs="Times New Roman"/>
          <w:sz w:val="24"/>
          <w:szCs w:val="24"/>
        </w:rPr>
        <w:t xml:space="preserve"> property from complainant’s </w:t>
      </w:r>
      <w:r w:rsidR="00592C91">
        <w:rPr>
          <w:rFonts w:ascii="Times New Roman" w:hAnsi="Times New Roman" w:cs="Times New Roman"/>
          <w:sz w:val="24"/>
          <w:szCs w:val="24"/>
        </w:rPr>
        <w:t>conta</w:t>
      </w:r>
      <w:r w:rsidR="007571BD">
        <w:rPr>
          <w:rFonts w:ascii="Times New Roman" w:hAnsi="Times New Roman" w:cs="Times New Roman"/>
          <w:sz w:val="24"/>
          <w:szCs w:val="24"/>
        </w:rPr>
        <w:t xml:space="preserve">cts, secondly in its own papers the state contends that complainant’s </w:t>
      </w:r>
      <w:r w:rsidR="00C617D4">
        <w:rPr>
          <w:rFonts w:ascii="Times New Roman" w:hAnsi="Times New Roman" w:cs="Times New Roman"/>
          <w:sz w:val="24"/>
          <w:szCs w:val="24"/>
        </w:rPr>
        <w:t xml:space="preserve">house was broken into and that various properties were stolen, some of which was found in appellant’s possession and others from those who had bought from the appellant. It is true that an accused has no onus to prove his innocence but in this case surely he has a duty to prove his possession as an innocent one. </w:t>
      </w:r>
      <w:r w:rsidR="004B707A">
        <w:rPr>
          <w:rFonts w:ascii="Times New Roman" w:hAnsi="Times New Roman" w:cs="Times New Roman"/>
          <w:sz w:val="24"/>
          <w:szCs w:val="24"/>
        </w:rPr>
        <w:t>He ought to have at least call</w:t>
      </w:r>
      <w:r w:rsidR="00592C91">
        <w:rPr>
          <w:rFonts w:ascii="Times New Roman" w:hAnsi="Times New Roman" w:cs="Times New Roman"/>
          <w:sz w:val="24"/>
          <w:szCs w:val="24"/>
        </w:rPr>
        <w:t>ed</w:t>
      </w:r>
      <w:r w:rsidR="004B707A">
        <w:rPr>
          <w:rFonts w:ascii="Times New Roman" w:hAnsi="Times New Roman" w:cs="Times New Roman"/>
          <w:sz w:val="24"/>
          <w:szCs w:val="24"/>
        </w:rPr>
        <w:t xml:space="preserve"> his brother and son to come and </w:t>
      </w:r>
      <w:r w:rsidR="00592C91">
        <w:rPr>
          <w:rFonts w:ascii="Times New Roman" w:hAnsi="Times New Roman" w:cs="Times New Roman"/>
          <w:sz w:val="24"/>
          <w:szCs w:val="24"/>
        </w:rPr>
        <w:t>explain</w:t>
      </w:r>
      <w:r w:rsidR="004B707A">
        <w:rPr>
          <w:rFonts w:ascii="Times New Roman" w:hAnsi="Times New Roman" w:cs="Times New Roman"/>
          <w:sz w:val="24"/>
          <w:szCs w:val="24"/>
        </w:rPr>
        <w:t xml:space="preserve"> how they came to possess complainant’s property which was found in appellant’s possession or sold by the appellant. The appellant did not challenge much of the state’s evidence and could not allege that the same property which complainant claimed to be hers belonged to appellant’s brother and son, he stated that he was willing to compensate complainant</w:t>
      </w:r>
      <w:r w:rsidR="00D026AD">
        <w:rPr>
          <w:rFonts w:ascii="Times New Roman" w:hAnsi="Times New Roman" w:cs="Times New Roman"/>
          <w:sz w:val="24"/>
          <w:szCs w:val="24"/>
        </w:rPr>
        <w:t xml:space="preserve"> why would appellant offer to compensate complainant</w:t>
      </w:r>
      <w:r w:rsidR="004B707A">
        <w:rPr>
          <w:rFonts w:ascii="Times New Roman" w:hAnsi="Times New Roman" w:cs="Times New Roman"/>
          <w:sz w:val="24"/>
          <w:szCs w:val="24"/>
        </w:rPr>
        <w:t xml:space="preserve"> if his possession or acquisition of that property was innocent</w:t>
      </w:r>
      <w:r w:rsidR="00D026AD">
        <w:rPr>
          <w:rFonts w:ascii="Times New Roman" w:hAnsi="Times New Roman" w:cs="Times New Roman"/>
          <w:sz w:val="24"/>
          <w:szCs w:val="24"/>
        </w:rPr>
        <w:t>?</w:t>
      </w:r>
      <w:r w:rsidR="004B707A">
        <w:rPr>
          <w:rFonts w:ascii="Times New Roman" w:hAnsi="Times New Roman" w:cs="Times New Roman"/>
          <w:sz w:val="24"/>
          <w:szCs w:val="24"/>
        </w:rPr>
        <w:t xml:space="preserve"> Further, if the appellant’s intention was to safeguard the property why would he sell that property to third parties?</w:t>
      </w:r>
      <w:r w:rsidR="00E81514" w:rsidRPr="003316A1">
        <w:rPr>
          <w:rFonts w:ascii="Times New Roman" w:hAnsi="Times New Roman" w:cs="Times New Roman"/>
          <w:sz w:val="24"/>
          <w:szCs w:val="24"/>
        </w:rPr>
        <w:t xml:space="preserve"> </w:t>
      </w:r>
    </w:p>
    <w:p w:rsidR="00364B17" w:rsidRDefault="00364B17" w:rsidP="003316A1">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because of the</w:t>
      </w:r>
      <w:r w:rsidR="00D026AD">
        <w:rPr>
          <w:rFonts w:ascii="Times New Roman" w:hAnsi="Times New Roman" w:cs="Times New Roman"/>
          <w:sz w:val="24"/>
          <w:szCs w:val="24"/>
        </w:rPr>
        <w:t xml:space="preserve"> foregoing analysis that we felt</w:t>
      </w:r>
      <w:r>
        <w:rPr>
          <w:rFonts w:ascii="Times New Roman" w:hAnsi="Times New Roman" w:cs="Times New Roman"/>
          <w:sz w:val="24"/>
          <w:szCs w:val="24"/>
        </w:rPr>
        <w:t xml:space="preserve"> the concession made by the state was not proper, in our view, and we did not accept it. </w:t>
      </w:r>
    </w:p>
    <w:p w:rsidR="00AE15BA" w:rsidRDefault="00364B17" w:rsidP="003316A1">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see no fault in the approach used by the trial court and are satisfied that the conviction of the appellant is unassailable. </w:t>
      </w:r>
    </w:p>
    <w:p w:rsidR="00EE6090" w:rsidRDefault="00AE15BA" w:rsidP="003316A1">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regards sentence, the value of $2 500-00 constituted value which was not recovered and the appellant never challenged that value at all. The value was supplied by the complainant and there is </w:t>
      </w:r>
      <w:r w:rsidR="005370E4">
        <w:rPr>
          <w:rFonts w:ascii="Times New Roman" w:hAnsi="Times New Roman" w:cs="Times New Roman"/>
          <w:sz w:val="24"/>
          <w:szCs w:val="24"/>
        </w:rPr>
        <w:t>no misdirection</w:t>
      </w:r>
      <w:r>
        <w:rPr>
          <w:rFonts w:ascii="Times New Roman" w:hAnsi="Times New Roman" w:cs="Times New Roman"/>
          <w:sz w:val="24"/>
          <w:szCs w:val="24"/>
        </w:rPr>
        <w:t xml:space="preserve"> by the court </w:t>
      </w:r>
      <w:r>
        <w:rPr>
          <w:rFonts w:ascii="Times New Roman" w:hAnsi="Times New Roman" w:cs="Times New Roman"/>
          <w:i/>
          <w:sz w:val="24"/>
          <w:szCs w:val="24"/>
        </w:rPr>
        <w:t>a quo</w:t>
      </w:r>
      <w:r>
        <w:rPr>
          <w:rFonts w:ascii="Times New Roman" w:hAnsi="Times New Roman" w:cs="Times New Roman"/>
          <w:sz w:val="24"/>
          <w:szCs w:val="24"/>
        </w:rPr>
        <w:t xml:space="preserve"> in ordering restitution </w:t>
      </w:r>
      <w:r w:rsidR="00EE6090">
        <w:rPr>
          <w:rFonts w:ascii="Times New Roman" w:hAnsi="Times New Roman" w:cs="Times New Roman"/>
          <w:sz w:val="24"/>
          <w:szCs w:val="24"/>
        </w:rPr>
        <w:t xml:space="preserve">amounting to that value. </w:t>
      </w:r>
    </w:p>
    <w:p w:rsidR="00EE6090" w:rsidRDefault="00EE6090" w:rsidP="003316A1">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Hence the following order is returned:</w:t>
      </w:r>
    </w:p>
    <w:p w:rsidR="00364B17" w:rsidRPr="003316A1" w:rsidRDefault="00EE6090" w:rsidP="003316A1">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 be and is hereby dismissed in its entirety. </w:t>
      </w:r>
      <w:r w:rsidR="00364B17">
        <w:rPr>
          <w:rFonts w:ascii="Times New Roman" w:hAnsi="Times New Roman" w:cs="Times New Roman"/>
          <w:sz w:val="24"/>
          <w:szCs w:val="24"/>
        </w:rPr>
        <w:t xml:space="preserve">  </w:t>
      </w:r>
    </w:p>
    <w:p w:rsidR="00CA070F" w:rsidRPr="006042C6" w:rsidRDefault="00CA070F" w:rsidP="006042C6">
      <w:pPr>
        <w:tabs>
          <w:tab w:val="left" w:pos="851"/>
        </w:tabs>
        <w:spacing w:after="0" w:line="360" w:lineRule="auto"/>
        <w:jc w:val="both"/>
        <w:rPr>
          <w:rFonts w:ascii="Times New Roman" w:hAnsi="Times New Roman" w:cs="Times New Roman"/>
          <w:sz w:val="24"/>
          <w:szCs w:val="24"/>
        </w:rPr>
      </w:pPr>
    </w:p>
    <w:p w:rsidR="00331A67" w:rsidRDefault="00331A67" w:rsidP="00331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C27D0" w:rsidRPr="00606C72" w:rsidRDefault="00BF77C0" w:rsidP="00BF77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932A48" w:rsidRPr="00BA522D" w:rsidRDefault="00DD20A3" w:rsidP="00BA5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522D">
        <w:rPr>
          <w:rFonts w:ascii="Times New Roman" w:hAnsi="Times New Roman" w:cs="Times New Roman"/>
          <w:sz w:val="24"/>
          <w:szCs w:val="24"/>
        </w:rPr>
        <w:t xml:space="preserve"> </w:t>
      </w:r>
      <w:r w:rsidR="005370E4">
        <w:rPr>
          <w:rFonts w:ascii="Times New Roman" w:hAnsi="Times New Roman" w:cs="Times New Roman"/>
          <w:sz w:val="24"/>
          <w:szCs w:val="24"/>
        </w:rPr>
        <w:t>MWAYERA J agrees ________________</w:t>
      </w: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194AEA">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194AEA" w:rsidRPr="00194AEA" w:rsidRDefault="00194AEA"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Zimbabwe Lawyers for Human Rights</w:t>
      </w:r>
      <w:r>
        <w:rPr>
          <w:rFonts w:ascii="Times New Roman" w:hAnsi="Times New Roman" w:cs="Times New Roman"/>
          <w:sz w:val="24"/>
          <w:szCs w:val="24"/>
        </w:rPr>
        <w:t xml:space="preserve">, </w:t>
      </w:r>
      <w:r w:rsidR="00771B29">
        <w:rPr>
          <w:rFonts w:ascii="Times New Roman" w:hAnsi="Times New Roman" w:cs="Times New Roman"/>
          <w:sz w:val="24"/>
          <w:szCs w:val="24"/>
        </w:rPr>
        <w:t xml:space="preserve">accused’s legal practitioners </w:t>
      </w:r>
    </w:p>
    <w:p w:rsidR="00EB1E86" w:rsidRPr="00C8745C" w:rsidRDefault="00EB1E86" w:rsidP="001A5B7A">
      <w:pPr>
        <w:spacing w:after="0" w:line="360" w:lineRule="auto"/>
        <w:ind w:firstLine="720"/>
        <w:jc w:val="both"/>
        <w:rPr>
          <w:rFonts w:ascii="Times New Roman" w:hAnsi="Times New Roman" w:cs="Times New Roman"/>
          <w:sz w:val="24"/>
          <w:szCs w:val="24"/>
        </w:rPr>
      </w:pP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121" w:rsidRDefault="006D0121" w:rsidP="00A170B3">
      <w:pPr>
        <w:spacing w:after="0" w:line="240" w:lineRule="auto"/>
      </w:pPr>
      <w:r>
        <w:separator/>
      </w:r>
    </w:p>
  </w:endnote>
  <w:endnote w:type="continuationSeparator" w:id="0">
    <w:p w:rsidR="006D0121" w:rsidRDefault="006D0121"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ED" w:rsidRDefault="00393D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ED" w:rsidRDefault="00393D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ED" w:rsidRDefault="00393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121" w:rsidRDefault="006D0121" w:rsidP="00A170B3">
      <w:pPr>
        <w:spacing w:after="0" w:line="240" w:lineRule="auto"/>
      </w:pPr>
      <w:r>
        <w:separator/>
      </w:r>
    </w:p>
  </w:footnote>
  <w:footnote w:type="continuationSeparator" w:id="0">
    <w:p w:rsidR="006D0121" w:rsidRDefault="006D0121" w:rsidP="00A170B3">
      <w:pPr>
        <w:spacing w:after="0" w:line="240" w:lineRule="auto"/>
      </w:pPr>
      <w:r>
        <w:continuationSeparator/>
      </w:r>
    </w:p>
  </w:footnote>
  <w:footnote w:id="1">
    <w:p w:rsidR="00E2246C" w:rsidRDefault="00E2246C">
      <w:pPr>
        <w:pStyle w:val="FootnoteText"/>
      </w:pPr>
      <w:r>
        <w:rPr>
          <w:rStyle w:val="FootnoteReference"/>
        </w:rPr>
        <w:footnoteRef/>
      </w:r>
      <w:r>
        <w:t xml:space="preserve"> </w:t>
      </w:r>
      <w:r w:rsidR="007571BD">
        <w:t xml:space="preserve"> </w:t>
      </w:r>
      <w:r>
        <w:t>R v Bloom 1939 AD 188 at p. 202 -203</w:t>
      </w:r>
    </w:p>
    <w:p w:rsidR="007571BD" w:rsidRDefault="007571BD">
      <w:pPr>
        <w:pStyle w:val="FootnoteText"/>
      </w:pPr>
      <w:r>
        <w:t xml:space="preserve">    S v Makunyanga HH 179/2013</w:t>
      </w:r>
    </w:p>
    <w:p w:rsidR="007571BD" w:rsidRDefault="007571BD">
      <w:pPr>
        <w:pStyle w:val="FootnoteText"/>
      </w:pPr>
      <w:r>
        <w:t xml:space="preserve">    S v Shomwa 1987 (1) ZLR 215</w:t>
      </w:r>
    </w:p>
    <w:p w:rsidR="007571BD" w:rsidRDefault="007571BD">
      <w:pPr>
        <w:pStyle w:val="FootnoteText"/>
      </w:pPr>
      <w:r>
        <w:t xml:space="preserve">     R v Sibanda1965 RLR 363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ED" w:rsidRDefault="00393D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393DED">
          <w:rPr>
            <w:rFonts w:ascii="Times New Roman" w:hAnsi="Times New Roman" w:cs="Times New Roman"/>
            <w:noProof/>
          </w:rPr>
          <w:t>1</w:t>
        </w:r>
        <w:r w:rsidRPr="00A170B3">
          <w:rPr>
            <w:rFonts w:ascii="Times New Roman" w:hAnsi="Times New Roman" w:cs="Times New Roman"/>
            <w:noProof/>
          </w:rPr>
          <w:fldChar w:fldCharType="end"/>
        </w:r>
      </w:p>
      <w:p w:rsidR="00A170B3" w:rsidRDefault="00393DED">
        <w:pPr>
          <w:pStyle w:val="Header"/>
          <w:jc w:val="right"/>
          <w:rPr>
            <w:rFonts w:ascii="Times New Roman" w:hAnsi="Times New Roman" w:cs="Times New Roman"/>
            <w:noProof/>
          </w:rPr>
        </w:pPr>
        <w:r>
          <w:rPr>
            <w:rFonts w:ascii="Times New Roman" w:hAnsi="Times New Roman" w:cs="Times New Roman"/>
            <w:noProof/>
          </w:rPr>
          <w:t>HMT 8</w:t>
        </w:r>
        <w:bookmarkStart w:id="0" w:name="_GoBack"/>
        <w:bookmarkEnd w:id="0"/>
        <w:r w:rsidR="00B47675">
          <w:rPr>
            <w:rFonts w:ascii="Times New Roman" w:hAnsi="Times New Roman" w:cs="Times New Roman"/>
            <w:noProof/>
          </w:rPr>
          <w:t>-</w:t>
        </w:r>
        <w:r w:rsidR="006817BE">
          <w:rPr>
            <w:rFonts w:ascii="Times New Roman" w:hAnsi="Times New Roman" w:cs="Times New Roman"/>
            <w:noProof/>
          </w:rPr>
          <w:t>20</w:t>
        </w:r>
      </w:p>
      <w:p w:rsidR="007B0C08" w:rsidRDefault="007B0C08">
        <w:pPr>
          <w:pStyle w:val="Header"/>
          <w:jc w:val="right"/>
          <w:rPr>
            <w:rFonts w:ascii="Times New Roman" w:hAnsi="Times New Roman" w:cs="Times New Roman"/>
            <w:noProof/>
          </w:rPr>
        </w:pPr>
        <w:r>
          <w:rPr>
            <w:rFonts w:ascii="Times New Roman" w:hAnsi="Times New Roman" w:cs="Times New Roman"/>
            <w:noProof/>
          </w:rPr>
          <w:t>CA 66/19</w:t>
        </w:r>
      </w:p>
      <w:p w:rsidR="00A170B3" w:rsidRPr="00A170B3" w:rsidRDefault="007B0C08">
        <w:pPr>
          <w:pStyle w:val="Header"/>
          <w:jc w:val="right"/>
          <w:rPr>
            <w:rFonts w:ascii="Times New Roman" w:hAnsi="Times New Roman" w:cs="Times New Roman"/>
          </w:rPr>
        </w:pPr>
        <w:r>
          <w:rPr>
            <w:rFonts w:ascii="Times New Roman" w:hAnsi="Times New Roman" w:cs="Times New Roman"/>
            <w:noProof/>
          </w:rPr>
          <w:t>CRB MDS 30/19</w:t>
        </w:r>
        <w:r w:rsidR="00A170B3">
          <w:rPr>
            <w:rFonts w:ascii="Times New Roman" w:hAnsi="Times New Roman" w:cs="Times New Roman"/>
            <w:noProof/>
          </w:rPr>
          <w:t xml:space="preserve"> </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ED" w:rsidRDefault="00393D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7450A"/>
    <w:rsid w:val="000A6C61"/>
    <w:rsid w:val="000C28D1"/>
    <w:rsid w:val="000C41EB"/>
    <w:rsid w:val="000E13C3"/>
    <w:rsid w:val="0012385A"/>
    <w:rsid w:val="00130B1E"/>
    <w:rsid w:val="00130EAC"/>
    <w:rsid w:val="00136DD1"/>
    <w:rsid w:val="00177FA9"/>
    <w:rsid w:val="00187801"/>
    <w:rsid w:val="00193AEC"/>
    <w:rsid w:val="00194AEA"/>
    <w:rsid w:val="001A5B7A"/>
    <w:rsid w:val="001B0B03"/>
    <w:rsid w:val="001F2157"/>
    <w:rsid w:val="001F4085"/>
    <w:rsid w:val="00204999"/>
    <w:rsid w:val="002066D5"/>
    <w:rsid w:val="002110B7"/>
    <w:rsid w:val="002443E9"/>
    <w:rsid w:val="002C308B"/>
    <w:rsid w:val="002E483F"/>
    <w:rsid w:val="002F4DDE"/>
    <w:rsid w:val="00322C0F"/>
    <w:rsid w:val="00327BFB"/>
    <w:rsid w:val="003316A1"/>
    <w:rsid w:val="00331A67"/>
    <w:rsid w:val="00364B17"/>
    <w:rsid w:val="00393DED"/>
    <w:rsid w:val="003970E9"/>
    <w:rsid w:val="003C1DE7"/>
    <w:rsid w:val="003C6E17"/>
    <w:rsid w:val="003C79F4"/>
    <w:rsid w:val="003C7D1E"/>
    <w:rsid w:val="004118EA"/>
    <w:rsid w:val="00435226"/>
    <w:rsid w:val="00445166"/>
    <w:rsid w:val="0047279B"/>
    <w:rsid w:val="00480955"/>
    <w:rsid w:val="004A33D6"/>
    <w:rsid w:val="004B707A"/>
    <w:rsid w:val="004E53B9"/>
    <w:rsid w:val="004F27C5"/>
    <w:rsid w:val="00512C69"/>
    <w:rsid w:val="00513F2A"/>
    <w:rsid w:val="005370E4"/>
    <w:rsid w:val="00554058"/>
    <w:rsid w:val="00561006"/>
    <w:rsid w:val="00583305"/>
    <w:rsid w:val="00587CE2"/>
    <w:rsid w:val="00592C91"/>
    <w:rsid w:val="00595E78"/>
    <w:rsid w:val="005A03DD"/>
    <w:rsid w:val="005A0733"/>
    <w:rsid w:val="005F1353"/>
    <w:rsid w:val="005F4FC3"/>
    <w:rsid w:val="006042C6"/>
    <w:rsid w:val="00606C72"/>
    <w:rsid w:val="0063458A"/>
    <w:rsid w:val="00661148"/>
    <w:rsid w:val="00663DFF"/>
    <w:rsid w:val="00672AE7"/>
    <w:rsid w:val="006817BE"/>
    <w:rsid w:val="00682668"/>
    <w:rsid w:val="006B36B0"/>
    <w:rsid w:val="006D0121"/>
    <w:rsid w:val="00723DAD"/>
    <w:rsid w:val="007571BD"/>
    <w:rsid w:val="00771B29"/>
    <w:rsid w:val="00781FB6"/>
    <w:rsid w:val="007B0C08"/>
    <w:rsid w:val="007B2076"/>
    <w:rsid w:val="007C0CB4"/>
    <w:rsid w:val="00807F23"/>
    <w:rsid w:val="00831EA5"/>
    <w:rsid w:val="00893FE4"/>
    <w:rsid w:val="00921977"/>
    <w:rsid w:val="00930339"/>
    <w:rsid w:val="00932A48"/>
    <w:rsid w:val="009A2536"/>
    <w:rsid w:val="009C304E"/>
    <w:rsid w:val="009C40B3"/>
    <w:rsid w:val="00A01D59"/>
    <w:rsid w:val="00A15814"/>
    <w:rsid w:val="00A170B3"/>
    <w:rsid w:val="00A70C6C"/>
    <w:rsid w:val="00AA09C3"/>
    <w:rsid w:val="00AA4EFA"/>
    <w:rsid w:val="00AB0A71"/>
    <w:rsid w:val="00AC16D4"/>
    <w:rsid w:val="00AE15BA"/>
    <w:rsid w:val="00B1590F"/>
    <w:rsid w:val="00B1698E"/>
    <w:rsid w:val="00B47675"/>
    <w:rsid w:val="00B571DC"/>
    <w:rsid w:val="00B95279"/>
    <w:rsid w:val="00B952EA"/>
    <w:rsid w:val="00BA522D"/>
    <w:rsid w:val="00BC0DA7"/>
    <w:rsid w:val="00BD7C89"/>
    <w:rsid w:val="00BF77C0"/>
    <w:rsid w:val="00C24349"/>
    <w:rsid w:val="00C3249E"/>
    <w:rsid w:val="00C37E01"/>
    <w:rsid w:val="00C52FF9"/>
    <w:rsid w:val="00C617D4"/>
    <w:rsid w:val="00C8745C"/>
    <w:rsid w:val="00CA070F"/>
    <w:rsid w:val="00CB7BFE"/>
    <w:rsid w:val="00CE1BF4"/>
    <w:rsid w:val="00CE4690"/>
    <w:rsid w:val="00D026AD"/>
    <w:rsid w:val="00D26AE6"/>
    <w:rsid w:val="00D45345"/>
    <w:rsid w:val="00D63251"/>
    <w:rsid w:val="00DC27D0"/>
    <w:rsid w:val="00DD20A3"/>
    <w:rsid w:val="00DF0DF0"/>
    <w:rsid w:val="00E2246C"/>
    <w:rsid w:val="00E33471"/>
    <w:rsid w:val="00E479BF"/>
    <w:rsid w:val="00E47EB6"/>
    <w:rsid w:val="00E81514"/>
    <w:rsid w:val="00EB1E86"/>
    <w:rsid w:val="00EE012A"/>
    <w:rsid w:val="00EE6090"/>
    <w:rsid w:val="00F463F9"/>
    <w:rsid w:val="00F53BCF"/>
    <w:rsid w:val="00F735E4"/>
    <w:rsid w:val="00F93A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2B6B2-BDE5-410E-83BE-EEF2FCEB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39</cp:revision>
  <dcterms:created xsi:type="dcterms:W3CDTF">2020-01-14T10:45:00Z</dcterms:created>
  <dcterms:modified xsi:type="dcterms:W3CDTF">2020-02-03T09:50:00Z</dcterms:modified>
</cp:coreProperties>
</file>