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B8" w:rsidRDefault="000426B8" w:rsidP="000426B8">
      <w:pPr>
        <w:pStyle w:val="NoSpacing"/>
        <w:jc w:val="both"/>
        <w:rPr>
          <w:b/>
          <w:sz w:val="24"/>
          <w:szCs w:val="24"/>
          <w:lang w:val="en-US"/>
        </w:rPr>
      </w:pPr>
      <w:r>
        <w:rPr>
          <w:b/>
          <w:sz w:val="24"/>
          <w:szCs w:val="24"/>
          <w:lang w:val="en-US"/>
        </w:rPr>
        <w:t>LIBERTY MUCHENA</w:t>
      </w:r>
    </w:p>
    <w:p w:rsidR="000426B8" w:rsidRDefault="000426B8" w:rsidP="000426B8">
      <w:pPr>
        <w:pStyle w:val="NoSpacing"/>
        <w:jc w:val="both"/>
        <w:rPr>
          <w:b/>
          <w:sz w:val="24"/>
          <w:szCs w:val="24"/>
          <w:lang w:val="en-US"/>
        </w:rPr>
      </w:pPr>
    </w:p>
    <w:p w:rsidR="000426B8" w:rsidRDefault="000426B8" w:rsidP="000426B8">
      <w:pPr>
        <w:pStyle w:val="NoSpacing"/>
        <w:jc w:val="both"/>
        <w:rPr>
          <w:b/>
          <w:sz w:val="24"/>
          <w:szCs w:val="24"/>
          <w:lang w:val="en-US"/>
        </w:rPr>
      </w:pPr>
      <w:r>
        <w:rPr>
          <w:b/>
          <w:sz w:val="24"/>
          <w:szCs w:val="24"/>
          <w:lang w:val="en-US"/>
        </w:rPr>
        <w:t>Versus</w:t>
      </w:r>
    </w:p>
    <w:p w:rsidR="000426B8" w:rsidRDefault="000426B8" w:rsidP="000426B8">
      <w:pPr>
        <w:pStyle w:val="NoSpacing"/>
        <w:jc w:val="both"/>
        <w:rPr>
          <w:b/>
          <w:sz w:val="24"/>
          <w:szCs w:val="24"/>
          <w:lang w:val="en-US"/>
        </w:rPr>
      </w:pPr>
    </w:p>
    <w:p w:rsidR="000426B8" w:rsidRDefault="000426B8" w:rsidP="000426B8">
      <w:pPr>
        <w:pStyle w:val="NoSpacing"/>
        <w:jc w:val="both"/>
        <w:rPr>
          <w:b/>
          <w:sz w:val="24"/>
          <w:szCs w:val="24"/>
          <w:lang w:val="en-US"/>
        </w:rPr>
      </w:pPr>
      <w:r>
        <w:rPr>
          <w:b/>
          <w:sz w:val="24"/>
          <w:szCs w:val="24"/>
          <w:lang w:val="en-US"/>
        </w:rPr>
        <w:t>POLICE SERVICE COMMISSION</w:t>
      </w:r>
    </w:p>
    <w:p w:rsidR="000426B8" w:rsidRDefault="000426B8" w:rsidP="000426B8">
      <w:pPr>
        <w:pStyle w:val="NoSpacing"/>
        <w:jc w:val="both"/>
        <w:rPr>
          <w:b/>
          <w:sz w:val="24"/>
          <w:szCs w:val="24"/>
          <w:lang w:val="en-US"/>
        </w:rPr>
      </w:pPr>
    </w:p>
    <w:p w:rsidR="000426B8" w:rsidRDefault="000426B8" w:rsidP="000426B8">
      <w:pPr>
        <w:pStyle w:val="NoSpacing"/>
        <w:jc w:val="both"/>
        <w:rPr>
          <w:b/>
          <w:sz w:val="24"/>
          <w:szCs w:val="24"/>
          <w:lang w:val="en-US"/>
        </w:rPr>
      </w:pPr>
      <w:r>
        <w:rPr>
          <w:b/>
          <w:sz w:val="24"/>
          <w:szCs w:val="24"/>
          <w:lang w:val="en-US"/>
        </w:rPr>
        <w:t>And</w:t>
      </w:r>
    </w:p>
    <w:p w:rsidR="000426B8" w:rsidRDefault="000426B8" w:rsidP="000426B8">
      <w:pPr>
        <w:pStyle w:val="NoSpacing"/>
        <w:jc w:val="both"/>
        <w:rPr>
          <w:b/>
          <w:sz w:val="24"/>
          <w:szCs w:val="24"/>
          <w:lang w:val="en-US"/>
        </w:rPr>
      </w:pPr>
    </w:p>
    <w:p w:rsidR="000426B8" w:rsidRDefault="000426B8" w:rsidP="000426B8">
      <w:pPr>
        <w:pStyle w:val="NoSpacing"/>
        <w:jc w:val="both"/>
        <w:rPr>
          <w:b/>
          <w:sz w:val="24"/>
          <w:szCs w:val="24"/>
          <w:lang w:val="en-US"/>
        </w:rPr>
      </w:pPr>
      <w:r>
        <w:rPr>
          <w:b/>
          <w:sz w:val="24"/>
          <w:szCs w:val="24"/>
          <w:lang w:val="en-US"/>
        </w:rPr>
        <w:t>THE COMMISSIONER GENERAL OF POLICE</w:t>
      </w:r>
    </w:p>
    <w:p w:rsidR="000426B8" w:rsidRDefault="000426B8" w:rsidP="000426B8">
      <w:pPr>
        <w:pStyle w:val="NoSpacing"/>
        <w:jc w:val="both"/>
        <w:rPr>
          <w:b/>
          <w:sz w:val="24"/>
          <w:szCs w:val="24"/>
          <w:lang w:val="en-US"/>
        </w:rPr>
      </w:pPr>
    </w:p>
    <w:p w:rsidR="000426B8" w:rsidRDefault="000426B8" w:rsidP="000426B8">
      <w:pPr>
        <w:pStyle w:val="NoSpacing"/>
        <w:jc w:val="both"/>
        <w:rPr>
          <w:sz w:val="24"/>
          <w:szCs w:val="24"/>
          <w:lang w:val="en-US"/>
        </w:rPr>
      </w:pPr>
    </w:p>
    <w:p w:rsidR="000426B8" w:rsidRDefault="000426B8" w:rsidP="000426B8">
      <w:pPr>
        <w:pStyle w:val="NoSpacing"/>
        <w:jc w:val="both"/>
        <w:rPr>
          <w:sz w:val="24"/>
          <w:szCs w:val="24"/>
          <w:lang w:val="en-US"/>
        </w:rPr>
      </w:pPr>
      <w:r>
        <w:rPr>
          <w:sz w:val="24"/>
          <w:szCs w:val="24"/>
          <w:lang w:val="en-US"/>
        </w:rPr>
        <w:t>IN THE HIGH COURT OF ZIMBABWE</w:t>
      </w:r>
    </w:p>
    <w:p w:rsidR="000426B8" w:rsidRDefault="00BF7418" w:rsidP="000426B8">
      <w:pPr>
        <w:pStyle w:val="NoSpacing"/>
        <w:jc w:val="both"/>
        <w:rPr>
          <w:sz w:val="24"/>
          <w:szCs w:val="24"/>
          <w:lang w:val="en-US"/>
        </w:rPr>
      </w:pPr>
      <w:r>
        <w:rPr>
          <w:sz w:val="24"/>
          <w:szCs w:val="24"/>
          <w:lang w:val="en-US"/>
        </w:rPr>
        <w:t>KABASA</w:t>
      </w:r>
      <w:r w:rsidR="000426B8">
        <w:rPr>
          <w:sz w:val="24"/>
          <w:szCs w:val="24"/>
          <w:lang w:val="en-US"/>
        </w:rPr>
        <w:t xml:space="preserve"> J</w:t>
      </w:r>
    </w:p>
    <w:p w:rsidR="000426B8" w:rsidRDefault="00BF7418" w:rsidP="000426B8">
      <w:pPr>
        <w:pStyle w:val="NoSpacing"/>
        <w:jc w:val="both"/>
        <w:rPr>
          <w:sz w:val="24"/>
          <w:szCs w:val="24"/>
          <w:lang w:val="en-US"/>
        </w:rPr>
      </w:pPr>
      <w:r>
        <w:rPr>
          <w:sz w:val="24"/>
          <w:szCs w:val="24"/>
          <w:lang w:val="en-US"/>
        </w:rPr>
        <w:t>BULAWAYO 16</w:t>
      </w:r>
      <w:r w:rsidR="000426B8">
        <w:rPr>
          <w:sz w:val="24"/>
          <w:szCs w:val="24"/>
          <w:lang w:val="en-US"/>
        </w:rPr>
        <w:t xml:space="preserve"> AND 23 JUNE 2022</w:t>
      </w:r>
    </w:p>
    <w:p w:rsidR="000426B8" w:rsidRDefault="000426B8" w:rsidP="000426B8">
      <w:pPr>
        <w:pStyle w:val="NoSpacing"/>
        <w:jc w:val="both"/>
        <w:rPr>
          <w:sz w:val="24"/>
          <w:szCs w:val="24"/>
          <w:lang w:val="en-US"/>
        </w:rPr>
      </w:pPr>
    </w:p>
    <w:p w:rsidR="000426B8" w:rsidRDefault="000426B8" w:rsidP="000426B8">
      <w:pPr>
        <w:pStyle w:val="NoSpacing"/>
        <w:jc w:val="both"/>
        <w:rPr>
          <w:b/>
          <w:sz w:val="24"/>
          <w:szCs w:val="24"/>
          <w:lang w:val="en-US"/>
        </w:rPr>
      </w:pPr>
    </w:p>
    <w:p w:rsidR="000426B8" w:rsidRDefault="000426B8" w:rsidP="000426B8">
      <w:pPr>
        <w:pStyle w:val="NoSpacing"/>
        <w:jc w:val="both"/>
        <w:rPr>
          <w:b/>
          <w:sz w:val="24"/>
          <w:szCs w:val="24"/>
          <w:lang w:val="en-US"/>
        </w:rPr>
      </w:pPr>
      <w:r>
        <w:rPr>
          <w:b/>
          <w:sz w:val="24"/>
          <w:szCs w:val="24"/>
          <w:lang w:val="en-US"/>
        </w:rPr>
        <w:t>Opposed Application</w:t>
      </w:r>
    </w:p>
    <w:p w:rsidR="000426B8" w:rsidRDefault="000426B8" w:rsidP="000426B8">
      <w:pPr>
        <w:pStyle w:val="NoSpacing"/>
        <w:jc w:val="both"/>
        <w:rPr>
          <w:b/>
          <w:sz w:val="24"/>
          <w:szCs w:val="24"/>
          <w:lang w:val="en-US"/>
        </w:rPr>
      </w:pPr>
    </w:p>
    <w:p w:rsidR="000426B8" w:rsidRDefault="000426B8" w:rsidP="000426B8">
      <w:pPr>
        <w:pStyle w:val="NoSpacing"/>
        <w:jc w:val="both"/>
        <w:rPr>
          <w:i/>
          <w:sz w:val="24"/>
          <w:szCs w:val="24"/>
          <w:lang w:val="en-US"/>
        </w:rPr>
      </w:pPr>
    </w:p>
    <w:p w:rsidR="000426B8" w:rsidRPr="00BF7418" w:rsidRDefault="00BF7418" w:rsidP="000426B8">
      <w:pPr>
        <w:pStyle w:val="NoSpacing"/>
        <w:jc w:val="both"/>
        <w:rPr>
          <w:sz w:val="24"/>
          <w:szCs w:val="24"/>
          <w:lang w:val="en-US"/>
        </w:rPr>
      </w:pPr>
      <w:r>
        <w:rPr>
          <w:sz w:val="24"/>
          <w:szCs w:val="24"/>
          <w:lang w:val="en-US"/>
        </w:rPr>
        <w:t>Applicant in person</w:t>
      </w:r>
    </w:p>
    <w:p w:rsidR="000426B8" w:rsidRDefault="00BF7418" w:rsidP="000426B8">
      <w:pPr>
        <w:pStyle w:val="NoSpacing"/>
        <w:jc w:val="both"/>
        <w:rPr>
          <w:sz w:val="24"/>
          <w:szCs w:val="24"/>
          <w:lang w:val="en-US"/>
        </w:rPr>
      </w:pPr>
      <w:r>
        <w:rPr>
          <w:i/>
          <w:sz w:val="24"/>
          <w:szCs w:val="24"/>
          <w:lang w:val="en-US"/>
        </w:rPr>
        <w:t>T.E Kamema</w:t>
      </w:r>
      <w:r w:rsidR="000426B8">
        <w:rPr>
          <w:i/>
          <w:sz w:val="24"/>
          <w:szCs w:val="24"/>
          <w:lang w:val="en-US"/>
        </w:rPr>
        <w:t xml:space="preserve">, </w:t>
      </w:r>
      <w:r w:rsidR="000426B8">
        <w:rPr>
          <w:sz w:val="24"/>
          <w:szCs w:val="24"/>
          <w:lang w:val="en-US"/>
        </w:rPr>
        <w:t xml:space="preserve">for the </w:t>
      </w:r>
      <w:r>
        <w:rPr>
          <w:sz w:val="24"/>
          <w:szCs w:val="24"/>
          <w:lang w:val="en-US"/>
        </w:rPr>
        <w:t>1</w:t>
      </w:r>
      <w:r w:rsidRPr="00BF7418">
        <w:rPr>
          <w:sz w:val="24"/>
          <w:szCs w:val="24"/>
          <w:vertAlign w:val="superscript"/>
          <w:lang w:val="en-US"/>
        </w:rPr>
        <w:t>st</w:t>
      </w:r>
      <w:r>
        <w:rPr>
          <w:sz w:val="24"/>
          <w:szCs w:val="24"/>
          <w:lang w:val="en-US"/>
        </w:rPr>
        <w:t xml:space="preserve"> and 2</w:t>
      </w:r>
      <w:r w:rsidRPr="00BF7418">
        <w:rPr>
          <w:sz w:val="24"/>
          <w:szCs w:val="24"/>
          <w:vertAlign w:val="superscript"/>
          <w:lang w:val="en-US"/>
        </w:rPr>
        <w:t>nd</w:t>
      </w:r>
      <w:r>
        <w:rPr>
          <w:sz w:val="24"/>
          <w:szCs w:val="24"/>
          <w:lang w:val="en-US"/>
        </w:rPr>
        <w:t xml:space="preserve"> </w:t>
      </w:r>
      <w:r w:rsidR="000426B8">
        <w:rPr>
          <w:sz w:val="24"/>
          <w:szCs w:val="24"/>
          <w:lang w:val="en-US"/>
        </w:rPr>
        <w:t>respondent</w:t>
      </w:r>
      <w:r>
        <w:rPr>
          <w:sz w:val="24"/>
          <w:szCs w:val="24"/>
          <w:lang w:val="en-US"/>
        </w:rPr>
        <w:t>s</w:t>
      </w:r>
    </w:p>
    <w:p w:rsidR="00BF7418" w:rsidRDefault="00BF7418" w:rsidP="000426B8">
      <w:pPr>
        <w:pStyle w:val="NoSpacing"/>
        <w:jc w:val="both"/>
        <w:rPr>
          <w:sz w:val="24"/>
          <w:szCs w:val="24"/>
          <w:lang w:val="en-US"/>
        </w:rPr>
      </w:pPr>
    </w:p>
    <w:p w:rsidR="00B549EC" w:rsidRDefault="00B549EC" w:rsidP="00BF7418">
      <w:pPr>
        <w:pStyle w:val="NoSpacing"/>
        <w:ind w:firstLine="720"/>
        <w:jc w:val="both"/>
        <w:rPr>
          <w:sz w:val="24"/>
          <w:szCs w:val="24"/>
          <w:lang w:val="en-US"/>
        </w:rPr>
      </w:pPr>
    </w:p>
    <w:p w:rsidR="00BF7418" w:rsidRDefault="00BF7418" w:rsidP="00B549EC">
      <w:pPr>
        <w:pStyle w:val="NoSpacing"/>
        <w:spacing w:line="360" w:lineRule="auto"/>
        <w:ind w:firstLine="720"/>
        <w:jc w:val="both"/>
        <w:rPr>
          <w:sz w:val="24"/>
          <w:szCs w:val="24"/>
          <w:lang w:val="en-US"/>
        </w:rPr>
      </w:pPr>
      <w:r w:rsidRPr="00B549EC">
        <w:rPr>
          <w:b/>
          <w:sz w:val="24"/>
          <w:szCs w:val="24"/>
          <w:lang w:val="en-US"/>
        </w:rPr>
        <w:t>KABASA J</w:t>
      </w:r>
      <w:r>
        <w:rPr>
          <w:sz w:val="24"/>
          <w:szCs w:val="24"/>
          <w:lang w:val="en-US"/>
        </w:rPr>
        <w:t>:</w:t>
      </w:r>
      <w:r w:rsidR="00B549EC">
        <w:rPr>
          <w:sz w:val="24"/>
          <w:szCs w:val="24"/>
          <w:lang w:val="en-US"/>
        </w:rPr>
        <w:tab/>
        <w:t>This application was initially heard in 2018 and a judgment was handed down on 12</w:t>
      </w:r>
      <w:r w:rsidR="00B549EC" w:rsidRPr="00B549EC">
        <w:rPr>
          <w:sz w:val="24"/>
          <w:szCs w:val="24"/>
          <w:vertAlign w:val="superscript"/>
          <w:lang w:val="en-US"/>
        </w:rPr>
        <w:t>th</w:t>
      </w:r>
      <w:r w:rsidR="00B549EC">
        <w:rPr>
          <w:sz w:val="24"/>
          <w:szCs w:val="24"/>
          <w:lang w:val="en-US"/>
        </w:rPr>
        <w:t xml:space="preserve"> September 2019.  The applicant appealed against that judgment, HB 138-19.  The appeal was allowed and the matter was remitted for a hearing </w:t>
      </w:r>
      <w:r w:rsidR="00B549EC" w:rsidRPr="009E7788">
        <w:rPr>
          <w:i/>
          <w:sz w:val="24"/>
          <w:szCs w:val="24"/>
          <w:lang w:val="en-US"/>
        </w:rPr>
        <w:t>de novo</w:t>
      </w:r>
      <w:r w:rsidR="00B549EC">
        <w:rPr>
          <w:sz w:val="24"/>
          <w:szCs w:val="24"/>
          <w:lang w:val="en-US"/>
        </w:rPr>
        <w:t xml:space="preserve"> before a different Judge.</w:t>
      </w:r>
    </w:p>
    <w:p w:rsidR="00B549EC" w:rsidRDefault="00B549EC" w:rsidP="00B549EC">
      <w:pPr>
        <w:pStyle w:val="NoSpacing"/>
        <w:spacing w:line="360" w:lineRule="auto"/>
        <w:ind w:firstLine="720"/>
        <w:jc w:val="both"/>
        <w:rPr>
          <w:sz w:val="24"/>
          <w:szCs w:val="24"/>
          <w:lang w:val="en-US"/>
        </w:rPr>
      </w:pPr>
    </w:p>
    <w:p w:rsidR="000426B8" w:rsidRDefault="00B549EC" w:rsidP="00B549EC">
      <w:pPr>
        <w:pStyle w:val="NoSpacing"/>
        <w:spacing w:line="360" w:lineRule="auto"/>
        <w:jc w:val="both"/>
        <w:rPr>
          <w:sz w:val="24"/>
          <w:szCs w:val="24"/>
          <w:lang w:val="en-US"/>
        </w:rPr>
      </w:pPr>
      <w:r>
        <w:rPr>
          <w:sz w:val="24"/>
          <w:szCs w:val="24"/>
          <w:lang w:val="en-US"/>
        </w:rPr>
        <w:tab/>
        <w:t xml:space="preserve">I have not been able to see the Supreme Court judgment but surmise that the hearing </w:t>
      </w:r>
      <w:r w:rsidRPr="009E7788">
        <w:rPr>
          <w:i/>
          <w:sz w:val="24"/>
          <w:szCs w:val="24"/>
          <w:lang w:val="en-US"/>
        </w:rPr>
        <w:t>de novo</w:t>
      </w:r>
      <w:r w:rsidR="003C0166">
        <w:rPr>
          <w:sz w:val="24"/>
          <w:szCs w:val="24"/>
          <w:lang w:val="en-US"/>
        </w:rPr>
        <w:t xml:space="preserve"> stem</w:t>
      </w:r>
      <w:r>
        <w:rPr>
          <w:sz w:val="24"/>
          <w:szCs w:val="24"/>
          <w:lang w:val="en-US"/>
        </w:rPr>
        <w:t xml:space="preserve">med from the fact that the applicant had, </w:t>
      </w:r>
      <w:r w:rsidRPr="009E7788">
        <w:rPr>
          <w:i/>
          <w:sz w:val="24"/>
          <w:szCs w:val="24"/>
          <w:lang w:val="en-US"/>
        </w:rPr>
        <w:t>inter alia</w:t>
      </w:r>
      <w:r>
        <w:rPr>
          <w:sz w:val="24"/>
          <w:szCs w:val="24"/>
          <w:lang w:val="en-US"/>
        </w:rPr>
        <w:t xml:space="preserve">, been unhappy with the fact that the point </w:t>
      </w:r>
      <w:r w:rsidRPr="009E7788">
        <w:rPr>
          <w:i/>
          <w:sz w:val="24"/>
          <w:szCs w:val="24"/>
          <w:lang w:val="en-US"/>
        </w:rPr>
        <w:t>in limine</w:t>
      </w:r>
      <w:r>
        <w:rPr>
          <w:sz w:val="24"/>
          <w:szCs w:val="24"/>
          <w:lang w:val="en-US"/>
        </w:rPr>
        <w:t xml:space="preserve"> he had raised was not addressed</w:t>
      </w:r>
      <w:r w:rsidR="00C43BA4">
        <w:rPr>
          <w:sz w:val="24"/>
          <w:szCs w:val="24"/>
          <w:lang w:val="en-US"/>
        </w:rPr>
        <w:t xml:space="preserve"> in the judgment in HB 138-19.</w:t>
      </w:r>
      <w:r w:rsidR="009E7788">
        <w:rPr>
          <w:sz w:val="24"/>
          <w:szCs w:val="24"/>
          <w:lang w:val="en-US"/>
        </w:rPr>
        <w:t xml:space="preserve">  </w:t>
      </w:r>
      <w:r w:rsidR="00C43BA4">
        <w:rPr>
          <w:sz w:val="24"/>
          <w:szCs w:val="24"/>
          <w:lang w:val="en-US"/>
        </w:rPr>
        <w:t>(</w:t>
      </w:r>
      <w:r w:rsidR="00C43BA4" w:rsidRPr="009E7788">
        <w:rPr>
          <w:i/>
          <w:sz w:val="24"/>
          <w:szCs w:val="24"/>
          <w:lang w:val="en-US"/>
        </w:rPr>
        <w:t>PG Industries (Zimbabwe) Limited</w:t>
      </w:r>
      <w:r w:rsidR="00C43BA4">
        <w:rPr>
          <w:sz w:val="24"/>
          <w:szCs w:val="24"/>
          <w:lang w:val="en-US"/>
        </w:rPr>
        <w:t xml:space="preserve"> v </w:t>
      </w:r>
      <w:r w:rsidR="00C43BA4" w:rsidRPr="009E7788">
        <w:rPr>
          <w:i/>
          <w:sz w:val="24"/>
          <w:szCs w:val="24"/>
          <w:lang w:val="en-US"/>
        </w:rPr>
        <w:t>Mark Bvekerwa &amp; 34 Others</w:t>
      </w:r>
      <w:r w:rsidR="00C43BA4">
        <w:rPr>
          <w:sz w:val="24"/>
          <w:szCs w:val="24"/>
          <w:lang w:val="en-US"/>
        </w:rPr>
        <w:t xml:space="preserve"> SC 79-14).  The point </w:t>
      </w:r>
      <w:r w:rsidR="00C43BA4" w:rsidRPr="009E7788">
        <w:rPr>
          <w:i/>
          <w:sz w:val="24"/>
          <w:szCs w:val="24"/>
          <w:lang w:val="en-US"/>
        </w:rPr>
        <w:t>in limine</w:t>
      </w:r>
      <w:r w:rsidR="00C43BA4">
        <w:rPr>
          <w:sz w:val="24"/>
          <w:szCs w:val="24"/>
          <w:lang w:val="en-US"/>
        </w:rPr>
        <w:t xml:space="preserve"> relates to the fact that the 2</w:t>
      </w:r>
      <w:r w:rsidR="00C43BA4" w:rsidRPr="00C43BA4">
        <w:rPr>
          <w:sz w:val="24"/>
          <w:szCs w:val="24"/>
          <w:vertAlign w:val="superscript"/>
          <w:lang w:val="en-US"/>
        </w:rPr>
        <w:t>nd</w:t>
      </w:r>
      <w:r w:rsidR="00C43BA4">
        <w:rPr>
          <w:sz w:val="24"/>
          <w:szCs w:val="24"/>
          <w:lang w:val="en-US"/>
        </w:rPr>
        <w:t xml:space="preserve"> respondent had filed a notice of opposition out of time and was therefore barred.  The 1</w:t>
      </w:r>
      <w:r w:rsidR="00C43BA4" w:rsidRPr="00C43BA4">
        <w:rPr>
          <w:sz w:val="24"/>
          <w:szCs w:val="24"/>
          <w:vertAlign w:val="superscript"/>
          <w:lang w:val="en-US"/>
        </w:rPr>
        <w:t>st</w:t>
      </w:r>
      <w:r w:rsidR="00C43BA4">
        <w:rPr>
          <w:sz w:val="24"/>
          <w:szCs w:val="24"/>
          <w:lang w:val="en-US"/>
        </w:rPr>
        <w:t xml:space="preserve"> respondent filed its opposition on time but however associated itself with the 2</w:t>
      </w:r>
      <w:r w:rsidR="00C43BA4" w:rsidRPr="00C43BA4">
        <w:rPr>
          <w:sz w:val="24"/>
          <w:szCs w:val="24"/>
          <w:vertAlign w:val="superscript"/>
          <w:lang w:val="en-US"/>
        </w:rPr>
        <w:t>nd</w:t>
      </w:r>
      <w:r w:rsidR="00C43BA4">
        <w:rPr>
          <w:sz w:val="24"/>
          <w:szCs w:val="24"/>
          <w:lang w:val="en-US"/>
        </w:rPr>
        <w:t xml:space="preserve"> respondent’s opposition and therefore its opposition would not amount to anything with the barring of the 2</w:t>
      </w:r>
      <w:r w:rsidR="00C43BA4" w:rsidRPr="00C43BA4">
        <w:rPr>
          <w:sz w:val="24"/>
          <w:szCs w:val="24"/>
          <w:vertAlign w:val="superscript"/>
          <w:lang w:val="en-US"/>
        </w:rPr>
        <w:t>nd</w:t>
      </w:r>
      <w:r w:rsidR="00C43BA4">
        <w:rPr>
          <w:sz w:val="24"/>
          <w:szCs w:val="24"/>
          <w:lang w:val="en-US"/>
        </w:rPr>
        <w:t xml:space="preserve"> respondent.</w:t>
      </w:r>
    </w:p>
    <w:p w:rsidR="00C43BA4" w:rsidRDefault="00C43BA4" w:rsidP="00B549EC">
      <w:pPr>
        <w:pStyle w:val="NoSpacing"/>
        <w:spacing w:line="360" w:lineRule="auto"/>
        <w:jc w:val="both"/>
        <w:rPr>
          <w:sz w:val="24"/>
          <w:szCs w:val="24"/>
          <w:lang w:val="en-US"/>
        </w:rPr>
      </w:pPr>
    </w:p>
    <w:p w:rsidR="001357E0" w:rsidRDefault="00C43BA4" w:rsidP="00B549EC">
      <w:pPr>
        <w:pStyle w:val="NoSpacing"/>
        <w:spacing w:line="360" w:lineRule="auto"/>
        <w:jc w:val="both"/>
        <w:rPr>
          <w:sz w:val="24"/>
          <w:szCs w:val="24"/>
          <w:lang w:val="en-US"/>
        </w:rPr>
      </w:pPr>
      <w:r>
        <w:rPr>
          <w:sz w:val="24"/>
          <w:szCs w:val="24"/>
          <w:lang w:val="en-US"/>
        </w:rPr>
        <w:tab/>
        <w:t xml:space="preserve">I decided to hear and determine the point </w:t>
      </w:r>
      <w:r w:rsidRPr="009E7788">
        <w:rPr>
          <w:i/>
          <w:sz w:val="24"/>
          <w:szCs w:val="24"/>
          <w:lang w:val="en-US"/>
        </w:rPr>
        <w:t>in limine</w:t>
      </w:r>
      <w:r>
        <w:rPr>
          <w:sz w:val="24"/>
          <w:szCs w:val="24"/>
          <w:lang w:val="en-US"/>
        </w:rPr>
        <w:t xml:space="preserve"> first as its resolution would mean one of two things, the first being that the 2</w:t>
      </w:r>
      <w:r w:rsidRPr="00C43BA4">
        <w:rPr>
          <w:sz w:val="24"/>
          <w:szCs w:val="24"/>
          <w:vertAlign w:val="superscript"/>
          <w:lang w:val="en-US"/>
        </w:rPr>
        <w:t>nd</w:t>
      </w:r>
      <w:r>
        <w:rPr>
          <w:sz w:val="24"/>
          <w:szCs w:val="24"/>
          <w:lang w:val="en-US"/>
        </w:rPr>
        <w:t xml:space="preserve"> respondent was barred and so there was no opposition to the application.  Such a finding would extend to the 1</w:t>
      </w:r>
      <w:r w:rsidRPr="00C43BA4">
        <w:rPr>
          <w:sz w:val="24"/>
          <w:szCs w:val="24"/>
          <w:vertAlign w:val="superscript"/>
          <w:lang w:val="en-US"/>
        </w:rPr>
        <w:t>st</w:t>
      </w:r>
      <w:r>
        <w:rPr>
          <w:sz w:val="24"/>
          <w:szCs w:val="24"/>
          <w:lang w:val="en-US"/>
        </w:rPr>
        <w:t xml:space="preserve"> respondent whose opposition rode on 2</w:t>
      </w:r>
      <w:r w:rsidRPr="00C43BA4">
        <w:rPr>
          <w:sz w:val="24"/>
          <w:szCs w:val="24"/>
          <w:vertAlign w:val="superscript"/>
          <w:lang w:val="en-US"/>
        </w:rPr>
        <w:t>nd</w:t>
      </w:r>
      <w:r w:rsidR="001357E0">
        <w:rPr>
          <w:sz w:val="24"/>
          <w:szCs w:val="24"/>
          <w:lang w:val="en-US"/>
        </w:rPr>
        <w:t xml:space="preserve"> </w:t>
      </w:r>
      <w:r w:rsidR="0091314F">
        <w:rPr>
          <w:sz w:val="24"/>
          <w:szCs w:val="24"/>
          <w:lang w:val="en-US"/>
        </w:rPr>
        <w:t>respondent’s ,</w:t>
      </w:r>
      <w:r>
        <w:rPr>
          <w:sz w:val="24"/>
          <w:szCs w:val="24"/>
          <w:lang w:val="en-US"/>
        </w:rPr>
        <w:t xml:space="preserve"> the second would mean a finding that the 2</w:t>
      </w:r>
      <w:r w:rsidRPr="00C43BA4">
        <w:rPr>
          <w:sz w:val="24"/>
          <w:szCs w:val="24"/>
          <w:vertAlign w:val="superscript"/>
          <w:lang w:val="en-US"/>
        </w:rPr>
        <w:t>nd</w:t>
      </w:r>
      <w:r>
        <w:rPr>
          <w:sz w:val="24"/>
          <w:szCs w:val="24"/>
          <w:lang w:val="en-US"/>
        </w:rPr>
        <w:t xml:space="preserve"> respondent </w:t>
      </w:r>
      <w:r>
        <w:rPr>
          <w:sz w:val="24"/>
          <w:szCs w:val="24"/>
          <w:lang w:val="en-US"/>
        </w:rPr>
        <w:lastRenderedPageBreak/>
        <w:t>was not barred and by extension the 1</w:t>
      </w:r>
      <w:r w:rsidRPr="00C43BA4">
        <w:rPr>
          <w:sz w:val="24"/>
          <w:szCs w:val="24"/>
          <w:vertAlign w:val="superscript"/>
          <w:lang w:val="en-US"/>
        </w:rPr>
        <w:t>st</w:t>
      </w:r>
      <w:r>
        <w:rPr>
          <w:sz w:val="24"/>
          <w:szCs w:val="24"/>
          <w:lang w:val="en-US"/>
        </w:rPr>
        <w:t xml:space="preserve"> respondent and so there was a valid opposition before the court.  The latter finding would mean the 1</w:t>
      </w:r>
      <w:r w:rsidRPr="00C43BA4">
        <w:rPr>
          <w:sz w:val="24"/>
          <w:szCs w:val="24"/>
          <w:vertAlign w:val="superscript"/>
          <w:lang w:val="en-US"/>
        </w:rPr>
        <w:t>st</w:t>
      </w:r>
      <w:r>
        <w:rPr>
          <w:sz w:val="24"/>
          <w:szCs w:val="24"/>
          <w:lang w:val="en-US"/>
        </w:rPr>
        <w:t xml:space="preserve"> and 2</w:t>
      </w:r>
      <w:r w:rsidRPr="00C43BA4">
        <w:rPr>
          <w:sz w:val="24"/>
          <w:szCs w:val="24"/>
          <w:vertAlign w:val="superscript"/>
          <w:lang w:val="en-US"/>
        </w:rPr>
        <w:t>nd</w:t>
      </w:r>
      <w:r>
        <w:rPr>
          <w:sz w:val="24"/>
          <w:szCs w:val="24"/>
          <w:lang w:val="en-US"/>
        </w:rPr>
        <w:t xml:space="preserve"> respondent’s counsel could</w:t>
      </w:r>
      <w:r w:rsidR="001357E0">
        <w:rPr>
          <w:sz w:val="24"/>
          <w:szCs w:val="24"/>
          <w:lang w:val="en-US"/>
        </w:rPr>
        <w:t xml:space="preserve"> address the court on the merits whilst the former would mean counsel would not be heard on the merits</w:t>
      </w:r>
    </w:p>
    <w:p w:rsidR="001357E0" w:rsidRDefault="001357E0" w:rsidP="00B549EC">
      <w:pPr>
        <w:pStyle w:val="NoSpacing"/>
        <w:spacing w:line="360" w:lineRule="auto"/>
        <w:jc w:val="both"/>
        <w:rPr>
          <w:sz w:val="24"/>
          <w:szCs w:val="24"/>
          <w:lang w:val="en-US"/>
        </w:rPr>
      </w:pPr>
    </w:p>
    <w:p w:rsidR="00877B5E" w:rsidRDefault="001357E0" w:rsidP="00B549EC">
      <w:pPr>
        <w:pStyle w:val="NoSpacing"/>
        <w:spacing w:line="360" w:lineRule="auto"/>
        <w:jc w:val="both"/>
        <w:rPr>
          <w:sz w:val="24"/>
          <w:szCs w:val="24"/>
          <w:lang w:val="en-US"/>
        </w:rPr>
      </w:pPr>
      <w:r>
        <w:rPr>
          <w:sz w:val="24"/>
          <w:szCs w:val="24"/>
          <w:lang w:val="en-US"/>
        </w:rPr>
        <w:tab/>
        <w:t>The applicant’s argument was that the 2</w:t>
      </w:r>
      <w:r w:rsidRPr="001357E0">
        <w:rPr>
          <w:sz w:val="24"/>
          <w:szCs w:val="24"/>
          <w:vertAlign w:val="superscript"/>
          <w:lang w:val="en-US"/>
        </w:rPr>
        <w:t>nd</w:t>
      </w:r>
      <w:r>
        <w:rPr>
          <w:sz w:val="24"/>
          <w:szCs w:val="24"/>
          <w:lang w:val="en-US"/>
        </w:rPr>
        <w:t xml:space="preserve"> respondent was served with the application on 2</w:t>
      </w:r>
      <w:r w:rsidRPr="001357E0">
        <w:rPr>
          <w:sz w:val="24"/>
          <w:szCs w:val="24"/>
          <w:vertAlign w:val="superscript"/>
          <w:lang w:val="en-US"/>
        </w:rPr>
        <w:t>nd</w:t>
      </w:r>
      <w:r>
        <w:rPr>
          <w:sz w:val="24"/>
          <w:szCs w:val="24"/>
          <w:lang w:val="en-US"/>
        </w:rPr>
        <w:t xml:space="preserve"> June 2017 and had 10 days within which to file</w:t>
      </w:r>
      <w:r w:rsidR="00877B5E">
        <w:rPr>
          <w:sz w:val="24"/>
          <w:szCs w:val="24"/>
          <w:lang w:val="en-US"/>
        </w:rPr>
        <w:t xml:space="preserve"> a notice of opposition.  The notice of opposition was only filed on 23</w:t>
      </w:r>
      <w:r w:rsidR="00877B5E" w:rsidRPr="00877B5E">
        <w:rPr>
          <w:sz w:val="24"/>
          <w:szCs w:val="24"/>
          <w:vertAlign w:val="superscript"/>
          <w:lang w:val="en-US"/>
        </w:rPr>
        <w:t>rd</w:t>
      </w:r>
      <w:r w:rsidR="00877B5E">
        <w:rPr>
          <w:sz w:val="24"/>
          <w:szCs w:val="24"/>
          <w:lang w:val="en-US"/>
        </w:rPr>
        <w:t xml:space="preserve"> June 2017, outside the 10 day period as provided for by the rules of court.  2</w:t>
      </w:r>
      <w:r w:rsidR="00877B5E" w:rsidRPr="00877B5E">
        <w:rPr>
          <w:sz w:val="24"/>
          <w:szCs w:val="24"/>
          <w:vertAlign w:val="superscript"/>
          <w:lang w:val="en-US"/>
        </w:rPr>
        <w:t>nd</w:t>
      </w:r>
      <w:r w:rsidR="00877B5E">
        <w:rPr>
          <w:sz w:val="24"/>
          <w:szCs w:val="24"/>
          <w:lang w:val="en-US"/>
        </w:rPr>
        <w:t xml:space="preserve"> respondent was therefore barred and by extension 1</w:t>
      </w:r>
      <w:r w:rsidR="00877B5E" w:rsidRPr="00877B5E">
        <w:rPr>
          <w:sz w:val="24"/>
          <w:szCs w:val="24"/>
          <w:vertAlign w:val="superscript"/>
          <w:lang w:val="en-US"/>
        </w:rPr>
        <w:t>st</w:t>
      </w:r>
      <w:r w:rsidR="00877B5E">
        <w:rPr>
          <w:sz w:val="24"/>
          <w:szCs w:val="24"/>
          <w:lang w:val="en-US"/>
        </w:rPr>
        <w:t xml:space="preserve"> respondent too.</w:t>
      </w:r>
    </w:p>
    <w:p w:rsidR="00877B5E" w:rsidRDefault="00877B5E" w:rsidP="00B549EC">
      <w:pPr>
        <w:pStyle w:val="NoSpacing"/>
        <w:spacing w:line="360" w:lineRule="auto"/>
        <w:jc w:val="both"/>
        <w:rPr>
          <w:sz w:val="24"/>
          <w:szCs w:val="24"/>
          <w:lang w:val="en-US"/>
        </w:rPr>
      </w:pPr>
    </w:p>
    <w:p w:rsidR="003B0FDA" w:rsidRDefault="00877B5E" w:rsidP="00B549EC">
      <w:pPr>
        <w:pStyle w:val="NoSpacing"/>
        <w:spacing w:line="360" w:lineRule="auto"/>
        <w:jc w:val="both"/>
        <w:rPr>
          <w:sz w:val="24"/>
          <w:szCs w:val="24"/>
          <w:lang w:val="en-US"/>
        </w:rPr>
      </w:pPr>
      <w:r>
        <w:rPr>
          <w:sz w:val="24"/>
          <w:szCs w:val="24"/>
          <w:lang w:val="en-US"/>
        </w:rPr>
        <w:tab/>
      </w:r>
      <w:r w:rsidR="0091314F" w:rsidRPr="0082057A">
        <w:rPr>
          <w:i/>
          <w:sz w:val="24"/>
          <w:szCs w:val="24"/>
          <w:lang w:val="en-US"/>
        </w:rPr>
        <w:t>Ms.</w:t>
      </w:r>
      <w:r w:rsidRPr="0082057A">
        <w:rPr>
          <w:i/>
          <w:sz w:val="24"/>
          <w:szCs w:val="24"/>
          <w:lang w:val="en-US"/>
        </w:rPr>
        <w:t xml:space="preserve"> Kamema</w:t>
      </w:r>
      <w:r>
        <w:rPr>
          <w:sz w:val="24"/>
          <w:szCs w:val="24"/>
          <w:lang w:val="en-US"/>
        </w:rPr>
        <w:t xml:space="preserve"> however contended that the 2</w:t>
      </w:r>
      <w:r w:rsidRPr="00877B5E">
        <w:rPr>
          <w:sz w:val="24"/>
          <w:szCs w:val="24"/>
          <w:vertAlign w:val="superscript"/>
          <w:lang w:val="en-US"/>
        </w:rPr>
        <w:t>nd</w:t>
      </w:r>
      <w:r>
        <w:rPr>
          <w:sz w:val="24"/>
          <w:szCs w:val="24"/>
          <w:lang w:val="en-US"/>
        </w:rPr>
        <w:t xml:space="preserve"> respondent was not served with the court application on 2</w:t>
      </w:r>
      <w:r w:rsidRPr="00877B5E">
        <w:rPr>
          <w:sz w:val="24"/>
          <w:szCs w:val="24"/>
          <w:vertAlign w:val="superscript"/>
          <w:lang w:val="en-US"/>
        </w:rPr>
        <w:t>nd</w:t>
      </w:r>
      <w:r>
        <w:rPr>
          <w:sz w:val="24"/>
          <w:szCs w:val="24"/>
          <w:lang w:val="en-US"/>
        </w:rPr>
        <w:t xml:space="preserve"> June 2017.  The application was served at the Attorney-General’s office who had no instructions to represent the 2</w:t>
      </w:r>
      <w:r w:rsidRPr="00877B5E">
        <w:rPr>
          <w:sz w:val="24"/>
          <w:szCs w:val="24"/>
          <w:vertAlign w:val="superscript"/>
          <w:lang w:val="en-US"/>
        </w:rPr>
        <w:t>nd</w:t>
      </w:r>
      <w:r>
        <w:rPr>
          <w:sz w:val="24"/>
          <w:szCs w:val="24"/>
          <w:lang w:val="en-US"/>
        </w:rPr>
        <w:t xml:space="preserve"> respondent.  The 2</w:t>
      </w:r>
      <w:r w:rsidRPr="00877B5E">
        <w:rPr>
          <w:sz w:val="24"/>
          <w:szCs w:val="24"/>
          <w:vertAlign w:val="superscript"/>
          <w:lang w:val="en-US"/>
        </w:rPr>
        <w:t>nd</w:t>
      </w:r>
      <w:r>
        <w:rPr>
          <w:sz w:val="24"/>
          <w:szCs w:val="24"/>
          <w:lang w:val="en-US"/>
        </w:rPr>
        <w:t xml:space="preserve"> respondent only became aware of the application after the Attorney-General’s office sought clarification on the absence of opposition from the 2</w:t>
      </w:r>
      <w:r w:rsidRPr="00877B5E">
        <w:rPr>
          <w:sz w:val="24"/>
          <w:szCs w:val="24"/>
          <w:vertAlign w:val="superscript"/>
          <w:lang w:val="en-US"/>
        </w:rPr>
        <w:t>nd</w:t>
      </w:r>
      <w:r>
        <w:rPr>
          <w:sz w:val="24"/>
          <w:szCs w:val="24"/>
          <w:lang w:val="en-US"/>
        </w:rPr>
        <w:t xml:space="preserve"> respondent.  The 2</w:t>
      </w:r>
      <w:r w:rsidRPr="00877B5E">
        <w:rPr>
          <w:sz w:val="24"/>
          <w:szCs w:val="24"/>
          <w:vertAlign w:val="superscript"/>
          <w:lang w:val="en-US"/>
        </w:rPr>
        <w:t>nd</w:t>
      </w:r>
      <w:r>
        <w:rPr>
          <w:sz w:val="24"/>
          <w:szCs w:val="24"/>
          <w:lang w:val="en-US"/>
        </w:rPr>
        <w:t xml:space="preserve"> respondent thus became aware of the application on 12</w:t>
      </w:r>
      <w:r w:rsidRPr="00877B5E">
        <w:rPr>
          <w:sz w:val="24"/>
          <w:szCs w:val="24"/>
          <w:vertAlign w:val="superscript"/>
          <w:lang w:val="en-US"/>
        </w:rPr>
        <w:t>th</w:t>
      </w:r>
      <w:r>
        <w:rPr>
          <w:sz w:val="24"/>
          <w:szCs w:val="24"/>
          <w:lang w:val="en-US"/>
        </w:rPr>
        <w:t xml:space="preserve"> June 2017 and duly instructed </w:t>
      </w:r>
      <w:r w:rsidR="003B0FDA">
        <w:rPr>
          <w:sz w:val="24"/>
          <w:szCs w:val="24"/>
          <w:lang w:val="en-US"/>
        </w:rPr>
        <w:t>the Civil Division of the Attorney-General’s office who proceeded to file a notice of opposition on 23</w:t>
      </w:r>
      <w:r w:rsidR="003B0FDA" w:rsidRPr="003B0FDA">
        <w:rPr>
          <w:sz w:val="24"/>
          <w:szCs w:val="24"/>
          <w:vertAlign w:val="superscript"/>
          <w:lang w:val="en-US"/>
        </w:rPr>
        <w:t>rd</w:t>
      </w:r>
      <w:r w:rsidR="003B0FDA">
        <w:rPr>
          <w:sz w:val="24"/>
          <w:szCs w:val="24"/>
          <w:lang w:val="en-US"/>
        </w:rPr>
        <w:t xml:space="preserve"> June 2017.  Such opposition was therefore filed on time, bearing in mind that the rules of court allow for an extra day for every 200km or part thereof where the place at which an application is served is more tha</w:t>
      </w:r>
      <w:r w:rsidR="000815B1">
        <w:rPr>
          <w:sz w:val="24"/>
          <w:szCs w:val="24"/>
          <w:lang w:val="en-US"/>
        </w:rPr>
        <w:t>n 200 kilometres from the court</w:t>
      </w:r>
      <w:r w:rsidR="003B0FDA">
        <w:rPr>
          <w:sz w:val="24"/>
          <w:szCs w:val="24"/>
          <w:lang w:val="en-US"/>
        </w:rPr>
        <w:t xml:space="preserve"> where the application is to be heard.  The 2</w:t>
      </w:r>
      <w:r w:rsidR="003B0FDA" w:rsidRPr="003B0FDA">
        <w:rPr>
          <w:sz w:val="24"/>
          <w:szCs w:val="24"/>
          <w:vertAlign w:val="superscript"/>
          <w:lang w:val="en-US"/>
        </w:rPr>
        <w:t>nd</w:t>
      </w:r>
      <w:r w:rsidR="003B0FDA">
        <w:rPr>
          <w:sz w:val="24"/>
          <w:szCs w:val="24"/>
          <w:lang w:val="en-US"/>
        </w:rPr>
        <w:t xml:space="preserve"> respondent is based in Harare and that is where the application ought to have been served.</w:t>
      </w:r>
    </w:p>
    <w:p w:rsidR="003B0FDA" w:rsidRDefault="003B0FDA" w:rsidP="00B549EC">
      <w:pPr>
        <w:pStyle w:val="NoSpacing"/>
        <w:spacing w:line="360" w:lineRule="auto"/>
        <w:jc w:val="both"/>
        <w:rPr>
          <w:sz w:val="24"/>
          <w:szCs w:val="24"/>
          <w:lang w:val="en-US"/>
        </w:rPr>
      </w:pPr>
    </w:p>
    <w:p w:rsidR="00D51F59" w:rsidRDefault="003B0FDA" w:rsidP="00B549EC">
      <w:pPr>
        <w:pStyle w:val="NoSpacing"/>
        <w:spacing w:line="360" w:lineRule="auto"/>
        <w:jc w:val="both"/>
        <w:rPr>
          <w:sz w:val="24"/>
          <w:szCs w:val="24"/>
          <w:lang w:val="en-US"/>
        </w:rPr>
      </w:pPr>
      <w:r>
        <w:rPr>
          <w:sz w:val="24"/>
          <w:szCs w:val="24"/>
          <w:lang w:val="en-US"/>
        </w:rPr>
        <w:tab/>
        <w:t xml:space="preserve">The issue presented here is whether the service at the Attorney-General’s office was good service.  The applicant referred to the decision </w:t>
      </w:r>
      <w:r w:rsidR="003A3E1E">
        <w:rPr>
          <w:sz w:val="24"/>
          <w:szCs w:val="24"/>
          <w:lang w:val="en-US"/>
        </w:rPr>
        <w:t xml:space="preserve">in </w:t>
      </w:r>
      <w:r w:rsidR="003A3E1E" w:rsidRPr="0082057A">
        <w:rPr>
          <w:i/>
          <w:sz w:val="24"/>
          <w:szCs w:val="24"/>
          <w:lang w:val="en-US"/>
        </w:rPr>
        <w:t>Hungwe and Commissioner-General</w:t>
      </w:r>
      <w:r w:rsidR="003A3E1E">
        <w:rPr>
          <w:sz w:val="24"/>
          <w:szCs w:val="24"/>
          <w:lang w:val="en-US"/>
        </w:rPr>
        <w:t xml:space="preserve"> </w:t>
      </w:r>
      <w:r w:rsidR="003A3E1E" w:rsidRPr="0082057A">
        <w:rPr>
          <w:i/>
          <w:sz w:val="24"/>
          <w:szCs w:val="24"/>
          <w:lang w:val="en-US"/>
        </w:rPr>
        <w:t>Chihuri</w:t>
      </w:r>
      <w:r w:rsidR="003A3E1E">
        <w:rPr>
          <w:sz w:val="24"/>
          <w:szCs w:val="24"/>
          <w:lang w:val="en-US"/>
        </w:rPr>
        <w:t xml:space="preserve"> v </w:t>
      </w:r>
      <w:r w:rsidR="003A3E1E" w:rsidRPr="0082057A">
        <w:rPr>
          <w:i/>
          <w:sz w:val="24"/>
          <w:szCs w:val="24"/>
          <w:lang w:val="en-US"/>
        </w:rPr>
        <w:t xml:space="preserve">Mawereza </w:t>
      </w:r>
      <w:r w:rsidR="003A3E1E">
        <w:rPr>
          <w:sz w:val="24"/>
          <w:szCs w:val="24"/>
          <w:lang w:val="en-US"/>
        </w:rPr>
        <w:t>HB 49-10 in contending that service at the Attorney-General’s office was good service.</w:t>
      </w:r>
    </w:p>
    <w:p w:rsidR="00D51F59" w:rsidRDefault="00D51F59" w:rsidP="00B549EC">
      <w:pPr>
        <w:pStyle w:val="NoSpacing"/>
        <w:spacing w:line="360" w:lineRule="auto"/>
        <w:jc w:val="both"/>
        <w:rPr>
          <w:sz w:val="24"/>
          <w:szCs w:val="24"/>
          <w:lang w:val="en-US"/>
        </w:rPr>
      </w:pPr>
    </w:p>
    <w:p w:rsidR="00C43BA4" w:rsidRDefault="00D51F59" w:rsidP="00B549EC">
      <w:pPr>
        <w:pStyle w:val="NoSpacing"/>
        <w:spacing w:line="360" w:lineRule="auto"/>
        <w:jc w:val="both"/>
        <w:rPr>
          <w:sz w:val="24"/>
          <w:szCs w:val="24"/>
          <w:lang w:val="en-US"/>
        </w:rPr>
      </w:pPr>
      <w:r>
        <w:rPr>
          <w:sz w:val="24"/>
          <w:szCs w:val="24"/>
          <w:lang w:val="en-US"/>
        </w:rPr>
        <w:tab/>
        <w:t>The facts in the</w:t>
      </w:r>
      <w:r w:rsidRPr="00F14D7E">
        <w:rPr>
          <w:i/>
          <w:sz w:val="24"/>
          <w:szCs w:val="24"/>
          <w:lang w:val="en-US"/>
        </w:rPr>
        <w:t xml:space="preserve"> Mawereza</w:t>
      </w:r>
      <w:r>
        <w:rPr>
          <w:sz w:val="24"/>
          <w:szCs w:val="24"/>
          <w:lang w:val="en-US"/>
        </w:rPr>
        <w:t xml:space="preserve"> case are distinguishable to the facts </w:t>
      </w:r>
      <w:r w:rsidRPr="0082057A">
        <w:rPr>
          <w:i/>
          <w:sz w:val="24"/>
          <w:szCs w:val="24"/>
          <w:lang w:val="en-US"/>
        </w:rPr>
        <w:t>in casu</w:t>
      </w:r>
      <w:r>
        <w:rPr>
          <w:sz w:val="24"/>
          <w:szCs w:val="24"/>
          <w:lang w:val="en-US"/>
        </w:rPr>
        <w:t>.  This being so because in the</w:t>
      </w:r>
      <w:r w:rsidR="00F14D7E">
        <w:rPr>
          <w:i/>
          <w:sz w:val="24"/>
          <w:szCs w:val="24"/>
          <w:lang w:val="en-US"/>
        </w:rPr>
        <w:t xml:space="preserve"> Mawereza</w:t>
      </w:r>
      <w:r>
        <w:rPr>
          <w:sz w:val="24"/>
          <w:szCs w:val="24"/>
          <w:lang w:val="en-US"/>
        </w:rPr>
        <w:t xml:space="preserve"> case the application for a provisional order was served on the 1</w:t>
      </w:r>
      <w:r w:rsidRPr="00D51F59">
        <w:rPr>
          <w:sz w:val="24"/>
          <w:szCs w:val="24"/>
          <w:vertAlign w:val="superscript"/>
          <w:lang w:val="en-US"/>
        </w:rPr>
        <w:t>st</w:t>
      </w:r>
      <w:r>
        <w:rPr>
          <w:sz w:val="24"/>
          <w:szCs w:val="24"/>
          <w:lang w:val="en-US"/>
        </w:rPr>
        <w:t xml:space="preserve"> and 2</w:t>
      </w:r>
      <w:r w:rsidRPr="00D51F59">
        <w:rPr>
          <w:sz w:val="24"/>
          <w:szCs w:val="24"/>
          <w:vertAlign w:val="superscript"/>
          <w:lang w:val="en-US"/>
        </w:rPr>
        <w:t>nd</w:t>
      </w:r>
      <w:r>
        <w:rPr>
          <w:sz w:val="24"/>
          <w:szCs w:val="24"/>
          <w:lang w:val="en-US"/>
        </w:rPr>
        <w:t xml:space="preserve"> applicants at Ross Camp, Bulawayo and on the hearing date none of them appeared resulting in the granting of the application.  The applicants sought to argue that that application was not properly served on them but the court held that service on the 1</w:t>
      </w:r>
      <w:r w:rsidRPr="00D51F59">
        <w:rPr>
          <w:sz w:val="24"/>
          <w:szCs w:val="24"/>
          <w:vertAlign w:val="superscript"/>
          <w:lang w:val="en-US"/>
        </w:rPr>
        <w:t>st</w:t>
      </w:r>
      <w:r>
        <w:rPr>
          <w:sz w:val="24"/>
          <w:szCs w:val="24"/>
          <w:lang w:val="en-US"/>
        </w:rPr>
        <w:t xml:space="preserve"> applicant was effected on him personally at his offices at Ross Camp and so that was proper service.  As for the 2</w:t>
      </w:r>
      <w:r w:rsidRPr="00D51F59">
        <w:rPr>
          <w:sz w:val="24"/>
          <w:szCs w:val="24"/>
          <w:vertAlign w:val="superscript"/>
          <w:lang w:val="en-US"/>
        </w:rPr>
        <w:t>nd</w:t>
      </w:r>
      <w:r>
        <w:rPr>
          <w:sz w:val="24"/>
          <w:szCs w:val="24"/>
          <w:lang w:val="en-US"/>
        </w:rPr>
        <w:t xml:space="preserve"> applicant the court held that personal service was only required where the claim is sounding in money.  </w:t>
      </w:r>
      <w:r>
        <w:rPr>
          <w:sz w:val="24"/>
          <w:szCs w:val="24"/>
          <w:lang w:val="en-US"/>
        </w:rPr>
        <w:lastRenderedPageBreak/>
        <w:t>Any other court process was to be served at any Police Station for onward transmission to second applicant</w:t>
      </w:r>
      <w:r w:rsidR="00EA032B">
        <w:rPr>
          <w:sz w:val="24"/>
          <w:szCs w:val="24"/>
          <w:lang w:val="en-US"/>
        </w:rPr>
        <w:t>.</w:t>
      </w:r>
      <w:r w:rsidR="00E830A1">
        <w:rPr>
          <w:sz w:val="24"/>
          <w:szCs w:val="24"/>
          <w:lang w:val="en-US"/>
        </w:rPr>
        <w:t xml:space="preserve"> A circular to that effect had also been sent to all police stations, an indication of the fact that the 2</w:t>
      </w:r>
      <w:r w:rsidR="00E830A1" w:rsidRPr="00E830A1">
        <w:rPr>
          <w:sz w:val="24"/>
          <w:szCs w:val="24"/>
          <w:vertAlign w:val="superscript"/>
          <w:lang w:val="en-US"/>
        </w:rPr>
        <w:t>nd</w:t>
      </w:r>
      <w:r w:rsidR="00E830A1">
        <w:rPr>
          <w:sz w:val="24"/>
          <w:szCs w:val="24"/>
          <w:lang w:val="en-US"/>
        </w:rPr>
        <w:t xml:space="preserve"> applicant was aware service need not be on him personally.</w:t>
      </w:r>
      <w:r w:rsidR="00EA032B">
        <w:rPr>
          <w:sz w:val="24"/>
          <w:szCs w:val="24"/>
          <w:lang w:val="en-US"/>
        </w:rPr>
        <w:t xml:space="preserve">  The failure by the 2</w:t>
      </w:r>
      <w:r w:rsidR="00EA032B" w:rsidRPr="00EA032B">
        <w:rPr>
          <w:sz w:val="24"/>
          <w:szCs w:val="24"/>
          <w:vertAlign w:val="superscript"/>
          <w:lang w:val="en-US"/>
        </w:rPr>
        <w:t>nd</w:t>
      </w:r>
      <w:r w:rsidR="00EA032B">
        <w:rPr>
          <w:sz w:val="24"/>
          <w:szCs w:val="24"/>
          <w:lang w:val="en-US"/>
        </w:rPr>
        <w:t xml:space="preserve"> applicant’s subordinates to ensure that such process was timeously brought to his attention could</w:t>
      </w:r>
      <w:r w:rsidR="00E830A1">
        <w:rPr>
          <w:sz w:val="24"/>
          <w:szCs w:val="24"/>
          <w:lang w:val="en-US"/>
        </w:rPr>
        <w:t xml:space="preserve"> therefore</w:t>
      </w:r>
      <w:r w:rsidR="00EA032B">
        <w:rPr>
          <w:sz w:val="24"/>
          <w:szCs w:val="24"/>
          <w:lang w:val="en-US"/>
        </w:rPr>
        <w:t xml:space="preserve"> not be visited on the respondent.</w:t>
      </w:r>
    </w:p>
    <w:p w:rsidR="00EA032B" w:rsidRDefault="00EA032B" w:rsidP="00B549EC">
      <w:pPr>
        <w:pStyle w:val="NoSpacing"/>
        <w:spacing w:line="360" w:lineRule="auto"/>
        <w:jc w:val="both"/>
        <w:rPr>
          <w:sz w:val="24"/>
          <w:szCs w:val="24"/>
          <w:lang w:val="en-US"/>
        </w:rPr>
      </w:pPr>
    </w:p>
    <w:p w:rsidR="00EA032B" w:rsidRDefault="00EA032B" w:rsidP="00B549EC">
      <w:pPr>
        <w:pStyle w:val="NoSpacing"/>
        <w:spacing w:line="360" w:lineRule="auto"/>
        <w:jc w:val="both"/>
        <w:rPr>
          <w:sz w:val="24"/>
          <w:szCs w:val="24"/>
          <w:lang w:val="en-US"/>
        </w:rPr>
      </w:pPr>
      <w:r>
        <w:rPr>
          <w:sz w:val="24"/>
          <w:szCs w:val="24"/>
          <w:lang w:val="en-US"/>
        </w:rPr>
        <w:tab/>
      </w:r>
      <w:r w:rsidRPr="0082057A">
        <w:rPr>
          <w:i/>
          <w:sz w:val="24"/>
          <w:szCs w:val="24"/>
          <w:lang w:val="en-US"/>
        </w:rPr>
        <w:t>In casu</w:t>
      </w:r>
      <w:r>
        <w:rPr>
          <w:sz w:val="24"/>
          <w:szCs w:val="24"/>
          <w:lang w:val="en-US"/>
        </w:rPr>
        <w:t xml:space="preserve"> the application was served at the Attorney-General’s office and not at a Police Station.  Whatever role the police officer to whom service was effected was playing at the Attorney-General’s office did not change the fact that this was the Attorney-General’s office.  That office had no mandate as at the time of service of the application to represent the 2</w:t>
      </w:r>
      <w:r w:rsidRPr="00EA032B">
        <w:rPr>
          <w:sz w:val="24"/>
          <w:szCs w:val="24"/>
          <w:vertAlign w:val="superscript"/>
          <w:lang w:val="en-US"/>
        </w:rPr>
        <w:t>nd</w:t>
      </w:r>
      <w:r>
        <w:rPr>
          <w:sz w:val="24"/>
          <w:szCs w:val="24"/>
          <w:lang w:val="en-US"/>
        </w:rPr>
        <w:t xml:space="preserve"> respondent.  The service at this office would have been, at most, for information, and not for that office to act on it.  The service at the Attorney-General’s office was therefore not good service.</w:t>
      </w:r>
    </w:p>
    <w:p w:rsidR="00585249" w:rsidRDefault="00585249" w:rsidP="00B549EC">
      <w:pPr>
        <w:pStyle w:val="NoSpacing"/>
        <w:spacing w:line="360" w:lineRule="auto"/>
        <w:jc w:val="both"/>
        <w:rPr>
          <w:sz w:val="24"/>
          <w:szCs w:val="24"/>
          <w:lang w:val="en-US"/>
        </w:rPr>
      </w:pPr>
    </w:p>
    <w:p w:rsidR="00585249" w:rsidRDefault="00585249" w:rsidP="00B549EC">
      <w:pPr>
        <w:pStyle w:val="NoSpacing"/>
        <w:spacing w:line="360" w:lineRule="auto"/>
        <w:jc w:val="both"/>
        <w:rPr>
          <w:sz w:val="24"/>
          <w:szCs w:val="24"/>
          <w:lang w:val="en-US"/>
        </w:rPr>
      </w:pPr>
      <w:r>
        <w:rPr>
          <w:sz w:val="24"/>
          <w:szCs w:val="24"/>
          <w:lang w:val="en-US"/>
        </w:rPr>
        <w:tab/>
        <w:t>That said and with nothing to controvert the assertion that the 2</w:t>
      </w:r>
      <w:r w:rsidRPr="00585249">
        <w:rPr>
          <w:sz w:val="24"/>
          <w:szCs w:val="24"/>
          <w:vertAlign w:val="superscript"/>
          <w:lang w:val="en-US"/>
        </w:rPr>
        <w:t>nd</w:t>
      </w:r>
      <w:r>
        <w:rPr>
          <w:sz w:val="24"/>
          <w:szCs w:val="24"/>
          <w:lang w:val="en-US"/>
        </w:rPr>
        <w:t xml:space="preserve"> respondent only learnt of the application on 12</w:t>
      </w:r>
      <w:r w:rsidRPr="00585249">
        <w:rPr>
          <w:sz w:val="24"/>
          <w:szCs w:val="24"/>
          <w:vertAlign w:val="superscript"/>
          <w:lang w:val="en-US"/>
        </w:rPr>
        <w:t>th</w:t>
      </w:r>
      <w:r>
        <w:rPr>
          <w:sz w:val="24"/>
          <w:szCs w:val="24"/>
          <w:lang w:val="en-US"/>
        </w:rPr>
        <w:t xml:space="preserve"> June 2017, the notice of opposition filed on 23</w:t>
      </w:r>
      <w:r w:rsidRPr="00585249">
        <w:rPr>
          <w:sz w:val="24"/>
          <w:szCs w:val="24"/>
          <w:vertAlign w:val="superscript"/>
          <w:lang w:val="en-US"/>
        </w:rPr>
        <w:t>rd</w:t>
      </w:r>
      <w:r>
        <w:rPr>
          <w:sz w:val="24"/>
          <w:szCs w:val="24"/>
          <w:lang w:val="en-US"/>
        </w:rPr>
        <w:t xml:space="preserve"> June 2017 was not out of time.  The 2</w:t>
      </w:r>
      <w:r w:rsidRPr="00585249">
        <w:rPr>
          <w:sz w:val="24"/>
          <w:szCs w:val="24"/>
          <w:vertAlign w:val="superscript"/>
          <w:lang w:val="en-US"/>
        </w:rPr>
        <w:t>nd</w:t>
      </w:r>
      <w:r>
        <w:rPr>
          <w:sz w:val="24"/>
          <w:szCs w:val="24"/>
          <w:lang w:val="en-US"/>
        </w:rPr>
        <w:t xml:space="preserve"> respondent was therefore not barred.</w:t>
      </w:r>
    </w:p>
    <w:p w:rsidR="00585249" w:rsidRDefault="00585249" w:rsidP="00B549EC">
      <w:pPr>
        <w:pStyle w:val="NoSpacing"/>
        <w:spacing w:line="360" w:lineRule="auto"/>
        <w:jc w:val="both"/>
        <w:rPr>
          <w:sz w:val="24"/>
          <w:szCs w:val="24"/>
          <w:lang w:val="en-US"/>
        </w:rPr>
      </w:pPr>
    </w:p>
    <w:p w:rsidR="00585249" w:rsidRDefault="00585249" w:rsidP="00B549EC">
      <w:pPr>
        <w:pStyle w:val="NoSpacing"/>
        <w:spacing w:line="360" w:lineRule="auto"/>
        <w:jc w:val="both"/>
        <w:rPr>
          <w:sz w:val="24"/>
          <w:szCs w:val="24"/>
          <w:lang w:val="en-US"/>
        </w:rPr>
      </w:pPr>
      <w:r>
        <w:rPr>
          <w:sz w:val="24"/>
          <w:szCs w:val="24"/>
          <w:lang w:val="en-US"/>
        </w:rPr>
        <w:tab/>
        <w:t xml:space="preserve">Where a litigant serves process on a legal practitioner who such litigant knows represented the other party at some stage, such service cannot be good service.  The process has to be served on that party </w:t>
      </w:r>
      <w:r w:rsidR="0082057A">
        <w:rPr>
          <w:sz w:val="24"/>
          <w:szCs w:val="24"/>
          <w:lang w:val="en-US"/>
        </w:rPr>
        <w:t>in</w:t>
      </w:r>
      <w:r>
        <w:rPr>
          <w:sz w:val="24"/>
          <w:szCs w:val="24"/>
          <w:lang w:val="en-US"/>
        </w:rPr>
        <w:t xml:space="preserve"> terms of the rules and only when such party instructs a legal practitioner and subsequently</w:t>
      </w:r>
      <w:r w:rsidR="008F30CB">
        <w:rPr>
          <w:sz w:val="24"/>
          <w:szCs w:val="24"/>
          <w:lang w:val="en-US"/>
        </w:rPr>
        <w:t xml:space="preserve"> such legal practitioner</w:t>
      </w:r>
      <w:r>
        <w:rPr>
          <w:sz w:val="24"/>
          <w:szCs w:val="24"/>
          <w:lang w:val="en-US"/>
        </w:rPr>
        <w:t xml:space="preserve"> responds to the process giving such legal practitioner’s address as the party’s address of service can the litigant serve any subsequent process on that legal practitioner.</w:t>
      </w:r>
    </w:p>
    <w:p w:rsidR="00585249" w:rsidRDefault="00585249" w:rsidP="00B549EC">
      <w:pPr>
        <w:pStyle w:val="NoSpacing"/>
        <w:spacing w:line="360" w:lineRule="auto"/>
        <w:jc w:val="both"/>
        <w:rPr>
          <w:sz w:val="24"/>
          <w:szCs w:val="24"/>
          <w:lang w:val="en-US"/>
        </w:rPr>
      </w:pPr>
    </w:p>
    <w:p w:rsidR="00585249" w:rsidRDefault="00585249" w:rsidP="00B549EC">
      <w:pPr>
        <w:pStyle w:val="NoSpacing"/>
        <w:spacing w:line="360" w:lineRule="auto"/>
        <w:jc w:val="both"/>
        <w:rPr>
          <w:sz w:val="24"/>
          <w:szCs w:val="24"/>
          <w:lang w:val="en-US"/>
        </w:rPr>
      </w:pPr>
      <w:r>
        <w:rPr>
          <w:sz w:val="24"/>
          <w:szCs w:val="24"/>
          <w:lang w:val="en-US"/>
        </w:rPr>
        <w:tab/>
        <w:t xml:space="preserve">The applicant </w:t>
      </w:r>
      <w:r w:rsidRPr="0082057A">
        <w:rPr>
          <w:i/>
          <w:sz w:val="24"/>
          <w:szCs w:val="24"/>
          <w:lang w:val="en-US"/>
        </w:rPr>
        <w:t>in casu</w:t>
      </w:r>
      <w:r>
        <w:rPr>
          <w:sz w:val="24"/>
          <w:szCs w:val="24"/>
          <w:lang w:val="en-US"/>
        </w:rPr>
        <w:t xml:space="preserve"> ought therefore to have served the application on the 2</w:t>
      </w:r>
      <w:r w:rsidRPr="00585249">
        <w:rPr>
          <w:sz w:val="24"/>
          <w:szCs w:val="24"/>
          <w:vertAlign w:val="superscript"/>
          <w:lang w:val="en-US"/>
        </w:rPr>
        <w:t>nd</w:t>
      </w:r>
      <w:r>
        <w:rPr>
          <w:sz w:val="24"/>
          <w:szCs w:val="24"/>
          <w:lang w:val="en-US"/>
        </w:rPr>
        <w:t xml:space="preserve"> respondent or at his offices as this was not a claim sounding in money and the </w:t>
      </w:r>
      <w:r w:rsidRPr="0082057A">
        <w:rPr>
          <w:i/>
          <w:sz w:val="24"/>
          <w:szCs w:val="24"/>
          <w:lang w:val="en-US"/>
        </w:rPr>
        <w:t>dies induciae</w:t>
      </w:r>
      <w:r>
        <w:rPr>
          <w:sz w:val="24"/>
          <w:szCs w:val="24"/>
          <w:lang w:val="en-US"/>
        </w:rPr>
        <w:t xml:space="preserve"> would have been reckoned </w:t>
      </w:r>
      <w:r w:rsidR="004A1E6B">
        <w:rPr>
          <w:sz w:val="24"/>
          <w:szCs w:val="24"/>
          <w:lang w:val="en-US"/>
        </w:rPr>
        <w:t>from the day following such service.</w:t>
      </w:r>
    </w:p>
    <w:p w:rsidR="004A1E6B" w:rsidRDefault="004A1E6B" w:rsidP="00B549EC">
      <w:pPr>
        <w:pStyle w:val="NoSpacing"/>
        <w:spacing w:line="360" w:lineRule="auto"/>
        <w:jc w:val="both"/>
        <w:rPr>
          <w:sz w:val="24"/>
          <w:szCs w:val="24"/>
          <w:lang w:val="en-US"/>
        </w:rPr>
      </w:pPr>
    </w:p>
    <w:p w:rsidR="004A1E6B" w:rsidRDefault="004A1E6B" w:rsidP="00B549EC">
      <w:pPr>
        <w:pStyle w:val="NoSpacing"/>
        <w:spacing w:line="360" w:lineRule="auto"/>
        <w:jc w:val="both"/>
        <w:rPr>
          <w:sz w:val="24"/>
          <w:szCs w:val="24"/>
          <w:lang w:val="en-US"/>
        </w:rPr>
      </w:pPr>
      <w:r>
        <w:rPr>
          <w:sz w:val="24"/>
          <w:szCs w:val="24"/>
          <w:lang w:val="en-US"/>
        </w:rPr>
        <w:tab/>
        <w:t xml:space="preserve"> I do not intend to detain myself on the issue relating to the 1</w:t>
      </w:r>
      <w:r w:rsidRPr="004A1E6B">
        <w:rPr>
          <w:sz w:val="24"/>
          <w:szCs w:val="24"/>
          <w:vertAlign w:val="superscript"/>
          <w:lang w:val="en-US"/>
        </w:rPr>
        <w:t>st</w:t>
      </w:r>
      <w:r>
        <w:rPr>
          <w:sz w:val="24"/>
          <w:szCs w:val="24"/>
          <w:lang w:val="en-US"/>
        </w:rPr>
        <w:t xml:space="preserve"> respondent whose notice of opposition was filed on time but merely associated with 2</w:t>
      </w:r>
      <w:r w:rsidRPr="004A1E6B">
        <w:rPr>
          <w:sz w:val="24"/>
          <w:szCs w:val="24"/>
          <w:vertAlign w:val="superscript"/>
          <w:lang w:val="en-US"/>
        </w:rPr>
        <w:t>nd</w:t>
      </w:r>
      <w:r>
        <w:rPr>
          <w:sz w:val="24"/>
          <w:szCs w:val="24"/>
          <w:lang w:val="en-US"/>
        </w:rPr>
        <w:t xml:space="preserve"> respondent’s.  This may be because the 1</w:t>
      </w:r>
      <w:r w:rsidRPr="004A1E6B">
        <w:rPr>
          <w:sz w:val="24"/>
          <w:szCs w:val="24"/>
          <w:vertAlign w:val="superscript"/>
          <w:lang w:val="en-US"/>
        </w:rPr>
        <w:t>st</w:t>
      </w:r>
      <w:r>
        <w:rPr>
          <w:sz w:val="24"/>
          <w:szCs w:val="24"/>
          <w:lang w:val="en-US"/>
        </w:rPr>
        <w:t xml:space="preserve"> respondent had instructed the Civil Division of the Attorney-General’s offi</w:t>
      </w:r>
      <w:r w:rsidR="00F034E3">
        <w:rPr>
          <w:sz w:val="24"/>
          <w:szCs w:val="24"/>
          <w:lang w:val="en-US"/>
        </w:rPr>
        <w:t xml:space="preserve">ce </w:t>
      </w:r>
      <w:r w:rsidR="00F034E3">
        <w:rPr>
          <w:sz w:val="24"/>
          <w:szCs w:val="24"/>
          <w:lang w:val="en-US"/>
        </w:rPr>
        <w:lastRenderedPageBreak/>
        <w:t>who prepared and fil</w:t>
      </w:r>
      <w:r>
        <w:rPr>
          <w:sz w:val="24"/>
          <w:szCs w:val="24"/>
          <w:lang w:val="en-US"/>
        </w:rPr>
        <w:t>ed the notice of opposition for the 2</w:t>
      </w:r>
      <w:r w:rsidRPr="004A1E6B">
        <w:rPr>
          <w:sz w:val="24"/>
          <w:szCs w:val="24"/>
          <w:vertAlign w:val="superscript"/>
          <w:lang w:val="en-US"/>
        </w:rPr>
        <w:t>nd</w:t>
      </w:r>
      <w:r w:rsidR="00F034E3">
        <w:rPr>
          <w:sz w:val="24"/>
          <w:szCs w:val="24"/>
          <w:lang w:val="en-US"/>
        </w:rPr>
        <w:t xml:space="preserve"> respondent, whose contents equally applied to the 1</w:t>
      </w:r>
      <w:r w:rsidR="00F034E3" w:rsidRPr="00F034E3">
        <w:rPr>
          <w:sz w:val="24"/>
          <w:szCs w:val="24"/>
          <w:vertAlign w:val="superscript"/>
          <w:lang w:val="en-US"/>
        </w:rPr>
        <w:t>st</w:t>
      </w:r>
      <w:r w:rsidR="00F034E3">
        <w:rPr>
          <w:sz w:val="24"/>
          <w:szCs w:val="24"/>
          <w:lang w:val="en-US"/>
        </w:rPr>
        <w:t xml:space="preserve"> respondent.</w:t>
      </w:r>
    </w:p>
    <w:p w:rsidR="004A1E6B" w:rsidRDefault="004A1E6B" w:rsidP="00B549EC">
      <w:pPr>
        <w:pStyle w:val="NoSpacing"/>
        <w:spacing w:line="360" w:lineRule="auto"/>
        <w:jc w:val="both"/>
        <w:rPr>
          <w:sz w:val="24"/>
          <w:szCs w:val="24"/>
          <w:lang w:val="en-US"/>
        </w:rPr>
      </w:pPr>
    </w:p>
    <w:p w:rsidR="004A1E6B" w:rsidRDefault="004A1E6B" w:rsidP="00B549EC">
      <w:pPr>
        <w:pStyle w:val="NoSpacing"/>
        <w:spacing w:line="360" w:lineRule="auto"/>
        <w:jc w:val="both"/>
        <w:rPr>
          <w:sz w:val="24"/>
          <w:szCs w:val="24"/>
          <w:lang w:val="en-US"/>
        </w:rPr>
      </w:pPr>
      <w:r>
        <w:rPr>
          <w:sz w:val="24"/>
          <w:szCs w:val="24"/>
          <w:lang w:val="en-US"/>
        </w:rPr>
        <w:tab/>
        <w:t>With the finding that 2</w:t>
      </w:r>
      <w:r w:rsidRPr="004A1E6B">
        <w:rPr>
          <w:sz w:val="24"/>
          <w:szCs w:val="24"/>
          <w:vertAlign w:val="superscript"/>
          <w:lang w:val="en-US"/>
        </w:rPr>
        <w:t>nd</w:t>
      </w:r>
      <w:r>
        <w:rPr>
          <w:sz w:val="24"/>
          <w:szCs w:val="24"/>
          <w:lang w:val="en-US"/>
        </w:rPr>
        <w:t xml:space="preserve"> respondent is not barred, the argument relating to the fate of the 1</w:t>
      </w:r>
      <w:r w:rsidRPr="004A1E6B">
        <w:rPr>
          <w:sz w:val="24"/>
          <w:szCs w:val="24"/>
          <w:vertAlign w:val="superscript"/>
          <w:lang w:val="en-US"/>
        </w:rPr>
        <w:t>st</w:t>
      </w:r>
      <w:r>
        <w:rPr>
          <w:sz w:val="24"/>
          <w:szCs w:val="24"/>
          <w:lang w:val="en-US"/>
        </w:rPr>
        <w:t xml:space="preserve"> respondent’s notice of opposition equally fails.</w:t>
      </w:r>
    </w:p>
    <w:p w:rsidR="004A1E6B" w:rsidRDefault="004A1E6B" w:rsidP="00B549EC">
      <w:pPr>
        <w:pStyle w:val="NoSpacing"/>
        <w:spacing w:line="360" w:lineRule="auto"/>
        <w:jc w:val="both"/>
        <w:rPr>
          <w:sz w:val="24"/>
          <w:szCs w:val="24"/>
          <w:lang w:val="en-US"/>
        </w:rPr>
      </w:pPr>
      <w:bookmarkStart w:id="0" w:name="_GoBack"/>
      <w:bookmarkEnd w:id="0"/>
    </w:p>
    <w:p w:rsidR="004A1E6B" w:rsidRDefault="004A1E6B" w:rsidP="00B549EC">
      <w:pPr>
        <w:pStyle w:val="NoSpacing"/>
        <w:spacing w:line="360" w:lineRule="auto"/>
        <w:jc w:val="both"/>
        <w:rPr>
          <w:sz w:val="24"/>
          <w:szCs w:val="24"/>
          <w:lang w:val="en-US"/>
        </w:rPr>
      </w:pPr>
      <w:r>
        <w:rPr>
          <w:sz w:val="24"/>
          <w:szCs w:val="24"/>
          <w:lang w:val="en-US"/>
        </w:rPr>
        <w:tab/>
      </w:r>
      <w:r w:rsidR="007C6EEF" w:rsidRPr="0082057A">
        <w:rPr>
          <w:i/>
          <w:sz w:val="24"/>
          <w:szCs w:val="24"/>
          <w:lang w:val="en-US"/>
        </w:rPr>
        <w:t>Ms.</w:t>
      </w:r>
      <w:r w:rsidRPr="0082057A">
        <w:rPr>
          <w:i/>
          <w:sz w:val="24"/>
          <w:szCs w:val="24"/>
          <w:lang w:val="en-US"/>
        </w:rPr>
        <w:t xml:space="preserve"> Kamema</w:t>
      </w:r>
      <w:r>
        <w:rPr>
          <w:sz w:val="24"/>
          <w:szCs w:val="24"/>
          <w:lang w:val="en-US"/>
        </w:rPr>
        <w:t xml:space="preserve"> had sought condonation from the bar and this was in order</w:t>
      </w:r>
      <w:r w:rsidR="007357C1">
        <w:rPr>
          <w:sz w:val="24"/>
          <w:szCs w:val="24"/>
          <w:lang w:val="en-US"/>
        </w:rPr>
        <w:t>,</w:t>
      </w:r>
      <w:r>
        <w:rPr>
          <w:sz w:val="24"/>
          <w:szCs w:val="24"/>
          <w:lang w:val="en-US"/>
        </w:rPr>
        <w:t xml:space="preserve"> for there is nothing that stops a litigant from seeking condonation at the hearing of a matter.  However</w:t>
      </w:r>
      <w:r w:rsidR="007357C1">
        <w:rPr>
          <w:sz w:val="24"/>
          <w:szCs w:val="24"/>
          <w:lang w:val="en-US"/>
        </w:rPr>
        <w:t>,</w:t>
      </w:r>
      <w:r>
        <w:rPr>
          <w:sz w:val="24"/>
          <w:szCs w:val="24"/>
          <w:lang w:val="en-US"/>
        </w:rPr>
        <w:t xml:space="preserve"> with the finding that the notice of opposition was not filed out of time such an application is not necessary.  There is nothing to be condoned for.</w:t>
      </w:r>
    </w:p>
    <w:p w:rsidR="004A1E6B" w:rsidRDefault="004A1E6B" w:rsidP="00B549EC">
      <w:pPr>
        <w:pStyle w:val="NoSpacing"/>
        <w:spacing w:line="360" w:lineRule="auto"/>
        <w:jc w:val="both"/>
        <w:rPr>
          <w:sz w:val="24"/>
          <w:szCs w:val="24"/>
          <w:lang w:val="en-US"/>
        </w:rPr>
      </w:pPr>
    </w:p>
    <w:p w:rsidR="004A1E6B" w:rsidRDefault="004A1E6B" w:rsidP="00B549EC">
      <w:pPr>
        <w:pStyle w:val="NoSpacing"/>
        <w:spacing w:line="360" w:lineRule="auto"/>
        <w:jc w:val="both"/>
        <w:rPr>
          <w:sz w:val="24"/>
          <w:szCs w:val="24"/>
          <w:lang w:val="en-US"/>
        </w:rPr>
      </w:pPr>
      <w:r>
        <w:rPr>
          <w:sz w:val="24"/>
          <w:szCs w:val="24"/>
          <w:lang w:val="en-US"/>
        </w:rPr>
        <w:tab/>
        <w:t xml:space="preserve">The point </w:t>
      </w:r>
      <w:r w:rsidRPr="0082057A">
        <w:rPr>
          <w:i/>
          <w:sz w:val="24"/>
          <w:szCs w:val="24"/>
          <w:lang w:val="en-US"/>
        </w:rPr>
        <w:t>in limine</w:t>
      </w:r>
      <w:r>
        <w:rPr>
          <w:sz w:val="24"/>
          <w:szCs w:val="24"/>
          <w:lang w:val="en-US"/>
        </w:rPr>
        <w:t xml:space="preserve"> was therefore not properly tak</w:t>
      </w:r>
      <w:r w:rsidR="000A1A11">
        <w:rPr>
          <w:sz w:val="24"/>
          <w:szCs w:val="24"/>
          <w:lang w:val="en-US"/>
        </w:rPr>
        <w:t>en and is accordingly dismissed, with no order as to costs.</w:t>
      </w:r>
    </w:p>
    <w:p w:rsidR="004A1E6B" w:rsidRDefault="004A1E6B" w:rsidP="00B549EC">
      <w:pPr>
        <w:pStyle w:val="NoSpacing"/>
        <w:spacing w:line="360" w:lineRule="auto"/>
        <w:jc w:val="both"/>
        <w:rPr>
          <w:sz w:val="24"/>
          <w:szCs w:val="24"/>
          <w:lang w:val="en-US"/>
        </w:rPr>
      </w:pPr>
    </w:p>
    <w:p w:rsidR="004A1E6B" w:rsidRDefault="004A1E6B" w:rsidP="00B549EC">
      <w:pPr>
        <w:pStyle w:val="NoSpacing"/>
        <w:spacing w:line="360" w:lineRule="auto"/>
        <w:jc w:val="both"/>
        <w:rPr>
          <w:sz w:val="24"/>
          <w:szCs w:val="24"/>
          <w:lang w:val="en-US"/>
        </w:rPr>
      </w:pPr>
    </w:p>
    <w:p w:rsidR="0082057A" w:rsidRDefault="0082057A" w:rsidP="00B549EC">
      <w:pPr>
        <w:pStyle w:val="NoSpacing"/>
        <w:spacing w:line="360" w:lineRule="auto"/>
        <w:jc w:val="both"/>
        <w:rPr>
          <w:sz w:val="24"/>
          <w:szCs w:val="24"/>
          <w:lang w:val="en-US"/>
        </w:rPr>
      </w:pPr>
    </w:p>
    <w:p w:rsidR="0082057A" w:rsidRDefault="0082057A" w:rsidP="00B549EC">
      <w:pPr>
        <w:pStyle w:val="NoSpacing"/>
        <w:spacing w:line="360" w:lineRule="auto"/>
        <w:jc w:val="both"/>
        <w:rPr>
          <w:sz w:val="24"/>
          <w:szCs w:val="24"/>
          <w:lang w:val="en-US"/>
        </w:rPr>
      </w:pPr>
    </w:p>
    <w:p w:rsidR="00481FC5" w:rsidRDefault="00481FC5" w:rsidP="00B549EC">
      <w:pPr>
        <w:pStyle w:val="NoSpacing"/>
        <w:spacing w:line="360" w:lineRule="auto"/>
        <w:jc w:val="both"/>
        <w:rPr>
          <w:sz w:val="24"/>
          <w:szCs w:val="24"/>
          <w:lang w:val="en-US"/>
        </w:rPr>
      </w:pPr>
    </w:p>
    <w:p w:rsidR="0082057A" w:rsidRDefault="0082057A" w:rsidP="00B549EC">
      <w:pPr>
        <w:pStyle w:val="NoSpacing"/>
        <w:spacing w:line="360" w:lineRule="auto"/>
        <w:jc w:val="both"/>
        <w:rPr>
          <w:sz w:val="24"/>
          <w:szCs w:val="24"/>
          <w:lang w:val="en-US"/>
        </w:rPr>
      </w:pPr>
    </w:p>
    <w:p w:rsidR="004A1E6B" w:rsidRDefault="004A1E6B" w:rsidP="00B549EC">
      <w:pPr>
        <w:pStyle w:val="NoSpacing"/>
        <w:spacing w:line="360" w:lineRule="auto"/>
        <w:jc w:val="both"/>
        <w:rPr>
          <w:sz w:val="24"/>
          <w:szCs w:val="24"/>
          <w:lang w:val="en-US"/>
        </w:rPr>
      </w:pPr>
      <w:r>
        <w:rPr>
          <w:sz w:val="24"/>
          <w:szCs w:val="24"/>
          <w:lang w:val="en-US"/>
        </w:rPr>
        <w:t>Civil Division of the Attorney-General’s Office, 1</w:t>
      </w:r>
      <w:r w:rsidRPr="004A1E6B">
        <w:rPr>
          <w:sz w:val="24"/>
          <w:szCs w:val="24"/>
          <w:vertAlign w:val="superscript"/>
          <w:lang w:val="en-US"/>
        </w:rPr>
        <w:t>st</w:t>
      </w:r>
      <w:r>
        <w:rPr>
          <w:sz w:val="24"/>
          <w:szCs w:val="24"/>
          <w:lang w:val="en-US"/>
        </w:rPr>
        <w:t xml:space="preserve"> and 2</w:t>
      </w:r>
      <w:r w:rsidRPr="004A1E6B">
        <w:rPr>
          <w:sz w:val="24"/>
          <w:szCs w:val="24"/>
          <w:vertAlign w:val="superscript"/>
          <w:lang w:val="en-US"/>
        </w:rPr>
        <w:t>nd</w:t>
      </w:r>
      <w:r>
        <w:rPr>
          <w:sz w:val="24"/>
          <w:szCs w:val="24"/>
          <w:lang w:val="en-US"/>
        </w:rPr>
        <w:t xml:space="preserve"> respondents’ legal practitioners</w:t>
      </w:r>
    </w:p>
    <w:p w:rsidR="00223694" w:rsidRDefault="00223694"/>
    <w:sectPr w:rsidR="0022369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EB7" w:rsidRDefault="00AD2EB7" w:rsidP="004A7461">
      <w:pPr>
        <w:spacing w:after="0" w:line="240" w:lineRule="auto"/>
      </w:pPr>
      <w:r>
        <w:separator/>
      </w:r>
    </w:p>
  </w:endnote>
  <w:endnote w:type="continuationSeparator" w:id="0">
    <w:p w:rsidR="00AD2EB7" w:rsidRDefault="00AD2EB7" w:rsidP="004A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33" w:rsidRDefault="00F20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33" w:rsidRDefault="00F20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33" w:rsidRDefault="00F20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EB7" w:rsidRDefault="00AD2EB7" w:rsidP="004A7461">
      <w:pPr>
        <w:spacing w:after="0" w:line="240" w:lineRule="auto"/>
      </w:pPr>
      <w:r>
        <w:separator/>
      </w:r>
    </w:p>
  </w:footnote>
  <w:footnote w:type="continuationSeparator" w:id="0">
    <w:p w:rsidR="00AD2EB7" w:rsidRDefault="00AD2EB7" w:rsidP="004A7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33" w:rsidRDefault="00F209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234452"/>
      <w:docPartObj>
        <w:docPartGallery w:val="Page Numbers (Top of Page)"/>
        <w:docPartUnique/>
      </w:docPartObj>
    </w:sdtPr>
    <w:sdtEndPr>
      <w:rPr>
        <w:rFonts w:ascii="Times New Roman" w:hAnsi="Times New Roman" w:cs="Times New Roman"/>
        <w:noProof/>
        <w:sz w:val="24"/>
        <w:szCs w:val="24"/>
      </w:rPr>
    </w:sdtEndPr>
    <w:sdtContent>
      <w:p w:rsidR="004A7461" w:rsidRPr="009469AD" w:rsidRDefault="004A7461">
        <w:pPr>
          <w:pStyle w:val="Header"/>
          <w:jc w:val="right"/>
          <w:rPr>
            <w:rFonts w:ascii="Times New Roman" w:hAnsi="Times New Roman" w:cs="Times New Roman"/>
            <w:noProof/>
            <w:sz w:val="24"/>
            <w:szCs w:val="24"/>
          </w:rPr>
        </w:pPr>
        <w:r w:rsidRPr="009469AD">
          <w:rPr>
            <w:rFonts w:ascii="Times New Roman" w:hAnsi="Times New Roman" w:cs="Times New Roman"/>
            <w:sz w:val="24"/>
            <w:szCs w:val="24"/>
          </w:rPr>
          <w:fldChar w:fldCharType="begin"/>
        </w:r>
        <w:r w:rsidRPr="009469AD">
          <w:rPr>
            <w:rFonts w:ascii="Times New Roman" w:hAnsi="Times New Roman" w:cs="Times New Roman"/>
            <w:sz w:val="24"/>
            <w:szCs w:val="24"/>
          </w:rPr>
          <w:instrText xml:space="preserve"> PAGE   \* MERGEFORMAT </w:instrText>
        </w:r>
        <w:r w:rsidRPr="009469AD">
          <w:rPr>
            <w:rFonts w:ascii="Times New Roman" w:hAnsi="Times New Roman" w:cs="Times New Roman"/>
            <w:sz w:val="24"/>
            <w:szCs w:val="24"/>
          </w:rPr>
          <w:fldChar w:fldCharType="separate"/>
        </w:r>
        <w:r w:rsidR="002C3F80">
          <w:rPr>
            <w:rFonts w:ascii="Times New Roman" w:hAnsi="Times New Roman" w:cs="Times New Roman"/>
            <w:noProof/>
            <w:sz w:val="24"/>
            <w:szCs w:val="24"/>
          </w:rPr>
          <w:t>4</w:t>
        </w:r>
        <w:r w:rsidRPr="009469AD">
          <w:rPr>
            <w:rFonts w:ascii="Times New Roman" w:hAnsi="Times New Roman" w:cs="Times New Roman"/>
            <w:noProof/>
            <w:sz w:val="24"/>
            <w:szCs w:val="24"/>
          </w:rPr>
          <w:fldChar w:fldCharType="end"/>
        </w:r>
      </w:p>
      <w:p w:rsidR="004A7461" w:rsidRPr="009469AD" w:rsidRDefault="004A7461">
        <w:pPr>
          <w:pStyle w:val="Header"/>
          <w:jc w:val="right"/>
          <w:rPr>
            <w:rFonts w:ascii="Times New Roman" w:hAnsi="Times New Roman" w:cs="Times New Roman"/>
            <w:noProof/>
            <w:sz w:val="24"/>
            <w:szCs w:val="24"/>
          </w:rPr>
        </w:pPr>
        <w:r w:rsidRPr="009469AD">
          <w:rPr>
            <w:rFonts w:ascii="Times New Roman" w:hAnsi="Times New Roman" w:cs="Times New Roman"/>
            <w:noProof/>
            <w:sz w:val="24"/>
            <w:szCs w:val="24"/>
          </w:rPr>
          <w:t>HB</w:t>
        </w:r>
        <w:r w:rsidR="00F20933">
          <w:rPr>
            <w:rFonts w:ascii="Times New Roman" w:hAnsi="Times New Roman" w:cs="Times New Roman"/>
            <w:noProof/>
            <w:sz w:val="24"/>
            <w:szCs w:val="24"/>
          </w:rPr>
          <w:t xml:space="preserve"> 160/22</w:t>
        </w:r>
      </w:p>
      <w:p w:rsidR="004A7461" w:rsidRPr="009469AD" w:rsidRDefault="004A7461">
        <w:pPr>
          <w:pStyle w:val="Header"/>
          <w:jc w:val="right"/>
          <w:rPr>
            <w:rFonts w:ascii="Times New Roman" w:hAnsi="Times New Roman" w:cs="Times New Roman"/>
            <w:sz w:val="24"/>
            <w:szCs w:val="24"/>
          </w:rPr>
        </w:pPr>
        <w:r w:rsidRPr="009469AD">
          <w:rPr>
            <w:rFonts w:ascii="Times New Roman" w:hAnsi="Times New Roman" w:cs="Times New Roman"/>
            <w:noProof/>
            <w:sz w:val="24"/>
            <w:szCs w:val="24"/>
          </w:rPr>
          <w:t>HC 1468/17</w:t>
        </w:r>
      </w:p>
    </w:sdtContent>
  </w:sdt>
  <w:p w:rsidR="004A7461" w:rsidRDefault="004A74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33" w:rsidRDefault="00F209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B8"/>
    <w:rsid w:val="000426B8"/>
    <w:rsid w:val="000815B1"/>
    <w:rsid w:val="000A1A11"/>
    <w:rsid w:val="000D0093"/>
    <w:rsid w:val="00111868"/>
    <w:rsid w:val="001357E0"/>
    <w:rsid w:val="001C4813"/>
    <w:rsid w:val="00223694"/>
    <w:rsid w:val="002B3737"/>
    <w:rsid w:val="002C3F80"/>
    <w:rsid w:val="003A3E1E"/>
    <w:rsid w:val="003B0FDA"/>
    <w:rsid w:val="003C0166"/>
    <w:rsid w:val="00481FC5"/>
    <w:rsid w:val="00496E50"/>
    <w:rsid w:val="004A1E6B"/>
    <w:rsid w:val="004A7461"/>
    <w:rsid w:val="00585249"/>
    <w:rsid w:val="007357C1"/>
    <w:rsid w:val="00752099"/>
    <w:rsid w:val="007C6EEF"/>
    <w:rsid w:val="0082057A"/>
    <w:rsid w:val="00877B5E"/>
    <w:rsid w:val="008F30CB"/>
    <w:rsid w:val="0091314F"/>
    <w:rsid w:val="009469AD"/>
    <w:rsid w:val="009A497F"/>
    <w:rsid w:val="009E7788"/>
    <w:rsid w:val="00A179B2"/>
    <w:rsid w:val="00AD2EB7"/>
    <w:rsid w:val="00B549EC"/>
    <w:rsid w:val="00BF7418"/>
    <w:rsid w:val="00C43BA4"/>
    <w:rsid w:val="00C61505"/>
    <w:rsid w:val="00D51F59"/>
    <w:rsid w:val="00DC2BF8"/>
    <w:rsid w:val="00E40089"/>
    <w:rsid w:val="00E830A1"/>
    <w:rsid w:val="00EA032B"/>
    <w:rsid w:val="00F034E3"/>
    <w:rsid w:val="00F14D7E"/>
    <w:rsid w:val="00F209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D5CFC-76A0-4155-B57E-4388A977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6B8"/>
    <w:pPr>
      <w:spacing w:after="0" w:line="240" w:lineRule="auto"/>
    </w:pPr>
    <w:rPr>
      <w:rFonts w:ascii="Times New Roman" w:hAnsi="Times New Roman"/>
      <w:sz w:val="28"/>
    </w:rPr>
  </w:style>
  <w:style w:type="paragraph" w:styleId="Header">
    <w:name w:val="header"/>
    <w:basedOn w:val="Normal"/>
    <w:link w:val="HeaderChar"/>
    <w:uiPriority w:val="99"/>
    <w:unhideWhenUsed/>
    <w:rsid w:val="004A7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461"/>
  </w:style>
  <w:style w:type="paragraph" w:styleId="Footer">
    <w:name w:val="footer"/>
    <w:basedOn w:val="Normal"/>
    <w:link w:val="FooterChar"/>
    <w:uiPriority w:val="99"/>
    <w:unhideWhenUsed/>
    <w:rsid w:val="004A7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0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32</cp:revision>
  <dcterms:created xsi:type="dcterms:W3CDTF">2022-06-17T12:15:00Z</dcterms:created>
  <dcterms:modified xsi:type="dcterms:W3CDTF">2022-06-23T10:10:00Z</dcterms:modified>
</cp:coreProperties>
</file>