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B95CEE" w:rsidP="0050487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LESCAUT INVESTMENTS (PVT) LTD</w:t>
      </w:r>
    </w:p>
    <w:p w:rsidR="00B95CEE" w:rsidRDefault="00B95CEE" w:rsidP="00504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95CEE" w:rsidRDefault="00747982" w:rsidP="00504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BRECKRIDGE INVEST</w:t>
      </w:r>
      <w:r w:rsidR="00B95CEE">
        <w:rPr>
          <w:rFonts w:ascii="Times New Roman" w:hAnsi="Times New Roman" w:cs="Times New Roman"/>
          <w:sz w:val="24"/>
          <w:szCs w:val="24"/>
        </w:rPr>
        <w:t>MENTS (PVT) LTD</w:t>
      </w:r>
    </w:p>
    <w:p w:rsidR="00B95CEE" w:rsidRDefault="00B95CEE" w:rsidP="00504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95CEE" w:rsidRDefault="00B95CEE" w:rsidP="00504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DANANGWE DIS</w:t>
      </w:r>
      <w:r w:rsidR="00747982">
        <w:rPr>
          <w:rFonts w:ascii="Times New Roman" w:hAnsi="Times New Roman" w:cs="Times New Roman"/>
          <w:sz w:val="24"/>
          <w:szCs w:val="24"/>
        </w:rPr>
        <w:t>TRICT YOUTH IN MINING COOPERATIV</w:t>
      </w:r>
      <w:r>
        <w:rPr>
          <w:rFonts w:ascii="Times New Roman" w:hAnsi="Times New Roman" w:cs="Times New Roman"/>
          <w:sz w:val="24"/>
          <w:szCs w:val="24"/>
        </w:rPr>
        <w:t>E SOCIETY</w:t>
      </w:r>
    </w:p>
    <w:p w:rsidR="00B95CEE" w:rsidRDefault="00B95CEE" w:rsidP="00504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95CEE" w:rsidRDefault="00B95CEE" w:rsidP="00504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MINES AND MIN</w:t>
      </w:r>
      <w:r w:rsidR="00F2263A">
        <w:rPr>
          <w:rFonts w:ascii="Times New Roman" w:hAnsi="Times New Roman" w:cs="Times New Roman"/>
          <w:sz w:val="24"/>
          <w:szCs w:val="24"/>
        </w:rPr>
        <w:t>I</w:t>
      </w:r>
      <w:r>
        <w:rPr>
          <w:rFonts w:ascii="Times New Roman" w:hAnsi="Times New Roman" w:cs="Times New Roman"/>
          <w:sz w:val="24"/>
          <w:szCs w:val="24"/>
        </w:rPr>
        <w:t>NG DEVELOPMENT</w:t>
      </w:r>
    </w:p>
    <w:p w:rsidR="00B95CEE" w:rsidRDefault="00B95CEE" w:rsidP="00B95CEE">
      <w:pPr>
        <w:spacing w:after="0" w:line="360" w:lineRule="auto"/>
        <w:jc w:val="both"/>
        <w:rPr>
          <w:rFonts w:ascii="Times New Roman" w:hAnsi="Times New Roman" w:cs="Times New Roman"/>
          <w:sz w:val="24"/>
          <w:szCs w:val="24"/>
        </w:rPr>
      </w:pPr>
    </w:p>
    <w:p w:rsidR="00B95CEE" w:rsidRDefault="00B95CEE" w:rsidP="00B95CEE">
      <w:pPr>
        <w:spacing w:after="0" w:line="360" w:lineRule="auto"/>
        <w:jc w:val="both"/>
        <w:rPr>
          <w:rFonts w:ascii="Times New Roman" w:hAnsi="Times New Roman" w:cs="Times New Roman"/>
          <w:sz w:val="24"/>
          <w:szCs w:val="24"/>
        </w:rPr>
      </w:pPr>
    </w:p>
    <w:p w:rsidR="00B95CEE" w:rsidRDefault="00B95CEE" w:rsidP="00504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95CEE" w:rsidRDefault="00B95CEE" w:rsidP="00504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B95CEE" w:rsidRDefault="009C3301" w:rsidP="00504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10</w:t>
      </w:r>
      <w:r w:rsidR="00440966">
        <w:rPr>
          <w:rFonts w:ascii="Times New Roman" w:hAnsi="Times New Roman" w:cs="Times New Roman"/>
          <w:sz w:val="24"/>
          <w:szCs w:val="24"/>
        </w:rPr>
        <w:t xml:space="preserve"> July 2018</w:t>
      </w:r>
      <w:r>
        <w:rPr>
          <w:rFonts w:ascii="Times New Roman" w:hAnsi="Times New Roman" w:cs="Times New Roman"/>
          <w:sz w:val="24"/>
          <w:szCs w:val="24"/>
        </w:rPr>
        <w:t xml:space="preserve"> &amp; 25</w:t>
      </w:r>
      <w:r w:rsidR="00B95CEE">
        <w:rPr>
          <w:rFonts w:ascii="Times New Roman" w:hAnsi="Times New Roman" w:cs="Times New Roman"/>
          <w:sz w:val="24"/>
          <w:szCs w:val="24"/>
        </w:rPr>
        <w:t xml:space="preserve"> July 2018</w:t>
      </w:r>
    </w:p>
    <w:p w:rsidR="00B95CEE" w:rsidRDefault="00B95CEE" w:rsidP="00B95CEE">
      <w:pPr>
        <w:spacing w:after="0" w:line="360" w:lineRule="auto"/>
        <w:jc w:val="both"/>
        <w:rPr>
          <w:rFonts w:ascii="Times New Roman" w:hAnsi="Times New Roman" w:cs="Times New Roman"/>
          <w:sz w:val="24"/>
          <w:szCs w:val="24"/>
        </w:rPr>
      </w:pPr>
    </w:p>
    <w:p w:rsidR="00B95CEE" w:rsidRPr="00B95CEE" w:rsidRDefault="00B95CEE" w:rsidP="00B95CEE">
      <w:pPr>
        <w:spacing w:after="0" w:line="360" w:lineRule="auto"/>
        <w:jc w:val="both"/>
        <w:rPr>
          <w:rFonts w:ascii="Times New Roman" w:hAnsi="Times New Roman" w:cs="Times New Roman"/>
          <w:b/>
          <w:sz w:val="24"/>
          <w:szCs w:val="24"/>
        </w:rPr>
      </w:pPr>
    </w:p>
    <w:p w:rsidR="00B95CEE" w:rsidRPr="00B95CEE" w:rsidRDefault="00B95CEE" w:rsidP="00B95CEE">
      <w:pPr>
        <w:spacing w:after="0" w:line="360" w:lineRule="auto"/>
        <w:jc w:val="both"/>
        <w:rPr>
          <w:rFonts w:ascii="Times New Roman" w:hAnsi="Times New Roman" w:cs="Times New Roman"/>
          <w:b/>
          <w:sz w:val="24"/>
          <w:szCs w:val="24"/>
        </w:rPr>
      </w:pPr>
      <w:r w:rsidRPr="00B95CEE">
        <w:rPr>
          <w:rFonts w:ascii="Times New Roman" w:hAnsi="Times New Roman" w:cs="Times New Roman"/>
          <w:b/>
          <w:sz w:val="24"/>
          <w:szCs w:val="24"/>
        </w:rPr>
        <w:t>Opposed application</w:t>
      </w:r>
    </w:p>
    <w:p w:rsidR="00B95CEE" w:rsidRDefault="00B95CEE" w:rsidP="00B95CEE">
      <w:pPr>
        <w:spacing w:after="0" w:line="360" w:lineRule="auto"/>
        <w:jc w:val="both"/>
        <w:rPr>
          <w:rFonts w:ascii="Times New Roman" w:hAnsi="Times New Roman" w:cs="Times New Roman"/>
          <w:sz w:val="24"/>
          <w:szCs w:val="24"/>
        </w:rPr>
      </w:pPr>
    </w:p>
    <w:p w:rsidR="00B95CEE" w:rsidRDefault="00B95CEE" w:rsidP="00B95CEE">
      <w:pPr>
        <w:spacing w:after="0" w:line="360" w:lineRule="auto"/>
        <w:jc w:val="both"/>
        <w:rPr>
          <w:rFonts w:ascii="Times New Roman" w:hAnsi="Times New Roman" w:cs="Times New Roman"/>
          <w:sz w:val="24"/>
          <w:szCs w:val="24"/>
        </w:rPr>
      </w:pPr>
    </w:p>
    <w:p w:rsidR="00B95CEE" w:rsidRDefault="00B95CEE" w:rsidP="00B95CEE">
      <w:pPr>
        <w:spacing w:after="0" w:line="240" w:lineRule="auto"/>
        <w:jc w:val="both"/>
        <w:rPr>
          <w:rFonts w:ascii="Times New Roman" w:hAnsi="Times New Roman" w:cs="Times New Roman"/>
          <w:sz w:val="24"/>
          <w:szCs w:val="24"/>
        </w:rPr>
      </w:pPr>
      <w:r w:rsidRPr="00B95CEE">
        <w:rPr>
          <w:rFonts w:ascii="Times New Roman" w:hAnsi="Times New Roman" w:cs="Times New Roman"/>
          <w:i/>
          <w:sz w:val="24"/>
          <w:szCs w:val="24"/>
        </w:rPr>
        <w:t>Z Lunga</w:t>
      </w:r>
      <w:r>
        <w:rPr>
          <w:rFonts w:ascii="Times New Roman" w:hAnsi="Times New Roman" w:cs="Times New Roman"/>
          <w:sz w:val="24"/>
          <w:szCs w:val="24"/>
        </w:rPr>
        <w:t>, for the applicant</w:t>
      </w:r>
      <w:r w:rsidR="000B1EBB">
        <w:rPr>
          <w:rFonts w:ascii="Times New Roman" w:hAnsi="Times New Roman" w:cs="Times New Roman"/>
          <w:sz w:val="24"/>
          <w:szCs w:val="24"/>
        </w:rPr>
        <w:t>s</w:t>
      </w:r>
    </w:p>
    <w:p w:rsidR="00B95CEE" w:rsidRDefault="0045797F" w:rsidP="00B95CE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FM</w:t>
      </w:r>
      <w:r w:rsidR="00B95CEE" w:rsidRPr="00B95CEE">
        <w:rPr>
          <w:rFonts w:ascii="Times New Roman" w:hAnsi="Times New Roman" w:cs="Times New Roman"/>
          <w:i/>
          <w:sz w:val="24"/>
          <w:szCs w:val="24"/>
        </w:rPr>
        <w:t xml:space="preserve"> Katsande</w:t>
      </w:r>
      <w:r w:rsidR="00B95CEE">
        <w:rPr>
          <w:rFonts w:ascii="Times New Roman" w:hAnsi="Times New Roman" w:cs="Times New Roman"/>
          <w:sz w:val="24"/>
          <w:szCs w:val="24"/>
        </w:rPr>
        <w:t xml:space="preserve">, for </w:t>
      </w:r>
      <w:r w:rsidR="00440966">
        <w:rPr>
          <w:rFonts w:ascii="Times New Roman" w:hAnsi="Times New Roman" w:cs="Times New Roman"/>
          <w:sz w:val="24"/>
          <w:szCs w:val="24"/>
        </w:rPr>
        <w:t>the 1</w:t>
      </w:r>
      <w:r w:rsidR="00440966" w:rsidRPr="00440966">
        <w:rPr>
          <w:rFonts w:ascii="Times New Roman" w:hAnsi="Times New Roman" w:cs="Times New Roman"/>
          <w:sz w:val="24"/>
          <w:szCs w:val="24"/>
          <w:vertAlign w:val="superscript"/>
        </w:rPr>
        <w:t>st</w:t>
      </w:r>
      <w:r w:rsidR="00440966">
        <w:rPr>
          <w:rFonts w:ascii="Times New Roman" w:hAnsi="Times New Roman" w:cs="Times New Roman"/>
          <w:sz w:val="24"/>
          <w:szCs w:val="24"/>
        </w:rPr>
        <w:t xml:space="preserve"> </w:t>
      </w:r>
      <w:r w:rsidR="009C3301">
        <w:rPr>
          <w:rFonts w:ascii="Times New Roman" w:hAnsi="Times New Roman" w:cs="Times New Roman"/>
          <w:sz w:val="24"/>
          <w:szCs w:val="24"/>
        </w:rPr>
        <w:t xml:space="preserve"> </w:t>
      </w:r>
      <w:r w:rsidR="00B95CEE">
        <w:rPr>
          <w:rFonts w:ascii="Times New Roman" w:hAnsi="Times New Roman" w:cs="Times New Roman"/>
          <w:sz w:val="24"/>
          <w:szCs w:val="24"/>
        </w:rPr>
        <w:t>respondent</w:t>
      </w:r>
    </w:p>
    <w:p w:rsidR="00B95CEE" w:rsidRDefault="00B95CEE" w:rsidP="00B95CEE">
      <w:pPr>
        <w:spacing w:after="0" w:line="360" w:lineRule="auto"/>
        <w:jc w:val="both"/>
        <w:rPr>
          <w:rFonts w:ascii="Times New Roman" w:hAnsi="Times New Roman" w:cs="Times New Roman"/>
          <w:sz w:val="24"/>
          <w:szCs w:val="24"/>
        </w:rPr>
      </w:pPr>
    </w:p>
    <w:p w:rsidR="00B95CEE" w:rsidRDefault="00B95CEE" w:rsidP="00B95C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MATHONSI J: The two</w:t>
      </w:r>
      <w:r w:rsidR="000B1EBB">
        <w:rPr>
          <w:rFonts w:ascii="Times New Roman" w:hAnsi="Times New Roman" w:cs="Times New Roman"/>
          <w:sz w:val="24"/>
          <w:szCs w:val="24"/>
        </w:rPr>
        <w:t xml:space="preserve"> applicants are sister companies. In fact the second applicant is a management vehicle of the first applicant and they are represented by Michael Fowler who dou</w:t>
      </w:r>
      <w:r w:rsidR="009C3301">
        <w:rPr>
          <w:rFonts w:ascii="Times New Roman" w:hAnsi="Times New Roman" w:cs="Times New Roman"/>
          <w:sz w:val="24"/>
          <w:szCs w:val="24"/>
        </w:rPr>
        <w:t>bles</w:t>
      </w:r>
      <w:r w:rsidR="000B1EBB">
        <w:rPr>
          <w:rFonts w:ascii="Times New Roman" w:hAnsi="Times New Roman" w:cs="Times New Roman"/>
          <w:sz w:val="24"/>
          <w:szCs w:val="24"/>
        </w:rPr>
        <w:t xml:space="preserve"> up as a director of both of them. He has deposed to the founding affidavit in support of this summary judgment application</w:t>
      </w:r>
      <w:r w:rsidR="00FE689E">
        <w:rPr>
          <w:rFonts w:ascii="Times New Roman" w:hAnsi="Times New Roman" w:cs="Times New Roman"/>
          <w:sz w:val="24"/>
          <w:szCs w:val="24"/>
        </w:rPr>
        <w:t xml:space="preserve"> on behalf of both of them. They seek an order for </w:t>
      </w:r>
      <w:r w:rsidR="009C3301">
        <w:rPr>
          <w:rFonts w:ascii="Times New Roman" w:hAnsi="Times New Roman" w:cs="Times New Roman"/>
          <w:sz w:val="24"/>
          <w:szCs w:val="24"/>
        </w:rPr>
        <w:t xml:space="preserve">the </w:t>
      </w:r>
      <w:r w:rsidR="00FE689E">
        <w:rPr>
          <w:rFonts w:ascii="Times New Roman" w:hAnsi="Times New Roman" w:cs="Times New Roman"/>
          <w:sz w:val="24"/>
          <w:szCs w:val="24"/>
        </w:rPr>
        <w:t>eviction of the first respondent, a mining cooperative currently in occupation of and mining gold claims registration numbers 12731G, 12734G and 21715 BN situated in Chegutu, f</w:t>
      </w:r>
      <w:r w:rsidR="00F602E6">
        <w:rPr>
          <w:rFonts w:ascii="Times New Roman" w:hAnsi="Times New Roman" w:cs="Times New Roman"/>
          <w:sz w:val="24"/>
          <w:szCs w:val="24"/>
        </w:rPr>
        <w:t>rom</w:t>
      </w:r>
      <w:r w:rsidR="00FE689E">
        <w:rPr>
          <w:rFonts w:ascii="Times New Roman" w:hAnsi="Times New Roman" w:cs="Times New Roman"/>
          <w:sz w:val="24"/>
          <w:szCs w:val="24"/>
        </w:rPr>
        <w:t xml:space="preserve"> those mining claims. The application is opposed by the first respondent which has not been lacking at all in raising perceived defences including 2 points </w:t>
      </w:r>
      <w:r w:rsidR="00FE689E" w:rsidRPr="00FE689E">
        <w:rPr>
          <w:rFonts w:ascii="Times New Roman" w:hAnsi="Times New Roman" w:cs="Times New Roman"/>
          <w:i/>
          <w:sz w:val="24"/>
          <w:szCs w:val="24"/>
        </w:rPr>
        <w:t>in limine</w:t>
      </w:r>
      <w:r w:rsidR="00FE689E">
        <w:rPr>
          <w:rFonts w:ascii="Times New Roman" w:hAnsi="Times New Roman" w:cs="Times New Roman"/>
          <w:sz w:val="24"/>
          <w:szCs w:val="24"/>
        </w:rPr>
        <w:t xml:space="preserve"> taken by Mr </w:t>
      </w:r>
      <w:r w:rsidR="00FE689E" w:rsidRPr="00280532">
        <w:rPr>
          <w:rFonts w:ascii="Times New Roman" w:hAnsi="Times New Roman" w:cs="Times New Roman"/>
          <w:i/>
          <w:sz w:val="24"/>
          <w:szCs w:val="24"/>
        </w:rPr>
        <w:t>Katsande</w:t>
      </w:r>
      <w:r w:rsidR="00FE689E">
        <w:rPr>
          <w:rFonts w:ascii="Times New Roman" w:hAnsi="Times New Roman" w:cs="Times New Roman"/>
          <w:sz w:val="24"/>
          <w:szCs w:val="24"/>
        </w:rPr>
        <w:t xml:space="preserve"> who appeared on the first respondent’s behalf</w:t>
      </w:r>
      <w:r w:rsidR="00585529">
        <w:rPr>
          <w:rFonts w:ascii="Times New Roman" w:hAnsi="Times New Roman" w:cs="Times New Roman"/>
          <w:sz w:val="24"/>
          <w:szCs w:val="24"/>
        </w:rPr>
        <w:t>.</w:t>
      </w:r>
    </w:p>
    <w:p w:rsidR="00585529" w:rsidRDefault="00585529" w:rsidP="00B95C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HC 3405/18 the applicants instituted summons action against the first respondent for eviction from the mining claims on the basis that the first respondent was in unlawful occupation of the mining location which is registered in the applicants’ names and therefore belongs to the applicants. The first respondent entered appearance to defend prompting the</w:t>
      </w:r>
      <w:r w:rsidR="00467B62">
        <w:rPr>
          <w:rFonts w:ascii="Times New Roman" w:hAnsi="Times New Roman" w:cs="Times New Roman"/>
          <w:sz w:val="24"/>
          <w:szCs w:val="24"/>
        </w:rPr>
        <w:t xml:space="preserve"> applicants to bring this summary judgment application as they believe the respondent does not have a </w:t>
      </w:r>
      <w:r w:rsidR="00467B62" w:rsidRPr="00467B62">
        <w:rPr>
          <w:rFonts w:ascii="Times New Roman" w:hAnsi="Times New Roman" w:cs="Times New Roman"/>
          <w:i/>
          <w:sz w:val="24"/>
          <w:szCs w:val="24"/>
        </w:rPr>
        <w:t>bona fide</w:t>
      </w:r>
      <w:r w:rsidR="00467B62">
        <w:rPr>
          <w:rFonts w:ascii="Times New Roman" w:hAnsi="Times New Roman" w:cs="Times New Roman"/>
          <w:sz w:val="24"/>
          <w:szCs w:val="24"/>
        </w:rPr>
        <w:t xml:space="preserve"> defence to the claim and</w:t>
      </w:r>
      <w:r w:rsidR="00254E9B">
        <w:rPr>
          <w:rFonts w:ascii="Times New Roman" w:hAnsi="Times New Roman" w:cs="Times New Roman"/>
          <w:sz w:val="24"/>
          <w:szCs w:val="24"/>
        </w:rPr>
        <w:t xml:space="preserve"> that appearance </w:t>
      </w:r>
      <w:r w:rsidR="00D86147">
        <w:rPr>
          <w:rFonts w:ascii="Times New Roman" w:hAnsi="Times New Roman" w:cs="Times New Roman"/>
          <w:sz w:val="24"/>
          <w:szCs w:val="24"/>
        </w:rPr>
        <w:t xml:space="preserve">to </w:t>
      </w:r>
      <w:r w:rsidR="00771FA9">
        <w:rPr>
          <w:rFonts w:ascii="Times New Roman" w:hAnsi="Times New Roman" w:cs="Times New Roman"/>
          <w:sz w:val="24"/>
          <w:szCs w:val="24"/>
        </w:rPr>
        <w:t>defend</w:t>
      </w:r>
      <w:r w:rsidR="00254E9B">
        <w:rPr>
          <w:rFonts w:ascii="Times New Roman" w:hAnsi="Times New Roman" w:cs="Times New Roman"/>
          <w:sz w:val="24"/>
          <w:szCs w:val="24"/>
        </w:rPr>
        <w:t xml:space="preserve"> was </w:t>
      </w:r>
      <w:r w:rsidR="00D86147">
        <w:rPr>
          <w:rFonts w:ascii="Times New Roman" w:hAnsi="Times New Roman" w:cs="Times New Roman"/>
          <w:sz w:val="24"/>
          <w:szCs w:val="24"/>
        </w:rPr>
        <w:t>entered</w:t>
      </w:r>
      <w:r w:rsidR="00254E9B">
        <w:rPr>
          <w:rFonts w:ascii="Times New Roman" w:hAnsi="Times New Roman" w:cs="Times New Roman"/>
          <w:sz w:val="24"/>
          <w:szCs w:val="24"/>
        </w:rPr>
        <w:t xml:space="preserve"> for dilatory purposes. The first respondent opposed the application.</w:t>
      </w:r>
    </w:p>
    <w:p w:rsidR="00254E9B" w:rsidRDefault="00254E9B" w:rsidP="00B95C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his founding affidavit, Michael Fowler </w:t>
      </w:r>
      <w:r w:rsidR="00504872">
        <w:rPr>
          <w:rFonts w:ascii="Times New Roman" w:hAnsi="Times New Roman" w:cs="Times New Roman"/>
          <w:sz w:val="24"/>
          <w:szCs w:val="24"/>
        </w:rPr>
        <w:t>states</w:t>
      </w:r>
      <w:r>
        <w:rPr>
          <w:rFonts w:ascii="Times New Roman" w:hAnsi="Times New Roman" w:cs="Times New Roman"/>
          <w:sz w:val="24"/>
          <w:szCs w:val="24"/>
        </w:rPr>
        <w:t xml:space="preserve"> that he is a </w:t>
      </w:r>
      <w:r w:rsidR="00504872">
        <w:rPr>
          <w:rFonts w:ascii="Times New Roman" w:hAnsi="Times New Roman" w:cs="Times New Roman"/>
          <w:sz w:val="24"/>
          <w:szCs w:val="24"/>
        </w:rPr>
        <w:t>director</w:t>
      </w:r>
      <w:r>
        <w:rPr>
          <w:rFonts w:ascii="Times New Roman" w:hAnsi="Times New Roman" w:cs="Times New Roman"/>
          <w:sz w:val="24"/>
          <w:szCs w:val="24"/>
        </w:rPr>
        <w:t xml:space="preserve"> of the first applicant, the managing director of the second and that he is authorised to depose to the affidavit by virtue of</w:t>
      </w:r>
      <w:r w:rsidR="002960A2">
        <w:rPr>
          <w:rFonts w:ascii="Times New Roman" w:hAnsi="Times New Roman" w:cs="Times New Roman"/>
          <w:sz w:val="24"/>
          <w:szCs w:val="24"/>
        </w:rPr>
        <w:t xml:space="preserve"> his position as such as well as by resolutions of the applicants purportedly attached to the founding affidavit. </w:t>
      </w:r>
      <w:r w:rsidR="004D34FC">
        <w:rPr>
          <w:rFonts w:ascii="Times New Roman" w:hAnsi="Times New Roman" w:cs="Times New Roman"/>
          <w:sz w:val="24"/>
          <w:szCs w:val="24"/>
        </w:rPr>
        <w:t>Unfortunately</w:t>
      </w:r>
      <w:r w:rsidR="002960A2">
        <w:rPr>
          <w:rFonts w:ascii="Times New Roman" w:hAnsi="Times New Roman" w:cs="Times New Roman"/>
          <w:sz w:val="24"/>
          <w:szCs w:val="24"/>
        </w:rPr>
        <w:t xml:space="preserve"> Fowler omitted to attach the resolutions in question, a circumstance lurched on to by the firs</w:t>
      </w:r>
      <w:r w:rsidR="00D86147">
        <w:rPr>
          <w:rFonts w:ascii="Times New Roman" w:hAnsi="Times New Roman" w:cs="Times New Roman"/>
          <w:sz w:val="24"/>
          <w:szCs w:val="24"/>
        </w:rPr>
        <w:t>t</w:t>
      </w:r>
      <w:r w:rsidR="002960A2">
        <w:rPr>
          <w:rFonts w:ascii="Times New Roman" w:hAnsi="Times New Roman" w:cs="Times New Roman"/>
          <w:sz w:val="24"/>
          <w:szCs w:val="24"/>
        </w:rPr>
        <w:t xml:space="preserve"> respondent in an effort to defeat the application. I shall return to that issue later in this judgment.</w:t>
      </w:r>
    </w:p>
    <w:p w:rsidR="00466C6E" w:rsidRDefault="002960A2" w:rsidP="00B95C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Fowler </w:t>
      </w:r>
      <w:r w:rsidR="004D34FC">
        <w:rPr>
          <w:rFonts w:ascii="Times New Roman" w:hAnsi="Times New Roman" w:cs="Times New Roman"/>
          <w:sz w:val="24"/>
          <w:szCs w:val="24"/>
        </w:rPr>
        <w:t>went on to s</w:t>
      </w:r>
      <w:r>
        <w:rPr>
          <w:rFonts w:ascii="Times New Roman" w:hAnsi="Times New Roman" w:cs="Times New Roman"/>
          <w:sz w:val="24"/>
          <w:szCs w:val="24"/>
        </w:rPr>
        <w:t xml:space="preserve">ay that the first applicant is the registered holder of gold </w:t>
      </w:r>
      <w:r w:rsidR="004D34FC">
        <w:rPr>
          <w:rFonts w:ascii="Times New Roman" w:hAnsi="Times New Roman" w:cs="Times New Roman"/>
          <w:sz w:val="24"/>
          <w:szCs w:val="24"/>
        </w:rPr>
        <w:t>claims</w:t>
      </w:r>
      <w:r>
        <w:rPr>
          <w:rFonts w:ascii="Times New Roman" w:hAnsi="Times New Roman" w:cs="Times New Roman"/>
          <w:sz w:val="24"/>
          <w:szCs w:val="24"/>
        </w:rPr>
        <w:t xml:space="preserve"> numbers 12731G, 127313G, 12734G and 21715BM </w:t>
      </w:r>
      <w:r w:rsidR="004D34FC">
        <w:rPr>
          <w:rFonts w:ascii="Times New Roman" w:hAnsi="Times New Roman" w:cs="Times New Roman"/>
          <w:sz w:val="24"/>
          <w:szCs w:val="24"/>
        </w:rPr>
        <w:t>and</w:t>
      </w:r>
      <w:r>
        <w:rPr>
          <w:rFonts w:ascii="Times New Roman" w:hAnsi="Times New Roman" w:cs="Times New Roman"/>
          <w:sz w:val="24"/>
          <w:szCs w:val="24"/>
        </w:rPr>
        <w:t xml:space="preserve"> </w:t>
      </w:r>
      <w:r w:rsidR="00466C6E">
        <w:rPr>
          <w:rFonts w:ascii="Times New Roman" w:hAnsi="Times New Roman" w:cs="Times New Roman"/>
          <w:sz w:val="24"/>
          <w:szCs w:val="24"/>
        </w:rPr>
        <w:t>duly attached copies of the 3 certificates of registration after transfer in favour of the first applicant in term</w:t>
      </w:r>
      <w:r w:rsidR="00D86147">
        <w:rPr>
          <w:rFonts w:ascii="Times New Roman" w:hAnsi="Times New Roman" w:cs="Times New Roman"/>
          <w:sz w:val="24"/>
          <w:szCs w:val="24"/>
        </w:rPr>
        <w:t>s</w:t>
      </w:r>
      <w:r w:rsidR="00466C6E">
        <w:rPr>
          <w:rFonts w:ascii="Times New Roman" w:hAnsi="Times New Roman" w:cs="Times New Roman"/>
          <w:sz w:val="24"/>
          <w:szCs w:val="24"/>
        </w:rPr>
        <w:t xml:space="preserve"> of</w:t>
      </w:r>
      <w:r w:rsidR="009C3301">
        <w:rPr>
          <w:rFonts w:ascii="Times New Roman" w:hAnsi="Times New Roman" w:cs="Times New Roman"/>
          <w:sz w:val="24"/>
          <w:szCs w:val="24"/>
        </w:rPr>
        <w:t xml:space="preserve"> which it holds title. He stated</w:t>
      </w:r>
      <w:r w:rsidR="00466C6E">
        <w:rPr>
          <w:rFonts w:ascii="Times New Roman" w:hAnsi="Times New Roman" w:cs="Times New Roman"/>
          <w:sz w:val="24"/>
          <w:szCs w:val="24"/>
        </w:rPr>
        <w:t xml:space="preserve"> that members of the first respondent cooperative occupied the location in 2012 without the authority and permission of the applicants. That situation was however later rectified when the parties engaged each other and signed an agreement on 2 December 2016 permitt</w:t>
      </w:r>
      <w:r w:rsidR="00D86147">
        <w:rPr>
          <w:rFonts w:ascii="Times New Roman" w:hAnsi="Times New Roman" w:cs="Times New Roman"/>
          <w:sz w:val="24"/>
          <w:szCs w:val="24"/>
        </w:rPr>
        <w:t>ing the first respondent to m</w:t>
      </w:r>
      <w:r w:rsidR="00466C6E">
        <w:rPr>
          <w:rFonts w:ascii="Times New Roman" w:hAnsi="Times New Roman" w:cs="Times New Roman"/>
          <w:sz w:val="24"/>
          <w:szCs w:val="24"/>
        </w:rPr>
        <w:t xml:space="preserve">ine the claims for a fixed period of 6 months. He attached a copy of the agreement encapsulated in a </w:t>
      </w:r>
      <w:r w:rsidR="00A80DBA">
        <w:rPr>
          <w:rFonts w:ascii="Times New Roman" w:hAnsi="Times New Roman" w:cs="Times New Roman"/>
          <w:sz w:val="24"/>
          <w:szCs w:val="24"/>
        </w:rPr>
        <w:t>letter</w:t>
      </w:r>
      <w:r w:rsidR="00466C6E">
        <w:rPr>
          <w:rFonts w:ascii="Times New Roman" w:hAnsi="Times New Roman" w:cs="Times New Roman"/>
          <w:sz w:val="24"/>
          <w:szCs w:val="24"/>
        </w:rPr>
        <w:t xml:space="preserve"> of that date written by Fowler on behalf of the second applicant. It reads in pertinent part:</w:t>
      </w:r>
    </w:p>
    <w:p w:rsidR="00927306" w:rsidRDefault="003660B6" w:rsidP="00927306">
      <w:pPr>
        <w:spacing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“5.3 The temporary arrangement between the parties shall be subject to a maximum of 6 (six) </w:t>
      </w:r>
      <w:r>
        <w:rPr>
          <w:rFonts w:ascii="Times New Roman" w:hAnsi="Times New Roman" w:cs="Times New Roman"/>
        </w:rPr>
        <w:tab/>
        <w:t>months, commencing at the date of this letter (“the duration”), which</w:t>
      </w:r>
      <w:r w:rsidR="00927306">
        <w:rPr>
          <w:rFonts w:ascii="Times New Roman" w:hAnsi="Times New Roman" w:cs="Times New Roman"/>
        </w:rPr>
        <w:t xml:space="preserve"> thereafter</w:t>
      </w:r>
      <w:r w:rsidR="009C3301">
        <w:rPr>
          <w:rFonts w:ascii="Times New Roman" w:hAnsi="Times New Roman" w:cs="Times New Roman"/>
        </w:rPr>
        <w:t>,</w:t>
      </w:r>
      <w:r w:rsidR="00927306">
        <w:rPr>
          <w:rFonts w:ascii="Times New Roman" w:hAnsi="Times New Roman" w:cs="Times New Roman"/>
        </w:rPr>
        <w:t xml:space="preserve"> this letter </w:t>
      </w:r>
      <w:r w:rsidR="00927306">
        <w:rPr>
          <w:rFonts w:ascii="Times New Roman" w:hAnsi="Times New Roman" w:cs="Times New Roman"/>
        </w:rPr>
        <w:tab/>
        <w:t>and the material terms herein shall no longer apply.</w:t>
      </w:r>
    </w:p>
    <w:p w:rsidR="00927306" w:rsidRDefault="00927306" w:rsidP="00927306">
      <w:pPr>
        <w:spacing w:line="240" w:lineRule="auto"/>
        <w:jc w:val="both"/>
        <w:rPr>
          <w:rFonts w:ascii="Times New Roman" w:hAnsi="Times New Roman" w:cs="Times New Roman"/>
        </w:rPr>
      </w:pPr>
      <w:r>
        <w:rPr>
          <w:rFonts w:ascii="Times New Roman" w:hAnsi="Times New Roman" w:cs="Times New Roman"/>
        </w:rPr>
        <w:tab/>
        <w:t>5.4.</w:t>
      </w:r>
      <w:r>
        <w:rPr>
          <w:rFonts w:ascii="Times New Roman" w:hAnsi="Times New Roman" w:cs="Times New Roman"/>
        </w:rPr>
        <w:tab/>
        <w:t>Breckridge shall, within reason, endeavour to complete its geological survey; and</w:t>
      </w:r>
    </w:p>
    <w:p w:rsidR="00927306" w:rsidRDefault="00927306" w:rsidP="00927306">
      <w:pPr>
        <w:spacing w:after="0" w:line="240" w:lineRule="auto"/>
        <w:ind w:left="720" w:hanging="720"/>
        <w:jc w:val="both"/>
        <w:rPr>
          <w:rFonts w:ascii="Times New Roman" w:hAnsi="Times New Roman" w:cs="Times New Roman"/>
        </w:rPr>
      </w:pPr>
      <w:r>
        <w:rPr>
          <w:rFonts w:ascii="Times New Roman" w:hAnsi="Times New Roman" w:cs="Times New Roman"/>
        </w:rPr>
        <w:tab/>
        <w:t>5.5</w:t>
      </w:r>
      <w:r>
        <w:rPr>
          <w:rFonts w:ascii="Times New Roman" w:hAnsi="Times New Roman" w:cs="Times New Roman"/>
        </w:rPr>
        <w:tab/>
        <w:t xml:space="preserve">Once Breckridge has completed its geological survey, the parties shall, in good faith, </w:t>
      </w:r>
    </w:p>
    <w:p w:rsidR="00927306" w:rsidRDefault="00927306" w:rsidP="00927306">
      <w:pPr>
        <w:spacing w:after="0" w:line="240" w:lineRule="auto"/>
        <w:ind w:left="720" w:firstLine="720"/>
        <w:jc w:val="both"/>
        <w:rPr>
          <w:rFonts w:ascii="Times New Roman" w:hAnsi="Times New Roman" w:cs="Times New Roman"/>
        </w:rPr>
      </w:pPr>
      <w:r>
        <w:rPr>
          <w:rFonts w:ascii="Times New Roman" w:hAnsi="Times New Roman" w:cs="Times New Roman"/>
        </w:rPr>
        <w:t>resume negotiations regarding a tribute agreement herein.”</w:t>
      </w:r>
    </w:p>
    <w:p w:rsidR="00927306" w:rsidRPr="00AD1868" w:rsidRDefault="00927306" w:rsidP="00927306">
      <w:pPr>
        <w:spacing w:after="0" w:line="240" w:lineRule="auto"/>
        <w:jc w:val="both"/>
        <w:rPr>
          <w:rFonts w:ascii="Times New Roman" w:hAnsi="Times New Roman" w:cs="Times New Roman"/>
          <w:sz w:val="24"/>
          <w:szCs w:val="24"/>
        </w:rPr>
      </w:pPr>
    </w:p>
    <w:p w:rsidR="00927306" w:rsidRPr="00AD1868" w:rsidRDefault="00927306" w:rsidP="00927306">
      <w:pPr>
        <w:spacing w:after="0" w:line="360" w:lineRule="auto"/>
        <w:jc w:val="both"/>
        <w:rPr>
          <w:rFonts w:ascii="Times New Roman" w:hAnsi="Times New Roman" w:cs="Times New Roman"/>
          <w:sz w:val="24"/>
          <w:szCs w:val="24"/>
        </w:rPr>
      </w:pPr>
      <w:r w:rsidRPr="00AD1868">
        <w:rPr>
          <w:rFonts w:ascii="Times New Roman" w:hAnsi="Times New Roman" w:cs="Times New Roman"/>
          <w:sz w:val="24"/>
          <w:szCs w:val="24"/>
        </w:rPr>
        <w:tab/>
        <w:t xml:space="preserve">Fowler stated that negotiations between the parties did not yield anything as a result of which no tribute agreement was ever concluded between the parties. The first applicant no longer wishes to grant the first respondent a tribute agreement. Instead </w:t>
      </w:r>
      <w:r>
        <w:rPr>
          <w:rFonts w:ascii="Times New Roman" w:hAnsi="Times New Roman" w:cs="Times New Roman"/>
          <w:sz w:val="24"/>
          <w:szCs w:val="24"/>
        </w:rPr>
        <w:t>i</w:t>
      </w:r>
      <w:r w:rsidRPr="00AD1868">
        <w:rPr>
          <w:rFonts w:ascii="Times New Roman" w:hAnsi="Times New Roman" w:cs="Times New Roman"/>
          <w:sz w:val="24"/>
          <w:szCs w:val="24"/>
        </w:rPr>
        <w:t>t intends to undertake substantial capital injection of over $10 million for it to mine the claims itself. In pursuance of that the first respondent was formally notified on 28 February 2018 to cease mining activities and vacate the location. It refused and continued mining resulting in this litigation.</w:t>
      </w:r>
    </w:p>
    <w:p w:rsidR="00927306" w:rsidRPr="00AD1868" w:rsidRDefault="00927306" w:rsidP="00927306">
      <w:pPr>
        <w:spacing w:after="0" w:line="360" w:lineRule="auto"/>
        <w:jc w:val="both"/>
        <w:rPr>
          <w:rFonts w:ascii="Times New Roman" w:hAnsi="Times New Roman" w:cs="Times New Roman"/>
          <w:sz w:val="24"/>
          <w:szCs w:val="24"/>
        </w:rPr>
      </w:pPr>
      <w:r w:rsidRPr="00AD1868">
        <w:rPr>
          <w:rFonts w:ascii="Times New Roman" w:hAnsi="Times New Roman" w:cs="Times New Roman"/>
          <w:sz w:val="24"/>
          <w:szCs w:val="24"/>
        </w:rPr>
        <w:tab/>
        <w:t>Fowler said the appli</w:t>
      </w:r>
      <w:r w:rsidR="009C3301">
        <w:rPr>
          <w:rFonts w:ascii="Times New Roman" w:hAnsi="Times New Roman" w:cs="Times New Roman"/>
          <w:sz w:val="24"/>
          <w:szCs w:val="24"/>
        </w:rPr>
        <w:t>cants’ claim for eviction is pre</w:t>
      </w:r>
      <w:r w:rsidRPr="00AD1868">
        <w:rPr>
          <w:rFonts w:ascii="Times New Roman" w:hAnsi="Times New Roman" w:cs="Times New Roman"/>
          <w:sz w:val="24"/>
          <w:szCs w:val="24"/>
        </w:rPr>
        <w:t>mised on s 169 of the Mines and Minerals Act [</w:t>
      </w:r>
      <w:r w:rsidRPr="00AD1868">
        <w:rPr>
          <w:rFonts w:ascii="Times New Roman" w:hAnsi="Times New Roman" w:cs="Times New Roman"/>
          <w:i/>
          <w:sz w:val="24"/>
          <w:szCs w:val="24"/>
        </w:rPr>
        <w:t>Chapter 21:05</w:t>
      </w:r>
      <w:r w:rsidRPr="00AD1868">
        <w:rPr>
          <w:rFonts w:ascii="Times New Roman" w:hAnsi="Times New Roman" w:cs="Times New Roman"/>
          <w:sz w:val="24"/>
          <w:szCs w:val="24"/>
        </w:rPr>
        <w:t xml:space="preserve">]. Alternatively they rely on the </w:t>
      </w:r>
      <w:r w:rsidRPr="00AD1868">
        <w:rPr>
          <w:rFonts w:ascii="Times New Roman" w:hAnsi="Times New Roman" w:cs="Times New Roman"/>
          <w:i/>
          <w:sz w:val="24"/>
          <w:szCs w:val="24"/>
        </w:rPr>
        <w:t>rei vindicatio</w:t>
      </w:r>
      <w:r w:rsidRPr="00AD1868">
        <w:rPr>
          <w:rFonts w:ascii="Times New Roman" w:hAnsi="Times New Roman" w:cs="Times New Roman"/>
          <w:sz w:val="24"/>
          <w:szCs w:val="24"/>
        </w:rPr>
        <w:t xml:space="preserve"> to recover their mining claims which the first respondent now occupies and mines without their authority. In the absence of a tribute agreement concluded by the parties, the first respondent cannot lawfully occupy the location and conduct mining activities on it.    </w:t>
      </w:r>
    </w:p>
    <w:p w:rsidR="00927306" w:rsidRDefault="00927306" w:rsidP="00927306">
      <w:pPr>
        <w:spacing w:after="0" w:line="360" w:lineRule="auto"/>
        <w:jc w:val="both"/>
        <w:rPr>
          <w:rFonts w:ascii="Times New Roman" w:hAnsi="Times New Roman" w:cs="Times New Roman"/>
          <w:sz w:val="24"/>
          <w:szCs w:val="24"/>
        </w:rPr>
      </w:pPr>
      <w:r w:rsidRPr="00AD1868">
        <w:rPr>
          <w:rFonts w:ascii="Times New Roman" w:hAnsi="Times New Roman" w:cs="Times New Roman"/>
          <w:sz w:val="24"/>
          <w:szCs w:val="24"/>
        </w:rPr>
        <w:lastRenderedPageBreak/>
        <w:tab/>
        <w:t>In its opposition</w:t>
      </w:r>
      <w:r w:rsidR="009C3301">
        <w:rPr>
          <w:rFonts w:ascii="Times New Roman" w:hAnsi="Times New Roman" w:cs="Times New Roman"/>
          <w:sz w:val="24"/>
          <w:szCs w:val="24"/>
        </w:rPr>
        <w:t>,</w:t>
      </w:r>
      <w:r w:rsidRPr="00AD1868">
        <w:rPr>
          <w:rFonts w:ascii="Times New Roman" w:hAnsi="Times New Roman" w:cs="Times New Roman"/>
          <w:sz w:val="24"/>
          <w:szCs w:val="24"/>
        </w:rPr>
        <w:t xml:space="preserve"> through the affidavit of Steward Luckford its chairman, the first respondent raised a preliminary point that the proceedings in this matter should be stayed until such time that the applicants have settled its costs in respect of separate matters namely HC 245/18, HC 2636/18 and HC 3045/18 which were withdrawn by the applicant in those</w:t>
      </w:r>
      <w:r>
        <w:rPr>
          <w:rFonts w:ascii="Times New Roman" w:hAnsi="Times New Roman" w:cs="Times New Roman"/>
          <w:sz w:val="24"/>
          <w:szCs w:val="24"/>
        </w:rPr>
        <w:t xml:space="preserve"> matters. This is because the applicant therein, although not any of the 2 present applicants, in fact the applicant in those matters is Dallaglio Investments (Pvt) Ltd, the 3 are sister companies. As such the sins of Dallaglio, a separate legal </w:t>
      </w:r>
      <w:r w:rsidRPr="008851C5">
        <w:rPr>
          <w:rFonts w:ascii="Times New Roman" w:hAnsi="Times New Roman" w:cs="Times New Roman"/>
          <w:i/>
          <w:sz w:val="24"/>
          <w:szCs w:val="24"/>
        </w:rPr>
        <w:t>persona</w:t>
      </w:r>
      <w:r>
        <w:rPr>
          <w:rFonts w:ascii="Times New Roman" w:hAnsi="Times New Roman" w:cs="Times New Roman"/>
          <w:i/>
          <w:sz w:val="24"/>
          <w:szCs w:val="24"/>
        </w:rPr>
        <w:t xml:space="preserve">, </w:t>
      </w:r>
      <w:r>
        <w:rPr>
          <w:rFonts w:ascii="Times New Roman" w:hAnsi="Times New Roman" w:cs="Times New Roman"/>
          <w:sz w:val="24"/>
          <w:szCs w:val="24"/>
        </w:rPr>
        <w:t>should be visited upon the present applicants. They should not be afforded audience by this court until they have settled the costs.</w:t>
      </w:r>
    </w:p>
    <w:p w:rsidR="00927306" w:rsidRDefault="00927306" w:rsidP="009273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merits of the case, the first respondent said a lot of things like how the applicants deliberately stalled the process of securing a geological survey thereby preventing the commencement of negotiations for a tribute agreement. It also spoke of the applicants having been untruthful in their claim that they moved onto the location unlawfully insisting that it was done with the knowledge and consent of the first applicant. However, as correctly contended by Mr </w:t>
      </w:r>
      <w:r>
        <w:rPr>
          <w:rFonts w:ascii="Times New Roman" w:hAnsi="Times New Roman" w:cs="Times New Roman"/>
          <w:i/>
          <w:sz w:val="24"/>
          <w:szCs w:val="24"/>
        </w:rPr>
        <w:t>Katsande,</w:t>
      </w:r>
      <w:r>
        <w:rPr>
          <w:rFonts w:ascii="Times New Roman" w:hAnsi="Times New Roman" w:cs="Times New Roman"/>
          <w:sz w:val="24"/>
          <w:szCs w:val="24"/>
        </w:rPr>
        <w:t xml:space="preserve"> the only basis for contesting the eviction according to the first respondent</w:t>
      </w:r>
      <w:r w:rsidR="009C3301">
        <w:rPr>
          <w:rFonts w:ascii="Times New Roman" w:hAnsi="Times New Roman" w:cs="Times New Roman"/>
          <w:sz w:val="24"/>
          <w:szCs w:val="24"/>
        </w:rPr>
        <w:t>, is</w:t>
      </w:r>
      <w:r>
        <w:rPr>
          <w:rFonts w:ascii="Times New Roman" w:hAnsi="Times New Roman" w:cs="Times New Roman"/>
          <w:sz w:val="24"/>
          <w:szCs w:val="24"/>
        </w:rPr>
        <w:t xml:space="preserve"> that it effected what it calls “massive infrastructural development, the</w:t>
      </w:r>
      <w:r w:rsidR="009C3301">
        <w:rPr>
          <w:rFonts w:ascii="Times New Roman" w:hAnsi="Times New Roman" w:cs="Times New Roman"/>
          <w:sz w:val="24"/>
          <w:szCs w:val="24"/>
        </w:rPr>
        <w:t xml:space="preserve"> value of which now necessitates</w:t>
      </w:r>
      <w:r>
        <w:rPr>
          <w:rFonts w:ascii="Times New Roman" w:hAnsi="Times New Roman" w:cs="Times New Roman"/>
          <w:sz w:val="24"/>
          <w:szCs w:val="24"/>
        </w:rPr>
        <w:t xml:space="preserve"> assessment by an independent evaluator.” Unfortunately no attempt whatsoever is made to particularise what that infrastructural development is or indeed to give an estimate as to its value, the first respondent being content to leave the claim as vague as that.</w:t>
      </w:r>
    </w:p>
    <w:p w:rsidR="00927306" w:rsidRDefault="00927306" w:rsidP="009273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of the matter Mr </w:t>
      </w:r>
      <w:r w:rsidRPr="001569D2">
        <w:rPr>
          <w:rFonts w:ascii="Times New Roman" w:hAnsi="Times New Roman" w:cs="Times New Roman"/>
          <w:i/>
          <w:sz w:val="24"/>
          <w:szCs w:val="24"/>
        </w:rPr>
        <w:t>Katsande</w:t>
      </w:r>
      <w:r>
        <w:rPr>
          <w:rFonts w:ascii="Times New Roman" w:hAnsi="Times New Roman" w:cs="Times New Roman"/>
          <w:sz w:val="24"/>
          <w:szCs w:val="24"/>
        </w:rPr>
        <w:t xml:space="preserve"> for the first respondent took 2 points </w:t>
      </w:r>
      <w:r w:rsidRPr="001569D2">
        <w:rPr>
          <w:rFonts w:ascii="Times New Roman" w:hAnsi="Times New Roman" w:cs="Times New Roman"/>
          <w:i/>
          <w:sz w:val="24"/>
          <w:szCs w:val="24"/>
        </w:rPr>
        <w:t>in limine.</w:t>
      </w:r>
      <w:r>
        <w:rPr>
          <w:rFonts w:ascii="Times New Roman" w:hAnsi="Times New Roman" w:cs="Times New Roman"/>
          <w:sz w:val="24"/>
          <w:szCs w:val="24"/>
        </w:rPr>
        <w:t xml:space="preserve"> The first one is that Dallaglio Investments (Pvt) Ltd, a member of a group of companies to which the 2 present applicants belong, owes the first respondent some wasted legal costs in respect of certain applications which it withdrew. This court has a discretion to order a stay of the present proceedings until such time that those costs, which are yet to be taxed, have been taxed and then paid.</w:t>
      </w:r>
    </w:p>
    <w:p w:rsidR="00927306" w:rsidRDefault="00927306" w:rsidP="009273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became apparent during my engagement with Mr </w:t>
      </w:r>
      <w:r>
        <w:rPr>
          <w:rFonts w:ascii="Times New Roman" w:hAnsi="Times New Roman" w:cs="Times New Roman"/>
          <w:i/>
          <w:sz w:val="24"/>
          <w:szCs w:val="24"/>
        </w:rPr>
        <w:t>Katsande</w:t>
      </w:r>
      <w:r>
        <w:rPr>
          <w:rFonts w:ascii="Times New Roman" w:hAnsi="Times New Roman" w:cs="Times New Roman"/>
          <w:sz w:val="24"/>
          <w:szCs w:val="24"/>
        </w:rPr>
        <w:t xml:space="preserve"> that the point </w:t>
      </w:r>
      <w:r w:rsidRPr="001569D2">
        <w:rPr>
          <w:rFonts w:ascii="Times New Roman" w:hAnsi="Times New Roman" w:cs="Times New Roman"/>
          <w:i/>
          <w:sz w:val="24"/>
          <w:szCs w:val="24"/>
        </w:rPr>
        <w:t>in limine</w:t>
      </w:r>
      <w:r>
        <w:rPr>
          <w:rFonts w:ascii="Times New Roman" w:hAnsi="Times New Roman" w:cs="Times New Roman"/>
          <w:sz w:val="24"/>
          <w:szCs w:val="24"/>
        </w:rPr>
        <w:t xml:space="preserve"> had not been well thought out. The costs in question are not owed by the applicants but by a separate legal entity enjoying a personality of its own by virtue of the separate legal </w:t>
      </w:r>
      <w:r w:rsidRPr="00C3428C">
        <w:rPr>
          <w:rFonts w:ascii="Times New Roman" w:hAnsi="Times New Roman" w:cs="Times New Roman"/>
          <w:i/>
          <w:sz w:val="24"/>
          <w:szCs w:val="24"/>
        </w:rPr>
        <w:t>persona</w:t>
      </w:r>
      <w:r>
        <w:rPr>
          <w:rFonts w:ascii="Times New Roman" w:hAnsi="Times New Roman" w:cs="Times New Roman"/>
          <w:sz w:val="24"/>
          <w:szCs w:val="24"/>
        </w:rPr>
        <w:t xml:space="preserve"> principle which is the cornerstone of our company law. Its debt and liabilities cannot be visited upon the doorstep of these applicants. In any event those costs are not due yet because they are in the process of being taxed and there is nothing to suggest that the liable entity is </w:t>
      </w:r>
      <w:r>
        <w:rPr>
          <w:rFonts w:ascii="Times New Roman" w:hAnsi="Times New Roman" w:cs="Times New Roman"/>
          <w:sz w:val="24"/>
          <w:szCs w:val="24"/>
        </w:rPr>
        <w:lastRenderedPageBreak/>
        <w:t xml:space="preserve">unwilling to settle the costs. Seeing the light rather late, Mr </w:t>
      </w:r>
      <w:r w:rsidRPr="001569D2">
        <w:rPr>
          <w:rFonts w:ascii="Times New Roman" w:hAnsi="Times New Roman" w:cs="Times New Roman"/>
          <w:i/>
          <w:sz w:val="24"/>
          <w:szCs w:val="24"/>
        </w:rPr>
        <w:t>Katsande</w:t>
      </w:r>
      <w:r>
        <w:rPr>
          <w:rFonts w:ascii="Times New Roman" w:hAnsi="Times New Roman" w:cs="Times New Roman"/>
          <w:sz w:val="24"/>
          <w:szCs w:val="24"/>
        </w:rPr>
        <w:t xml:space="preserve"> abandoned that point </w:t>
      </w:r>
      <w:r>
        <w:rPr>
          <w:rFonts w:ascii="Times New Roman" w:hAnsi="Times New Roman" w:cs="Times New Roman"/>
          <w:i/>
          <w:sz w:val="24"/>
          <w:szCs w:val="24"/>
        </w:rPr>
        <w:t>in limine.</w:t>
      </w:r>
      <w:r>
        <w:rPr>
          <w:rFonts w:ascii="Times New Roman" w:hAnsi="Times New Roman" w:cs="Times New Roman"/>
          <w:sz w:val="24"/>
          <w:szCs w:val="24"/>
        </w:rPr>
        <w:t xml:space="preserve"> </w:t>
      </w:r>
    </w:p>
    <w:p w:rsidR="00AE4635" w:rsidRPr="00927306" w:rsidRDefault="00927306" w:rsidP="009273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was however not done as he came up with a second point </w:t>
      </w:r>
      <w:r w:rsidRPr="001569D2">
        <w:rPr>
          <w:rFonts w:ascii="Times New Roman" w:hAnsi="Times New Roman" w:cs="Times New Roman"/>
          <w:i/>
          <w:sz w:val="24"/>
          <w:szCs w:val="24"/>
        </w:rPr>
        <w:t>in limine</w:t>
      </w:r>
      <w:r>
        <w:rPr>
          <w:rFonts w:ascii="Times New Roman" w:hAnsi="Times New Roman" w:cs="Times New Roman"/>
          <w:sz w:val="24"/>
          <w:szCs w:val="24"/>
        </w:rPr>
        <w:t xml:space="preserve"> namely that the founding affidavit</w:t>
      </w:r>
      <w:r w:rsidR="00AE4635" w:rsidRPr="00855F45">
        <w:rPr>
          <w:rFonts w:ascii="Times New Roman" w:hAnsi="Times New Roman" w:cs="Times New Roman"/>
          <w:sz w:val="24"/>
          <w:szCs w:val="24"/>
        </w:rPr>
        <w:t xml:space="preserve"> is fatally defective by reason that Michael Fowler, the deponent of the founding affidavit, did not attach the resolutions of the directors of the applicant’s authorising him to represent them in the suit. Mr </w:t>
      </w:r>
      <w:r w:rsidR="00AE4635" w:rsidRPr="00582DF9">
        <w:rPr>
          <w:rFonts w:ascii="Times New Roman" w:hAnsi="Times New Roman" w:cs="Times New Roman"/>
          <w:i/>
          <w:sz w:val="24"/>
          <w:szCs w:val="24"/>
        </w:rPr>
        <w:t xml:space="preserve">Katsande </w:t>
      </w:r>
      <w:r w:rsidR="00AE4635" w:rsidRPr="00855F45">
        <w:rPr>
          <w:rFonts w:ascii="Times New Roman" w:hAnsi="Times New Roman" w:cs="Times New Roman"/>
          <w:sz w:val="24"/>
          <w:szCs w:val="24"/>
        </w:rPr>
        <w:t>submitted that because the applicants omitted to attach the resolutions in question there is no proof that Fowler is authorised to represent the applicants. A company, being a separate legal person, cannot be represented by an unauthorized person. Further, an applicant for summary judgment must place himself or herself within the four corners of r 64 of this court’s rules. Without proof of authority the application is fatally defective and must be dismissed.</w:t>
      </w:r>
    </w:p>
    <w:p w:rsidR="00AE4635" w:rsidRDefault="00AE4635" w:rsidP="00AE46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582DF9">
        <w:rPr>
          <w:rFonts w:ascii="Times New Roman" w:hAnsi="Times New Roman" w:cs="Times New Roman"/>
          <w:i/>
          <w:sz w:val="24"/>
          <w:szCs w:val="24"/>
        </w:rPr>
        <w:t>Lunga</w:t>
      </w:r>
      <w:r>
        <w:rPr>
          <w:rFonts w:ascii="Times New Roman" w:hAnsi="Times New Roman" w:cs="Times New Roman"/>
          <w:sz w:val="24"/>
          <w:szCs w:val="24"/>
        </w:rPr>
        <w:t xml:space="preserve"> for the applicants conceded that there was an oversight on their part in that they omitted to include the resolutions among the annexure</w:t>
      </w:r>
      <w:r w:rsidR="009C3301">
        <w:rPr>
          <w:rFonts w:ascii="Times New Roman" w:hAnsi="Times New Roman" w:cs="Times New Roman"/>
          <w:sz w:val="24"/>
          <w:szCs w:val="24"/>
        </w:rPr>
        <w:t>s</w:t>
      </w:r>
      <w:r>
        <w:rPr>
          <w:rFonts w:ascii="Times New Roman" w:hAnsi="Times New Roman" w:cs="Times New Roman"/>
          <w:sz w:val="24"/>
          <w:szCs w:val="24"/>
        </w:rPr>
        <w:t xml:space="preserve"> to the founding affidavit. He however took the view that the omission is not fatal to the application by reason that, apart from adverting to the resolutions as the authority for deposing to the affidavit</w:t>
      </w:r>
      <w:r w:rsidR="009C3301">
        <w:rPr>
          <w:rFonts w:ascii="Times New Roman" w:hAnsi="Times New Roman" w:cs="Times New Roman"/>
          <w:sz w:val="24"/>
          <w:szCs w:val="24"/>
        </w:rPr>
        <w:t>,</w:t>
      </w:r>
      <w:r>
        <w:rPr>
          <w:rFonts w:ascii="Times New Roman" w:hAnsi="Times New Roman" w:cs="Times New Roman"/>
          <w:sz w:val="24"/>
          <w:szCs w:val="24"/>
        </w:rPr>
        <w:t xml:space="preserve"> Fowler did indicate that he was authorised to do so also by virtue of his position as a director of the first applicant and the managing director of the second applicant. I agree. In fact l have pronounced myself quite clearly on that point previously. See </w:t>
      </w:r>
      <w:r w:rsidRPr="00582DF9">
        <w:rPr>
          <w:rFonts w:ascii="Times New Roman" w:hAnsi="Times New Roman" w:cs="Times New Roman"/>
          <w:i/>
          <w:sz w:val="24"/>
          <w:szCs w:val="24"/>
        </w:rPr>
        <w:t>African Banking Corporation of Zimbabwe Ltd</w:t>
      </w:r>
      <w:r>
        <w:rPr>
          <w:rFonts w:ascii="Times New Roman" w:hAnsi="Times New Roman" w:cs="Times New Roman"/>
          <w:sz w:val="24"/>
          <w:szCs w:val="24"/>
        </w:rPr>
        <w:t xml:space="preserve"> v </w:t>
      </w:r>
      <w:r w:rsidRPr="00582DF9">
        <w:rPr>
          <w:rFonts w:ascii="Times New Roman" w:hAnsi="Times New Roman" w:cs="Times New Roman"/>
          <w:i/>
          <w:sz w:val="24"/>
          <w:szCs w:val="24"/>
        </w:rPr>
        <w:t>PWC Motors (Pvt) Ltd &amp; O</w:t>
      </w:r>
      <w:r>
        <w:rPr>
          <w:rFonts w:ascii="Times New Roman" w:hAnsi="Times New Roman" w:cs="Times New Roman"/>
          <w:i/>
          <w:sz w:val="24"/>
          <w:szCs w:val="24"/>
        </w:rPr>
        <w:t>r</w:t>
      </w:r>
      <w:r w:rsidRPr="00582DF9">
        <w:rPr>
          <w:rFonts w:ascii="Times New Roman" w:hAnsi="Times New Roman" w:cs="Times New Roman"/>
          <w:i/>
          <w:sz w:val="24"/>
          <w:szCs w:val="24"/>
        </w:rPr>
        <w:t>s</w:t>
      </w:r>
      <w:r>
        <w:rPr>
          <w:rFonts w:ascii="Times New Roman" w:hAnsi="Times New Roman" w:cs="Times New Roman"/>
          <w:sz w:val="24"/>
          <w:szCs w:val="24"/>
        </w:rPr>
        <w:t xml:space="preserve"> 2013 (1) ZLR 376 (H) at 379G, 380 A – B.</w:t>
      </w:r>
    </w:p>
    <w:p w:rsidR="00AE4635" w:rsidRDefault="00AE4635" w:rsidP="00AE46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that case a similar point </w:t>
      </w:r>
      <w:r w:rsidRPr="00582DF9">
        <w:rPr>
          <w:rFonts w:ascii="Times New Roman" w:hAnsi="Times New Roman" w:cs="Times New Roman"/>
          <w:i/>
          <w:sz w:val="24"/>
          <w:szCs w:val="24"/>
        </w:rPr>
        <w:t>in limine</w:t>
      </w:r>
      <w:r>
        <w:rPr>
          <w:rFonts w:ascii="Times New Roman" w:hAnsi="Times New Roman" w:cs="Times New Roman"/>
          <w:sz w:val="24"/>
          <w:szCs w:val="24"/>
        </w:rPr>
        <w:t xml:space="preserve"> had been taken in a summary judgment application for failure by the deponent of the founding affidavit to attach a resolution of the company authorising him to litigate on the company’s behalf. It had then occurred to me, as still it does</w:t>
      </w:r>
      <w:r w:rsidR="009C3301">
        <w:rPr>
          <w:rFonts w:ascii="Times New Roman" w:hAnsi="Times New Roman" w:cs="Times New Roman"/>
          <w:sz w:val="24"/>
          <w:szCs w:val="24"/>
        </w:rPr>
        <w:t>,</w:t>
      </w:r>
      <w:r>
        <w:rPr>
          <w:rFonts w:ascii="Times New Roman" w:hAnsi="Times New Roman" w:cs="Times New Roman"/>
          <w:sz w:val="24"/>
          <w:szCs w:val="24"/>
        </w:rPr>
        <w:t xml:space="preserve"> that</w:t>
      </w:r>
      <w:r w:rsidR="009C3301">
        <w:rPr>
          <w:rFonts w:ascii="Times New Roman" w:hAnsi="Times New Roman" w:cs="Times New Roman"/>
          <w:sz w:val="24"/>
          <w:szCs w:val="24"/>
        </w:rPr>
        <w:t xml:space="preserve"> </w:t>
      </w:r>
      <w:r>
        <w:rPr>
          <w:rFonts w:ascii="Times New Roman" w:hAnsi="Times New Roman" w:cs="Times New Roman"/>
          <w:sz w:val="24"/>
          <w:szCs w:val="24"/>
        </w:rPr>
        <w:t xml:space="preserve">in terms of r 64 (2) of this court’s rules an application for summary judgment must be supported by “an affidavit made by the plaintiff or by any other person who can swear positively to the facts” verifying the cause of action and stating that in his belief there is no </w:t>
      </w:r>
      <w:r w:rsidRPr="003464A1">
        <w:rPr>
          <w:rFonts w:ascii="Times New Roman" w:hAnsi="Times New Roman" w:cs="Times New Roman"/>
          <w:i/>
          <w:sz w:val="24"/>
          <w:szCs w:val="24"/>
        </w:rPr>
        <w:t>bona fide</w:t>
      </w:r>
      <w:r>
        <w:rPr>
          <w:rFonts w:ascii="Times New Roman" w:hAnsi="Times New Roman" w:cs="Times New Roman"/>
          <w:sz w:val="24"/>
          <w:szCs w:val="24"/>
        </w:rPr>
        <w:t xml:space="preserve"> defence to the action. As much as there is authority for demanding that a company official must produce a resolution</w:t>
      </w:r>
      <w:r w:rsidR="009C3301">
        <w:rPr>
          <w:rFonts w:ascii="Times New Roman" w:hAnsi="Times New Roman" w:cs="Times New Roman"/>
          <w:sz w:val="24"/>
          <w:szCs w:val="24"/>
        </w:rPr>
        <w:t>,</w:t>
      </w:r>
      <w:r>
        <w:rPr>
          <w:rFonts w:ascii="Times New Roman" w:hAnsi="Times New Roman" w:cs="Times New Roman"/>
          <w:sz w:val="24"/>
          <w:szCs w:val="24"/>
        </w:rPr>
        <w:t xml:space="preserve"> that form of proof is not necessary in every case. Each case must be considered on its merits. The court is only required to satisfy itself that there is enough evidenc</w:t>
      </w:r>
      <w:r w:rsidR="009C3301">
        <w:rPr>
          <w:rFonts w:ascii="Times New Roman" w:hAnsi="Times New Roman" w:cs="Times New Roman"/>
          <w:sz w:val="24"/>
          <w:szCs w:val="24"/>
        </w:rPr>
        <w:t>e pointing to the fact that it is</w:t>
      </w:r>
      <w:r>
        <w:rPr>
          <w:rFonts w:ascii="Times New Roman" w:hAnsi="Times New Roman" w:cs="Times New Roman"/>
          <w:sz w:val="24"/>
          <w:szCs w:val="24"/>
        </w:rPr>
        <w:t xml:space="preserve"> indeed the company which is litigating and not an unauthorized person and where the deponent of the affidavit states that he or she has the authority of the company to represent it, there is no need for the court to disbelieve that unless it is shown evidence to the contrary</w:t>
      </w:r>
      <w:r w:rsidR="009C3301">
        <w:rPr>
          <w:rFonts w:ascii="Times New Roman" w:hAnsi="Times New Roman" w:cs="Times New Roman"/>
          <w:sz w:val="24"/>
          <w:szCs w:val="24"/>
        </w:rPr>
        <w:t>.</w:t>
      </w:r>
      <w:r>
        <w:rPr>
          <w:rFonts w:ascii="Times New Roman" w:hAnsi="Times New Roman" w:cs="Times New Roman"/>
          <w:sz w:val="24"/>
          <w:szCs w:val="24"/>
        </w:rPr>
        <w:t xml:space="preserve"> </w:t>
      </w:r>
      <w:r w:rsidR="009C3301">
        <w:rPr>
          <w:rFonts w:ascii="Times New Roman" w:hAnsi="Times New Roman" w:cs="Times New Roman"/>
          <w:sz w:val="24"/>
          <w:szCs w:val="24"/>
        </w:rPr>
        <w:t>W</w:t>
      </w:r>
      <w:r>
        <w:rPr>
          <w:rFonts w:ascii="Times New Roman" w:hAnsi="Times New Roman" w:cs="Times New Roman"/>
          <w:sz w:val="24"/>
          <w:szCs w:val="24"/>
        </w:rPr>
        <w:t xml:space="preserve">here no such contrary evidence is </w:t>
      </w:r>
      <w:r>
        <w:rPr>
          <w:rFonts w:ascii="Times New Roman" w:hAnsi="Times New Roman" w:cs="Times New Roman"/>
          <w:sz w:val="24"/>
          <w:szCs w:val="24"/>
        </w:rPr>
        <w:lastRenderedPageBreak/>
        <w:t>produced, the omission of a company resolution is not fatal to the application. I have no reason to depart from that pronouncement and firmly stand by it.</w:t>
      </w:r>
    </w:p>
    <w:p w:rsidR="00AE4635" w:rsidRDefault="00AE4635" w:rsidP="00AE46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582DF9">
        <w:rPr>
          <w:rFonts w:ascii="Times New Roman" w:hAnsi="Times New Roman" w:cs="Times New Roman"/>
          <w:i/>
          <w:sz w:val="24"/>
          <w:szCs w:val="24"/>
        </w:rPr>
        <w:t>Katsande</w:t>
      </w:r>
      <w:r>
        <w:rPr>
          <w:rFonts w:ascii="Times New Roman" w:hAnsi="Times New Roman" w:cs="Times New Roman"/>
          <w:sz w:val="24"/>
          <w:szCs w:val="24"/>
        </w:rPr>
        <w:t xml:space="preserve"> did not point to any evidence suggesting that it is not the applicants who are litigating. In fact the point was only taken from the b</w:t>
      </w:r>
      <w:r w:rsidR="009C3301">
        <w:rPr>
          <w:rFonts w:ascii="Times New Roman" w:hAnsi="Times New Roman" w:cs="Times New Roman"/>
          <w:sz w:val="24"/>
          <w:szCs w:val="24"/>
        </w:rPr>
        <w:t>ar as it</w:t>
      </w:r>
      <w:r>
        <w:rPr>
          <w:rFonts w:ascii="Times New Roman" w:hAnsi="Times New Roman" w:cs="Times New Roman"/>
          <w:sz w:val="24"/>
          <w:szCs w:val="24"/>
        </w:rPr>
        <w:t xml:space="preserve"> had not been adverted to in the opposing affidavit. It should have been raised in the opposing affidavit in order to put the applicant on notice to avail the resolutions to the first respondent’s satisfaction</w:t>
      </w:r>
      <w:r w:rsidR="008B6BEE">
        <w:rPr>
          <w:rFonts w:ascii="Times New Roman" w:hAnsi="Times New Roman" w:cs="Times New Roman"/>
          <w:sz w:val="24"/>
          <w:szCs w:val="24"/>
        </w:rPr>
        <w:t>. It is for those reasons that 1</w:t>
      </w:r>
      <w:r>
        <w:rPr>
          <w:rFonts w:ascii="Times New Roman" w:hAnsi="Times New Roman" w:cs="Times New Roman"/>
          <w:sz w:val="24"/>
          <w:szCs w:val="24"/>
        </w:rPr>
        <w:t xml:space="preserve"> concluded that the omission to attach the resolutions was not </w:t>
      </w:r>
      <w:r w:rsidR="008F15B5">
        <w:rPr>
          <w:rFonts w:ascii="Times New Roman" w:hAnsi="Times New Roman" w:cs="Times New Roman"/>
          <w:sz w:val="24"/>
          <w:szCs w:val="24"/>
        </w:rPr>
        <w:t>fatal</w:t>
      </w:r>
      <w:r>
        <w:rPr>
          <w:rFonts w:ascii="Times New Roman" w:hAnsi="Times New Roman" w:cs="Times New Roman"/>
          <w:sz w:val="24"/>
          <w:szCs w:val="24"/>
        </w:rPr>
        <w:t xml:space="preserve"> to the application especially in a case such as the present where the point taken </w:t>
      </w:r>
      <w:r w:rsidRPr="00582DF9">
        <w:rPr>
          <w:rFonts w:ascii="Times New Roman" w:hAnsi="Times New Roman" w:cs="Times New Roman"/>
          <w:i/>
          <w:sz w:val="24"/>
          <w:szCs w:val="24"/>
        </w:rPr>
        <w:t>in limine</w:t>
      </w:r>
      <w:r>
        <w:rPr>
          <w:rFonts w:ascii="Times New Roman" w:hAnsi="Times New Roman" w:cs="Times New Roman"/>
          <w:sz w:val="24"/>
          <w:szCs w:val="24"/>
        </w:rPr>
        <w:t xml:space="preserve"> was of no moment at all given that r 64 (2) allows any person who can swear positively to the facts to depose to an affidavit in support of a summary judgment application. I rejected the point </w:t>
      </w:r>
      <w:r w:rsidRPr="00582DF9">
        <w:rPr>
          <w:rFonts w:ascii="Times New Roman" w:hAnsi="Times New Roman" w:cs="Times New Roman"/>
          <w:i/>
          <w:sz w:val="24"/>
          <w:szCs w:val="24"/>
        </w:rPr>
        <w:t>in limine</w:t>
      </w:r>
      <w:r>
        <w:rPr>
          <w:rFonts w:ascii="Times New Roman" w:hAnsi="Times New Roman" w:cs="Times New Roman"/>
          <w:sz w:val="24"/>
          <w:szCs w:val="24"/>
        </w:rPr>
        <w:t>.</w:t>
      </w:r>
    </w:p>
    <w:p w:rsidR="00AE4635" w:rsidRDefault="00AE4635" w:rsidP="00AE46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DD3234">
        <w:rPr>
          <w:rFonts w:ascii="Times New Roman" w:hAnsi="Times New Roman" w:cs="Times New Roman"/>
          <w:i/>
          <w:sz w:val="24"/>
          <w:szCs w:val="24"/>
        </w:rPr>
        <w:t>Lunga</w:t>
      </w:r>
      <w:r>
        <w:rPr>
          <w:rFonts w:ascii="Times New Roman" w:hAnsi="Times New Roman" w:cs="Times New Roman"/>
          <w:sz w:val="24"/>
          <w:szCs w:val="24"/>
        </w:rPr>
        <w:t xml:space="preserve"> for the applicants submitted that the summary judgment application is premised on s169 of the Mines and Minerals Act and alter</w:t>
      </w:r>
      <w:r w:rsidR="009C3301">
        <w:rPr>
          <w:rFonts w:ascii="Times New Roman" w:hAnsi="Times New Roman" w:cs="Times New Roman"/>
          <w:sz w:val="24"/>
          <w:szCs w:val="24"/>
        </w:rPr>
        <w:t xml:space="preserve">natively on the </w:t>
      </w:r>
      <w:r w:rsidR="008B6BEE">
        <w:rPr>
          <w:rFonts w:ascii="Times New Roman" w:hAnsi="Times New Roman" w:cs="Times New Roman"/>
          <w:i/>
          <w:sz w:val="24"/>
          <w:szCs w:val="24"/>
        </w:rPr>
        <w:t>rei vindicatio</w:t>
      </w:r>
      <w:r w:rsidR="009C3301">
        <w:rPr>
          <w:rFonts w:ascii="Times New Roman" w:hAnsi="Times New Roman" w:cs="Times New Roman"/>
          <w:sz w:val="24"/>
          <w:szCs w:val="24"/>
        </w:rPr>
        <w:t xml:space="preserve"> </w:t>
      </w:r>
      <w:r>
        <w:rPr>
          <w:rFonts w:ascii="Times New Roman" w:hAnsi="Times New Roman" w:cs="Times New Roman"/>
          <w:sz w:val="24"/>
          <w:szCs w:val="24"/>
        </w:rPr>
        <w:t>given that the first applicant is the registered owner of the mining claims entitled to vindica</w:t>
      </w:r>
      <w:r w:rsidR="008B6BEE">
        <w:rPr>
          <w:rFonts w:ascii="Times New Roman" w:hAnsi="Times New Roman" w:cs="Times New Roman"/>
          <w:sz w:val="24"/>
          <w:szCs w:val="24"/>
        </w:rPr>
        <w:t>te against the whole world. As 1</w:t>
      </w:r>
      <w:r>
        <w:rPr>
          <w:rFonts w:ascii="Times New Roman" w:hAnsi="Times New Roman" w:cs="Times New Roman"/>
          <w:sz w:val="24"/>
          <w:szCs w:val="24"/>
        </w:rPr>
        <w:t xml:space="preserve"> have said the first respondent’s only defence is a perceived improvements lien in respect of alleged improvements which it has not even began to set out content to only refer to “massive infrastructural development” and nothing more. Mr </w:t>
      </w:r>
      <w:r w:rsidRPr="00582DF9">
        <w:rPr>
          <w:rFonts w:ascii="Times New Roman" w:hAnsi="Times New Roman" w:cs="Times New Roman"/>
          <w:i/>
          <w:sz w:val="24"/>
          <w:szCs w:val="24"/>
        </w:rPr>
        <w:t>Katsande</w:t>
      </w:r>
      <w:r>
        <w:rPr>
          <w:rFonts w:ascii="Times New Roman" w:hAnsi="Times New Roman" w:cs="Times New Roman"/>
          <w:sz w:val="24"/>
          <w:szCs w:val="24"/>
        </w:rPr>
        <w:t xml:space="preserve"> for the first respondent submitted that the first respondent is not required to prove </w:t>
      </w:r>
      <w:r w:rsidR="009C3301">
        <w:rPr>
          <w:rFonts w:ascii="Times New Roman" w:hAnsi="Times New Roman" w:cs="Times New Roman"/>
          <w:sz w:val="24"/>
          <w:szCs w:val="24"/>
        </w:rPr>
        <w:t>a defence but only to allege on</w:t>
      </w:r>
      <w:r>
        <w:rPr>
          <w:rFonts w:ascii="Times New Roman" w:hAnsi="Times New Roman" w:cs="Times New Roman"/>
          <w:sz w:val="24"/>
          <w:szCs w:val="24"/>
        </w:rPr>
        <w:t>e in order to defeat an application for summary judgment. As shall become apparent shortly the authorities do not favour that argument.</w:t>
      </w:r>
    </w:p>
    <w:p w:rsidR="00AE4635" w:rsidRDefault="00AE4635" w:rsidP="00AE46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terms of s 169 of the Act every holder of a registered block of precious mental reef claims possesses an array of mining rights including the exclusive right of mining the claim. To the extent therefore that the first applicant is the registered holder of the claims, it is entitled, by operation of law</w:t>
      </w:r>
      <w:r w:rsidR="009C3301">
        <w:rPr>
          <w:rFonts w:ascii="Times New Roman" w:hAnsi="Times New Roman" w:cs="Times New Roman"/>
          <w:sz w:val="24"/>
          <w:szCs w:val="24"/>
        </w:rPr>
        <w:t>,</w:t>
      </w:r>
      <w:r>
        <w:rPr>
          <w:rFonts w:ascii="Times New Roman" w:hAnsi="Times New Roman" w:cs="Times New Roman"/>
          <w:sz w:val="24"/>
          <w:szCs w:val="24"/>
        </w:rPr>
        <w:t xml:space="preserve"> to occupy and mine them. The first respondent is not such holder, and by its own admission, it has not entered into a tribute agreement with the holder to occupy and mine the claims. </w:t>
      </w:r>
      <w:r>
        <w:rPr>
          <w:rFonts w:ascii="Times New Roman" w:hAnsi="Times New Roman" w:cs="Times New Roman"/>
          <w:i/>
          <w:sz w:val="24"/>
          <w:szCs w:val="24"/>
        </w:rPr>
        <w:t xml:space="preserve">Prima facie, </w:t>
      </w:r>
      <w:r w:rsidRPr="007241F1">
        <w:rPr>
          <w:rFonts w:ascii="Times New Roman" w:hAnsi="Times New Roman" w:cs="Times New Roman"/>
          <w:sz w:val="24"/>
          <w:szCs w:val="24"/>
        </w:rPr>
        <w:t>the first respondent is in illegal occupation and is min</w:t>
      </w:r>
      <w:r>
        <w:rPr>
          <w:rFonts w:ascii="Times New Roman" w:hAnsi="Times New Roman" w:cs="Times New Roman"/>
          <w:sz w:val="24"/>
          <w:szCs w:val="24"/>
        </w:rPr>
        <w:t>in</w:t>
      </w:r>
      <w:r w:rsidRPr="007241F1">
        <w:rPr>
          <w:rFonts w:ascii="Times New Roman" w:hAnsi="Times New Roman" w:cs="Times New Roman"/>
          <w:sz w:val="24"/>
          <w:szCs w:val="24"/>
        </w:rPr>
        <w:t>g illegally.</w:t>
      </w:r>
    </w:p>
    <w:p w:rsidR="00AE4635" w:rsidRDefault="00AE4635" w:rsidP="00AE46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only question which remains is whether </w:t>
      </w:r>
      <w:r w:rsidR="009C3301">
        <w:rPr>
          <w:rFonts w:ascii="Times New Roman" w:hAnsi="Times New Roman" w:cs="Times New Roman"/>
          <w:sz w:val="24"/>
          <w:szCs w:val="24"/>
        </w:rPr>
        <w:t xml:space="preserve">the </w:t>
      </w:r>
      <w:r>
        <w:rPr>
          <w:rFonts w:ascii="Times New Roman" w:hAnsi="Times New Roman" w:cs="Times New Roman"/>
          <w:sz w:val="24"/>
          <w:szCs w:val="24"/>
        </w:rPr>
        <w:t>first respondent can rely on an improvement</w:t>
      </w:r>
      <w:r w:rsidR="009C3301">
        <w:rPr>
          <w:rFonts w:ascii="Times New Roman" w:hAnsi="Times New Roman" w:cs="Times New Roman"/>
          <w:sz w:val="24"/>
          <w:szCs w:val="24"/>
        </w:rPr>
        <w:t>s</w:t>
      </w:r>
      <w:r>
        <w:rPr>
          <w:rFonts w:ascii="Times New Roman" w:hAnsi="Times New Roman" w:cs="Times New Roman"/>
          <w:sz w:val="24"/>
          <w:szCs w:val="24"/>
        </w:rPr>
        <w:t xml:space="preserve"> lien to ward off the action for eviction. To begin with</w:t>
      </w:r>
      <w:r w:rsidR="008B6BEE">
        <w:rPr>
          <w:rFonts w:ascii="Times New Roman" w:hAnsi="Times New Roman" w:cs="Times New Roman"/>
          <w:sz w:val="24"/>
          <w:szCs w:val="24"/>
        </w:rPr>
        <w:t>, in order to uphold such a lien</w:t>
      </w:r>
      <w:r>
        <w:rPr>
          <w:rFonts w:ascii="Times New Roman" w:hAnsi="Times New Roman" w:cs="Times New Roman"/>
          <w:sz w:val="24"/>
          <w:szCs w:val="24"/>
        </w:rPr>
        <w:t xml:space="preserve"> the court must be satisfied that indeed </w:t>
      </w:r>
      <w:r w:rsidR="009C3301">
        <w:rPr>
          <w:rFonts w:ascii="Times New Roman" w:hAnsi="Times New Roman" w:cs="Times New Roman"/>
          <w:sz w:val="24"/>
          <w:szCs w:val="24"/>
        </w:rPr>
        <w:t>there were</w:t>
      </w:r>
      <w:r>
        <w:rPr>
          <w:rFonts w:ascii="Times New Roman" w:hAnsi="Times New Roman" w:cs="Times New Roman"/>
          <w:sz w:val="24"/>
          <w:szCs w:val="24"/>
        </w:rPr>
        <w:t xml:space="preserve"> im</w:t>
      </w:r>
      <w:r w:rsidR="009C3301">
        <w:rPr>
          <w:rFonts w:ascii="Times New Roman" w:hAnsi="Times New Roman" w:cs="Times New Roman"/>
          <w:sz w:val="24"/>
          <w:szCs w:val="24"/>
        </w:rPr>
        <w:t>provements that were effected. I</w:t>
      </w:r>
      <w:r>
        <w:rPr>
          <w:rFonts w:ascii="Times New Roman" w:hAnsi="Times New Roman" w:cs="Times New Roman"/>
          <w:sz w:val="24"/>
          <w:szCs w:val="24"/>
        </w:rPr>
        <w:t>n my view it is not enough to merely state that improvements w</w:t>
      </w:r>
      <w:r w:rsidR="009C3301">
        <w:rPr>
          <w:rFonts w:ascii="Times New Roman" w:hAnsi="Times New Roman" w:cs="Times New Roman"/>
          <w:sz w:val="24"/>
          <w:szCs w:val="24"/>
        </w:rPr>
        <w:t>ere effected without stating what</w:t>
      </w:r>
      <w:r>
        <w:rPr>
          <w:rFonts w:ascii="Times New Roman" w:hAnsi="Times New Roman" w:cs="Times New Roman"/>
          <w:sz w:val="24"/>
          <w:szCs w:val="24"/>
        </w:rPr>
        <w:t xml:space="preserve"> they are and their estimated value. This is because the court must indeed be satisfied </w:t>
      </w:r>
      <w:r>
        <w:rPr>
          <w:rFonts w:ascii="Times New Roman" w:hAnsi="Times New Roman" w:cs="Times New Roman"/>
          <w:sz w:val="24"/>
          <w:szCs w:val="24"/>
        </w:rPr>
        <w:lastRenderedPageBreak/>
        <w:t xml:space="preserve">that the property has been increased in value by the industry of the person asserting the lien. See </w:t>
      </w:r>
      <w:r>
        <w:rPr>
          <w:rFonts w:ascii="Times New Roman" w:hAnsi="Times New Roman" w:cs="Times New Roman"/>
          <w:i/>
          <w:sz w:val="24"/>
          <w:szCs w:val="24"/>
        </w:rPr>
        <w:t>Rho</w:t>
      </w:r>
      <w:r w:rsidR="009C3301">
        <w:rPr>
          <w:rFonts w:ascii="Times New Roman" w:hAnsi="Times New Roman" w:cs="Times New Roman"/>
          <w:i/>
          <w:sz w:val="24"/>
          <w:szCs w:val="24"/>
        </w:rPr>
        <w:t>o</w:t>
      </w:r>
      <w:r>
        <w:rPr>
          <w:rFonts w:ascii="Times New Roman" w:hAnsi="Times New Roman" w:cs="Times New Roman"/>
          <w:i/>
          <w:sz w:val="24"/>
          <w:szCs w:val="24"/>
        </w:rPr>
        <w:t xml:space="preserve">de </w:t>
      </w:r>
      <w:r>
        <w:rPr>
          <w:rFonts w:ascii="Times New Roman" w:hAnsi="Times New Roman" w:cs="Times New Roman"/>
          <w:sz w:val="24"/>
          <w:szCs w:val="24"/>
        </w:rPr>
        <w:t xml:space="preserve">v </w:t>
      </w:r>
      <w:r>
        <w:rPr>
          <w:rFonts w:ascii="Times New Roman" w:hAnsi="Times New Roman" w:cs="Times New Roman"/>
          <w:i/>
          <w:sz w:val="24"/>
          <w:szCs w:val="24"/>
        </w:rPr>
        <w:t xml:space="preserve">De Kock </w:t>
      </w:r>
      <w:r w:rsidRPr="008A0B74">
        <w:rPr>
          <w:rFonts w:ascii="Times New Roman" w:hAnsi="Times New Roman" w:cs="Times New Roman"/>
          <w:sz w:val="24"/>
          <w:szCs w:val="24"/>
        </w:rPr>
        <w:t>[2012] ZASCA</w:t>
      </w:r>
      <w:r>
        <w:rPr>
          <w:rFonts w:ascii="Times New Roman" w:hAnsi="Times New Roman" w:cs="Times New Roman"/>
          <w:sz w:val="24"/>
          <w:szCs w:val="24"/>
        </w:rPr>
        <w:t xml:space="preserve"> 179. The first respondent has produced no acceptable evidence pointing to the fact that it improved the value of the property and cannot resist ejectment on the basis of vague assertions.</w:t>
      </w:r>
    </w:p>
    <w:p w:rsidR="00AE4635" w:rsidRDefault="00AE4635" w:rsidP="00AE46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While summary judgment is an extra ordinary remedy as it deprives the defendant who has indicated a desire to defend an action the right to do so in defiance of the </w:t>
      </w:r>
      <w:r>
        <w:rPr>
          <w:rFonts w:ascii="Times New Roman" w:hAnsi="Times New Roman" w:cs="Times New Roman"/>
          <w:i/>
          <w:sz w:val="24"/>
          <w:szCs w:val="24"/>
        </w:rPr>
        <w:t xml:space="preserve">audi alteram partem </w:t>
      </w:r>
      <w:r>
        <w:rPr>
          <w:rFonts w:ascii="Times New Roman" w:hAnsi="Times New Roman" w:cs="Times New Roman"/>
          <w:sz w:val="24"/>
          <w:szCs w:val="24"/>
        </w:rPr>
        <w:t xml:space="preserve">rule, it is deliberately provided for in the rules in order to thwart </w:t>
      </w:r>
      <w:r>
        <w:rPr>
          <w:rFonts w:ascii="Times New Roman" w:hAnsi="Times New Roman" w:cs="Times New Roman"/>
          <w:i/>
          <w:sz w:val="24"/>
          <w:szCs w:val="24"/>
        </w:rPr>
        <w:t xml:space="preserve">mala fide </w:t>
      </w:r>
      <w:r>
        <w:rPr>
          <w:rFonts w:ascii="Times New Roman" w:hAnsi="Times New Roman" w:cs="Times New Roman"/>
          <w:sz w:val="24"/>
          <w:szCs w:val="24"/>
        </w:rPr>
        <w:t>defendants intent on frustrating just claims. A plaintiff whose case is unassailable should be accorded the gat</w:t>
      </w:r>
      <w:r w:rsidR="009C3301">
        <w:rPr>
          <w:rFonts w:ascii="Times New Roman" w:hAnsi="Times New Roman" w:cs="Times New Roman"/>
          <w:sz w:val="24"/>
          <w:szCs w:val="24"/>
        </w:rPr>
        <w:t>eway to judgment instead of baby-</w:t>
      </w:r>
      <w:r>
        <w:rPr>
          <w:rFonts w:ascii="Times New Roman" w:hAnsi="Times New Roman" w:cs="Times New Roman"/>
          <w:sz w:val="24"/>
          <w:szCs w:val="24"/>
        </w:rPr>
        <w:t xml:space="preserve">sitting a </w:t>
      </w:r>
      <w:r>
        <w:rPr>
          <w:rFonts w:ascii="Times New Roman" w:hAnsi="Times New Roman" w:cs="Times New Roman"/>
          <w:i/>
          <w:sz w:val="24"/>
          <w:szCs w:val="24"/>
        </w:rPr>
        <w:t>mala fide</w:t>
      </w:r>
      <w:r>
        <w:rPr>
          <w:rFonts w:ascii="Times New Roman" w:hAnsi="Times New Roman" w:cs="Times New Roman"/>
          <w:sz w:val="24"/>
          <w:szCs w:val="24"/>
        </w:rPr>
        <w:t xml:space="preserve"> defendant just to appear to satisfy the </w:t>
      </w:r>
      <w:r>
        <w:rPr>
          <w:rFonts w:ascii="Times New Roman" w:hAnsi="Times New Roman" w:cs="Times New Roman"/>
          <w:i/>
          <w:sz w:val="24"/>
          <w:szCs w:val="24"/>
        </w:rPr>
        <w:t xml:space="preserve">audi alteram partem </w:t>
      </w:r>
      <w:r>
        <w:rPr>
          <w:rFonts w:ascii="Times New Roman" w:hAnsi="Times New Roman" w:cs="Times New Roman"/>
          <w:sz w:val="24"/>
          <w:szCs w:val="24"/>
        </w:rPr>
        <w:t xml:space="preserve">rule. As stated by </w:t>
      </w:r>
      <w:r>
        <w:rPr>
          <w:rFonts w:ascii="Times New Roman" w:hAnsi="Times New Roman" w:cs="Times New Roman"/>
        </w:rPr>
        <w:t xml:space="preserve">ZIYAMBI JA </w:t>
      </w:r>
      <w:r>
        <w:rPr>
          <w:rFonts w:ascii="Times New Roman" w:hAnsi="Times New Roman" w:cs="Times New Roman"/>
          <w:sz w:val="24"/>
          <w:szCs w:val="24"/>
        </w:rPr>
        <w:t xml:space="preserve">in </w:t>
      </w:r>
      <w:r w:rsidRPr="00EE0A66">
        <w:rPr>
          <w:rFonts w:ascii="Times New Roman" w:hAnsi="Times New Roman" w:cs="Times New Roman"/>
          <w:i/>
          <w:sz w:val="24"/>
          <w:szCs w:val="24"/>
        </w:rPr>
        <w:t>Kingston Ltd</w:t>
      </w:r>
      <w:r>
        <w:rPr>
          <w:rFonts w:ascii="Times New Roman" w:hAnsi="Times New Roman" w:cs="Times New Roman"/>
          <w:sz w:val="24"/>
          <w:szCs w:val="24"/>
        </w:rPr>
        <w:t xml:space="preserve"> v </w:t>
      </w:r>
      <w:r w:rsidRPr="00EE0A66">
        <w:rPr>
          <w:rFonts w:ascii="Times New Roman" w:hAnsi="Times New Roman" w:cs="Times New Roman"/>
          <w:i/>
          <w:sz w:val="24"/>
          <w:szCs w:val="24"/>
        </w:rPr>
        <w:t xml:space="preserve">L D Ineson </w:t>
      </w:r>
      <w:r>
        <w:rPr>
          <w:rFonts w:ascii="Times New Roman" w:hAnsi="Times New Roman" w:cs="Times New Roman"/>
          <w:i/>
          <w:sz w:val="24"/>
          <w:szCs w:val="24"/>
        </w:rPr>
        <w:t>(Pvt) L</w:t>
      </w:r>
      <w:r w:rsidRPr="00EE0A66">
        <w:rPr>
          <w:rFonts w:ascii="Times New Roman" w:hAnsi="Times New Roman" w:cs="Times New Roman"/>
          <w:i/>
          <w:sz w:val="24"/>
          <w:szCs w:val="24"/>
        </w:rPr>
        <w:t>td</w:t>
      </w:r>
      <w:r>
        <w:rPr>
          <w:rFonts w:ascii="Times New Roman" w:hAnsi="Times New Roman" w:cs="Times New Roman"/>
          <w:sz w:val="24"/>
          <w:szCs w:val="24"/>
        </w:rPr>
        <w:t xml:space="preserve"> 2006 (1) ZLR 45 (S) at 458 F and 459 A:</w:t>
      </w:r>
    </w:p>
    <w:p w:rsidR="00AE4635" w:rsidRDefault="00AE4635" w:rsidP="00AE4635">
      <w:pPr>
        <w:spacing w:after="0" w:line="240" w:lineRule="auto"/>
        <w:ind w:left="720"/>
        <w:jc w:val="both"/>
        <w:rPr>
          <w:rFonts w:ascii="Times New Roman" w:hAnsi="Times New Roman" w:cs="Times New Roman"/>
        </w:rPr>
      </w:pPr>
      <w:r>
        <w:rPr>
          <w:rFonts w:ascii="Times New Roman" w:hAnsi="Times New Roman" w:cs="Times New Roman"/>
        </w:rPr>
        <w:t xml:space="preserve">“Not every defence raised by a defendant will succeed in defeating a plaintiff’s claim for summary judgment. Thus what the defendant must do is to raise a </w:t>
      </w:r>
      <w:r>
        <w:rPr>
          <w:rFonts w:ascii="Times New Roman" w:hAnsi="Times New Roman" w:cs="Times New Roman"/>
          <w:i/>
        </w:rPr>
        <w:t>bona fide</w:t>
      </w:r>
      <w:r>
        <w:rPr>
          <w:rFonts w:ascii="Times New Roman" w:hAnsi="Times New Roman" w:cs="Times New Roman"/>
        </w:rPr>
        <w:t xml:space="preserve"> defence – a ‘plausible case’ – with ‘sufficient clarity and completeness to enable the court to determine whether the affidavit discloses a </w:t>
      </w:r>
      <w:r w:rsidRPr="003D165E">
        <w:rPr>
          <w:rFonts w:ascii="Times New Roman" w:hAnsi="Times New Roman" w:cs="Times New Roman"/>
          <w:i/>
        </w:rPr>
        <w:t>bona fide</w:t>
      </w:r>
      <w:r>
        <w:rPr>
          <w:rFonts w:ascii="Times New Roman" w:hAnsi="Times New Roman" w:cs="Times New Roman"/>
        </w:rPr>
        <w:t xml:space="preserve"> defence.’ He must allege fact which, if established ‘would entitle him to succeed---. If the defence is averred in a manner which appears in all circumstances needlessly bald, vague or sketchy, that will constitute material for the court to consider in relation to the requirement of </w:t>
      </w:r>
      <w:r w:rsidRPr="003D165E">
        <w:rPr>
          <w:rFonts w:ascii="Times New Roman" w:hAnsi="Times New Roman" w:cs="Times New Roman"/>
          <w:i/>
        </w:rPr>
        <w:t>bona fide</w:t>
      </w:r>
      <w:r>
        <w:rPr>
          <w:rFonts w:ascii="Times New Roman" w:hAnsi="Times New Roman" w:cs="Times New Roman"/>
        </w:rPr>
        <w:t>.”</w:t>
      </w:r>
    </w:p>
    <w:p w:rsidR="00AE4635" w:rsidRDefault="00AE4635" w:rsidP="00AE4635">
      <w:pPr>
        <w:spacing w:after="0" w:line="240" w:lineRule="auto"/>
        <w:ind w:left="720"/>
        <w:jc w:val="both"/>
        <w:rPr>
          <w:rFonts w:ascii="Times New Roman" w:hAnsi="Times New Roman" w:cs="Times New Roman"/>
        </w:rPr>
      </w:pPr>
    </w:p>
    <w:p w:rsidR="00AE4635" w:rsidRDefault="00AE4635" w:rsidP="009D41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that is where the first respondent fell short. To say that there was “massive infrastructural development”</w:t>
      </w:r>
      <w:r w:rsidR="009C3301">
        <w:rPr>
          <w:rFonts w:ascii="Times New Roman" w:hAnsi="Times New Roman" w:cs="Times New Roman"/>
          <w:sz w:val="24"/>
          <w:szCs w:val="24"/>
        </w:rPr>
        <w:t>,</w:t>
      </w:r>
      <w:r>
        <w:rPr>
          <w:rFonts w:ascii="Times New Roman" w:hAnsi="Times New Roman" w:cs="Times New Roman"/>
          <w:sz w:val="24"/>
          <w:szCs w:val="24"/>
        </w:rPr>
        <w:t xml:space="preserve"> without more</w:t>
      </w:r>
      <w:r w:rsidR="009C3301">
        <w:rPr>
          <w:rFonts w:ascii="Times New Roman" w:hAnsi="Times New Roman" w:cs="Times New Roman"/>
          <w:sz w:val="24"/>
          <w:szCs w:val="24"/>
        </w:rPr>
        <w:t>,</w:t>
      </w:r>
      <w:r>
        <w:rPr>
          <w:rFonts w:ascii="Times New Roman" w:hAnsi="Times New Roman" w:cs="Times New Roman"/>
          <w:sz w:val="24"/>
          <w:szCs w:val="24"/>
        </w:rPr>
        <w:t xml:space="preserve"> lack sufficient clarity and completeness. It is in fact needlessly bald, vague and sketchy. It points to a lamentable lack of </w:t>
      </w:r>
      <w:r w:rsidRPr="003D165E">
        <w:rPr>
          <w:rFonts w:ascii="Times New Roman" w:hAnsi="Times New Roman" w:cs="Times New Roman"/>
          <w:i/>
          <w:sz w:val="24"/>
          <w:szCs w:val="24"/>
        </w:rPr>
        <w:t>bona fides</w:t>
      </w:r>
      <w:r>
        <w:rPr>
          <w:rFonts w:ascii="Times New Roman" w:hAnsi="Times New Roman" w:cs="Times New Roman"/>
          <w:sz w:val="24"/>
          <w:szCs w:val="24"/>
        </w:rPr>
        <w:t>. The first respondent has therefore failed to resist the summary judgment application which</w:t>
      </w:r>
      <w:r w:rsidR="009C3301">
        <w:rPr>
          <w:rFonts w:ascii="Times New Roman" w:hAnsi="Times New Roman" w:cs="Times New Roman"/>
          <w:sz w:val="24"/>
          <w:szCs w:val="24"/>
        </w:rPr>
        <w:t>,</w:t>
      </w:r>
      <w:r>
        <w:rPr>
          <w:rFonts w:ascii="Times New Roman" w:hAnsi="Times New Roman" w:cs="Times New Roman"/>
          <w:sz w:val="24"/>
          <w:szCs w:val="24"/>
        </w:rPr>
        <w:t xml:space="preserve"> in my view</w:t>
      </w:r>
      <w:r w:rsidR="009C3301">
        <w:rPr>
          <w:rFonts w:ascii="Times New Roman" w:hAnsi="Times New Roman" w:cs="Times New Roman"/>
          <w:sz w:val="24"/>
          <w:szCs w:val="24"/>
        </w:rPr>
        <w:t>,</w:t>
      </w:r>
      <w:r>
        <w:rPr>
          <w:rFonts w:ascii="Times New Roman" w:hAnsi="Times New Roman" w:cs="Times New Roman"/>
          <w:sz w:val="24"/>
          <w:szCs w:val="24"/>
        </w:rPr>
        <w:t xml:space="preserve"> is meritable.</w:t>
      </w:r>
    </w:p>
    <w:p w:rsidR="00AE4635" w:rsidRDefault="00AE4635" w:rsidP="00AE46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AE4635" w:rsidRDefault="00AE4635" w:rsidP="00AE463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Summary judgment be and is hereby entered in favour of the applicants for the eviction of the first respondent and all those claiming occupation through it from gold claims registration numbers 127321 G, 12734 G and 21715 BM situated in Chegutu.</w:t>
      </w:r>
    </w:p>
    <w:p w:rsidR="00AE4635" w:rsidRPr="003D165E" w:rsidRDefault="00AE4635" w:rsidP="00AE463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shall bear the costs of suit.</w:t>
      </w:r>
    </w:p>
    <w:p w:rsidR="00AE4635" w:rsidRPr="00EE0A66" w:rsidRDefault="00AE4635" w:rsidP="00AE46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B16285" w:rsidRDefault="00B16285" w:rsidP="00AE4635">
      <w:pPr>
        <w:jc w:val="both"/>
        <w:rPr>
          <w:rFonts w:ascii="Times New Roman" w:hAnsi="Times New Roman" w:cs="Times New Roman"/>
          <w:sz w:val="24"/>
          <w:szCs w:val="24"/>
        </w:rPr>
      </w:pPr>
    </w:p>
    <w:p w:rsidR="00AE4635" w:rsidRPr="007241F1" w:rsidRDefault="00AE4635" w:rsidP="00AE4635">
      <w:pPr>
        <w:jc w:val="both"/>
        <w:rPr>
          <w:rFonts w:ascii="Times New Roman" w:hAnsi="Times New Roman" w:cs="Times New Roman"/>
          <w:sz w:val="24"/>
          <w:szCs w:val="24"/>
        </w:rPr>
      </w:pPr>
      <w:r w:rsidRPr="007241F1">
        <w:rPr>
          <w:rFonts w:ascii="Times New Roman" w:hAnsi="Times New Roman" w:cs="Times New Roman"/>
          <w:sz w:val="24"/>
          <w:szCs w:val="24"/>
        </w:rPr>
        <w:tab/>
      </w:r>
    </w:p>
    <w:p w:rsidR="00AE4635" w:rsidRDefault="00BB276A" w:rsidP="00BB276A">
      <w:pPr>
        <w:spacing w:after="0" w:line="240" w:lineRule="auto"/>
        <w:jc w:val="both"/>
        <w:rPr>
          <w:rFonts w:ascii="Times New Roman" w:hAnsi="Times New Roman" w:cs="Times New Roman"/>
          <w:sz w:val="24"/>
          <w:szCs w:val="24"/>
        </w:rPr>
      </w:pPr>
      <w:r w:rsidRPr="00BB276A">
        <w:rPr>
          <w:rFonts w:ascii="Times New Roman" w:hAnsi="Times New Roman" w:cs="Times New Roman"/>
          <w:i/>
          <w:sz w:val="24"/>
          <w:szCs w:val="24"/>
        </w:rPr>
        <w:t>Lunga Attorneys</w:t>
      </w:r>
      <w:r>
        <w:rPr>
          <w:rFonts w:ascii="Times New Roman" w:hAnsi="Times New Roman" w:cs="Times New Roman"/>
          <w:sz w:val="24"/>
          <w:szCs w:val="24"/>
        </w:rPr>
        <w:t>, applicant’s legal practitioners</w:t>
      </w:r>
    </w:p>
    <w:p w:rsidR="002960A2" w:rsidRPr="00B95CEE" w:rsidRDefault="00BB276A" w:rsidP="00BB276A">
      <w:pPr>
        <w:spacing w:after="0" w:line="240" w:lineRule="auto"/>
        <w:jc w:val="both"/>
        <w:rPr>
          <w:rFonts w:ascii="Times New Roman" w:hAnsi="Times New Roman" w:cs="Times New Roman"/>
          <w:sz w:val="24"/>
          <w:szCs w:val="24"/>
        </w:rPr>
      </w:pPr>
      <w:r w:rsidRPr="00BB276A">
        <w:rPr>
          <w:rFonts w:ascii="Times New Roman" w:hAnsi="Times New Roman" w:cs="Times New Roman"/>
          <w:i/>
          <w:sz w:val="24"/>
          <w:szCs w:val="24"/>
        </w:rPr>
        <w:t>F. M. Katsande and Partners</w:t>
      </w:r>
      <w:r>
        <w:rPr>
          <w:rFonts w:ascii="Times New Roman" w:hAnsi="Times New Roman" w:cs="Times New Roman"/>
          <w:sz w:val="24"/>
          <w:szCs w:val="24"/>
        </w:rPr>
        <w:t>, 1</w:t>
      </w:r>
      <w:r w:rsidRPr="00BB276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r w:rsidR="002960A2">
        <w:rPr>
          <w:rFonts w:ascii="Times New Roman" w:hAnsi="Times New Roman" w:cs="Times New Roman"/>
          <w:sz w:val="24"/>
          <w:szCs w:val="24"/>
        </w:rPr>
        <w:t xml:space="preserve">                                                                                                                                                                   </w:t>
      </w:r>
    </w:p>
    <w:sectPr w:rsidR="002960A2" w:rsidRPr="00B95CEE">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FA9" w:rsidRDefault="00947FA9" w:rsidP="00747982">
      <w:pPr>
        <w:spacing w:after="0" w:line="240" w:lineRule="auto"/>
      </w:pPr>
      <w:r>
        <w:separator/>
      </w:r>
    </w:p>
  </w:endnote>
  <w:endnote w:type="continuationSeparator" w:id="0">
    <w:p w:rsidR="00947FA9" w:rsidRDefault="00947FA9" w:rsidP="00747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FA9" w:rsidRDefault="00947FA9" w:rsidP="00747982">
      <w:pPr>
        <w:spacing w:after="0" w:line="240" w:lineRule="auto"/>
      </w:pPr>
      <w:r>
        <w:separator/>
      </w:r>
    </w:p>
  </w:footnote>
  <w:footnote w:type="continuationSeparator" w:id="0">
    <w:p w:rsidR="00947FA9" w:rsidRDefault="00947FA9" w:rsidP="00747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166475"/>
      <w:docPartObj>
        <w:docPartGallery w:val="Page Numbers (Top of Page)"/>
        <w:docPartUnique/>
      </w:docPartObj>
    </w:sdtPr>
    <w:sdtEndPr>
      <w:rPr>
        <w:noProof/>
      </w:rPr>
    </w:sdtEndPr>
    <w:sdtContent>
      <w:p w:rsidR="00747982" w:rsidRDefault="00747982">
        <w:pPr>
          <w:pStyle w:val="Header"/>
          <w:jc w:val="right"/>
          <w:rPr>
            <w:noProof/>
          </w:rPr>
        </w:pPr>
        <w:r>
          <w:fldChar w:fldCharType="begin"/>
        </w:r>
        <w:r>
          <w:instrText xml:space="preserve"> PAGE   \* MERGEFORMAT </w:instrText>
        </w:r>
        <w:r>
          <w:fldChar w:fldCharType="separate"/>
        </w:r>
        <w:r w:rsidR="0035258C">
          <w:rPr>
            <w:noProof/>
          </w:rPr>
          <w:t>1</w:t>
        </w:r>
        <w:r>
          <w:rPr>
            <w:noProof/>
          </w:rPr>
          <w:fldChar w:fldCharType="end"/>
        </w:r>
      </w:p>
      <w:p w:rsidR="00747982" w:rsidRDefault="00747982">
        <w:pPr>
          <w:pStyle w:val="Header"/>
          <w:jc w:val="right"/>
          <w:rPr>
            <w:noProof/>
          </w:rPr>
        </w:pPr>
        <w:r>
          <w:rPr>
            <w:noProof/>
          </w:rPr>
          <w:t>HH</w:t>
        </w:r>
        <w:r w:rsidR="006720D2">
          <w:rPr>
            <w:noProof/>
          </w:rPr>
          <w:t xml:space="preserve"> 450-18</w:t>
        </w:r>
      </w:p>
      <w:p w:rsidR="00747982" w:rsidRDefault="00747982">
        <w:pPr>
          <w:pStyle w:val="Header"/>
          <w:jc w:val="right"/>
          <w:rPr>
            <w:noProof/>
          </w:rPr>
        </w:pPr>
        <w:r>
          <w:rPr>
            <w:noProof/>
          </w:rPr>
          <w:t>HC 3951/18</w:t>
        </w:r>
      </w:p>
      <w:p w:rsidR="00747982" w:rsidRDefault="00747982">
        <w:pPr>
          <w:pStyle w:val="Header"/>
          <w:jc w:val="right"/>
        </w:pPr>
        <w:r>
          <w:rPr>
            <w:noProof/>
          </w:rPr>
          <w:t>Ref Case No. HC 3405/18</w:t>
        </w:r>
      </w:p>
    </w:sdtContent>
  </w:sdt>
  <w:p w:rsidR="00747982" w:rsidRDefault="007479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722A5"/>
    <w:multiLevelType w:val="hybridMultilevel"/>
    <w:tmpl w:val="60981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CEE"/>
    <w:rsid w:val="00037FA6"/>
    <w:rsid w:val="000B1EBB"/>
    <w:rsid w:val="001D4838"/>
    <w:rsid w:val="00254E9B"/>
    <w:rsid w:val="00280532"/>
    <w:rsid w:val="002960A2"/>
    <w:rsid w:val="003434A5"/>
    <w:rsid w:val="0035258C"/>
    <w:rsid w:val="00365DF0"/>
    <w:rsid w:val="003660B6"/>
    <w:rsid w:val="00440966"/>
    <w:rsid w:val="00451CF4"/>
    <w:rsid w:val="0045797F"/>
    <w:rsid w:val="00466C6E"/>
    <w:rsid w:val="00467B62"/>
    <w:rsid w:val="004B5AD7"/>
    <w:rsid w:val="004D1192"/>
    <w:rsid w:val="004D34FC"/>
    <w:rsid w:val="00504872"/>
    <w:rsid w:val="00585529"/>
    <w:rsid w:val="005C30DB"/>
    <w:rsid w:val="006720D2"/>
    <w:rsid w:val="00747982"/>
    <w:rsid w:val="00771FA9"/>
    <w:rsid w:val="008B6BEE"/>
    <w:rsid w:val="008F15B5"/>
    <w:rsid w:val="00927306"/>
    <w:rsid w:val="00947FA9"/>
    <w:rsid w:val="009B5E15"/>
    <w:rsid w:val="009C3301"/>
    <w:rsid w:val="009D418C"/>
    <w:rsid w:val="00A10A7D"/>
    <w:rsid w:val="00A80DBA"/>
    <w:rsid w:val="00AE4635"/>
    <w:rsid w:val="00AE6263"/>
    <w:rsid w:val="00B16285"/>
    <w:rsid w:val="00B77D6B"/>
    <w:rsid w:val="00B95CEE"/>
    <w:rsid w:val="00BB276A"/>
    <w:rsid w:val="00D22705"/>
    <w:rsid w:val="00D86147"/>
    <w:rsid w:val="00F20CC1"/>
    <w:rsid w:val="00F2263A"/>
    <w:rsid w:val="00F602E6"/>
    <w:rsid w:val="00FB6983"/>
    <w:rsid w:val="00FE68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58836F-BE1C-4BB5-A298-E41305C9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982"/>
  </w:style>
  <w:style w:type="paragraph" w:styleId="Footer">
    <w:name w:val="footer"/>
    <w:basedOn w:val="Normal"/>
    <w:link w:val="FooterChar"/>
    <w:uiPriority w:val="99"/>
    <w:unhideWhenUsed/>
    <w:rsid w:val="00747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982"/>
  </w:style>
  <w:style w:type="paragraph" w:styleId="ListParagraph">
    <w:name w:val="List Paragraph"/>
    <w:basedOn w:val="Normal"/>
    <w:uiPriority w:val="34"/>
    <w:qFormat/>
    <w:rsid w:val="00AE4635"/>
    <w:pPr>
      <w:ind w:left="720"/>
      <w:contextualSpacing/>
    </w:pPr>
    <w:rPr>
      <w:lang w:val="en-US"/>
    </w:rPr>
  </w:style>
  <w:style w:type="paragraph" w:styleId="BalloonText">
    <w:name w:val="Balloon Text"/>
    <w:basedOn w:val="Normal"/>
    <w:link w:val="BalloonTextChar"/>
    <w:uiPriority w:val="99"/>
    <w:semiHidden/>
    <w:unhideWhenUsed/>
    <w:rsid w:val="00672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0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2282</Words>
  <Characters>13012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2018-07-26T09:33:00Z</cp:lastPrinted>
  <dcterms:created xsi:type="dcterms:W3CDTF">2018-08-09T14:12:00Z</dcterms:created>
  <dcterms:modified xsi:type="dcterms:W3CDTF">2018-08-09T14:12:00Z</dcterms:modified>
</cp:coreProperties>
</file>