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3C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  <w:t xml:space="preserve">      JUDGMENT NO LC/H/332/13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9</w:t>
      </w:r>
      <w:r w:rsidRPr="005271E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2008</w:t>
      </w:r>
      <w:r>
        <w:rPr>
          <w:b/>
          <w:sz w:val="28"/>
          <w:szCs w:val="28"/>
        </w:rPr>
        <w:tab/>
        <w:t xml:space="preserve">     CASE NO LC/H/49/06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</w:p>
    <w:p w:rsidR="005271E3" w:rsidRDefault="006F33CD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LAZA</w:t>
      </w:r>
      <w:r w:rsidR="005271E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U</w:t>
      </w:r>
      <w:r w:rsidR="005271E3">
        <w:rPr>
          <w:b/>
          <w:sz w:val="28"/>
          <w:szCs w:val="28"/>
        </w:rPr>
        <w:t>S ZHUWAO</w:t>
      </w:r>
      <w:r w:rsidR="005271E3">
        <w:rPr>
          <w:b/>
          <w:sz w:val="28"/>
          <w:szCs w:val="28"/>
        </w:rPr>
        <w:tab/>
      </w:r>
      <w:r w:rsidR="005271E3">
        <w:rPr>
          <w:b/>
          <w:sz w:val="28"/>
          <w:szCs w:val="28"/>
        </w:rPr>
        <w:tab/>
      </w:r>
      <w:r w:rsidR="005271E3">
        <w:rPr>
          <w:b/>
          <w:sz w:val="28"/>
          <w:szCs w:val="28"/>
        </w:rPr>
        <w:tab/>
      </w:r>
      <w:r w:rsidR="005271E3">
        <w:rPr>
          <w:b/>
          <w:sz w:val="28"/>
          <w:szCs w:val="28"/>
        </w:rPr>
        <w:tab/>
      </w:r>
      <w:r w:rsidR="005271E3">
        <w:rPr>
          <w:b/>
          <w:sz w:val="28"/>
          <w:szCs w:val="28"/>
        </w:rPr>
        <w:tab/>
        <w:t>Appellant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ZIMBABWE REVENUE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AUTHORITY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</w:p>
    <w:p w:rsidR="005271E3" w:rsidRDefault="005271E3" w:rsidP="005271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5271E3" w:rsidRDefault="005271E3" w:rsidP="005271E3">
      <w:pPr>
        <w:spacing w:line="360" w:lineRule="auto"/>
        <w:jc w:val="both"/>
        <w:rPr>
          <w:sz w:val="28"/>
          <w:szCs w:val="28"/>
        </w:rPr>
      </w:pP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L </w:t>
      </w:r>
      <w:proofErr w:type="spellStart"/>
      <w:r>
        <w:rPr>
          <w:b/>
          <w:sz w:val="28"/>
          <w:szCs w:val="28"/>
        </w:rPr>
        <w:t>Zhuwao</w:t>
      </w:r>
      <w:proofErr w:type="spellEnd"/>
      <w:r>
        <w:rPr>
          <w:b/>
          <w:sz w:val="28"/>
          <w:szCs w:val="28"/>
        </w:rPr>
        <w:t>, Appellant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K </w:t>
      </w:r>
      <w:proofErr w:type="spellStart"/>
      <w:r>
        <w:rPr>
          <w:b/>
          <w:sz w:val="28"/>
          <w:szCs w:val="28"/>
        </w:rPr>
        <w:t>Renzva</w:t>
      </w:r>
      <w:proofErr w:type="spellEnd"/>
      <w:r>
        <w:rPr>
          <w:b/>
          <w:sz w:val="28"/>
          <w:szCs w:val="28"/>
        </w:rPr>
        <w:t>, Officer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5271E3" w:rsidRDefault="005271E3" w:rsidP="005271E3">
      <w:pPr>
        <w:spacing w:line="360" w:lineRule="auto"/>
        <w:jc w:val="both"/>
        <w:rPr>
          <w:b/>
          <w:sz w:val="28"/>
          <w:szCs w:val="28"/>
        </w:rPr>
      </w:pPr>
    </w:p>
    <w:p w:rsidR="00180CEB" w:rsidRDefault="005271E3" w:rsidP="005271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Appellant worked for Respondent as an Administration Assistant based in Harare.  </w:t>
      </w:r>
      <w:r w:rsidR="006F3964">
        <w:rPr>
          <w:sz w:val="28"/>
          <w:szCs w:val="28"/>
        </w:rPr>
        <w:t xml:space="preserve"> </w:t>
      </w:r>
      <w:r>
        <w:rPr>
          <w:sz w:val="28"/>
          <w:szCs w:val="28"/>
        </w:rPr>
        <w:t>On 25</w:t>
      </w:r>
      <w:r w:rsidRPr="005271E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2005 he was charged with misconduct.  A hearing was held.  He</w:t>
      </w:r>
      <w:r w:rsidR="006F3964">
        <w:rPr>
          <w:sz w:val="28"/>
          <w:szCs w:val="28"/>
        </w:rPr>
        <w:t xml:space="preserve"> was found guilty and penalised with dismissal.  He appealed against the outcome.  Respondent</w:t>
      </w:r>
      <w:r w:rsidR="00180CEB">
        <w:rPr>
          <w:sz w:val="28"/>
          <w:szCs w:val="28"/>
        </w:rPr>
        <w:t xml:space="preserve">’s Appeals Committee dismissed the appeal.  He then appealed to this Court against the decision of the Appeals Committee.  </w:t>
      </w:r>
    </w:p>
    <w:p w:rsidR="00180CEB" w:rsidRDefault="00180CEB" w:rsidP="005271E3">
      <w:pPr>
        <w:spacing w:line="360" w:lineRule="auto"/>
        <w:jc w:val="both"/>
        <w:rPr>
          <w:sz w:val="28"/>
          <w:szCs w:val="28"/>
        </w:rPr>
      </w:pPr>
    </w:p>
    <w:p w:rsidR="00B56C0C" w:rsidRDefault="00B56C0C" w:rsidP="005271E3">
      <w:pPr>
        <w:spacing w:line="360" w:lineRule="auto"/>
        <w:jc w:val="both"/>
        <w:rPr>
          <w:sz w:val="28"/>
          <w:szCs w:val="28"/>
        </w:rPr>
      </w:pPr>
    </w:p>
    <w:p w:rsidR="005271E3" w:rsidRDefault="00180CEB" w:rsidP="005271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Appellant’s grounds of appeal read as follows,</w:t>
      </w:r>
    </w:p>
    <w:p w:rsidR="00180CEB" w:rsidRDefault="00180CEB" w:rsidP="00180CEB">
      <w:pPr>
        <w:spacing w:line="360" w:lineRule="auto"/>
        <w:ind w:left="1440" w:hanging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“1)</w:t>
      </w:r>
      <w:r>
        <w:rPr>
          <w:i/>
          <w:sz w:val="28"/>
          <w:szCs w:val="28"/>
        </w:rPr>
        <w:tab/>
        <w:t>Erred misdirected itself for not considering procedural irregularities.</w:t>
      </w:r>
    </w:p>
    <w:p w:rsidR="00180CEB" w:rsidRDefault="00180CEB" w:rsidP="00180CEB">
      <w:pPr>
        <w:spacing w:line="360" w:lineRule="auto"/>
        <w:ind w:left="1440" w:hanging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2)</w:t>
      </w:r>
      <w:r>
        <w:rPr>
          <w:i/>
          <w:sz w:val="28"/>
          <w:szCs w:val="28"/>
        </w:rPr>
        <w:tab/>
        <w:t>For upholding dismissal whereas the appropriate penalty was a warning B6 offence</w:t>
      </w:r>
    </w:p>
    <w:p w:rsidR="00180CEB" w:rsidRDefault="00180CEB" w:rsidP="00180CEB">
      <w:pPr>
        <w:spacing w:line="360" w:lineRule="auto"/>
        <w:ind w:left="1440" w:hanging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3)</w:t>
      </w:r>
      <w:r>
        <w:rPr>
          <w:i/>
          <w:sz w:val="28"/>
          <w:szCs w:val="28"/>
        </w:rPr>
        <w:tab/>
        <w:t>Like the disciplinary committee did not make any finding and a verdict.”</w:t>
      </w:r>
    </w:p>
    <w:p w:rsidR="00180CEB" w:rsidRDefault="00180CEB" w:rsidP="00FA18E5">
      <w:pPr>
        <w:spacing w:after="0" w:line="360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1</w:t>
      </w:r>
      <w:r w:rsidRPr="00180CEB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 ground</w:t>
      </w:r>
      <w:proofErr w:type="gramEnd"/>
    </w:p>
    <w:p w:rsidR="00180CEB" w:rsidRDefault="00180CEB" w:rsidP="00FA18E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procedural irregularities alleged were not spelt out in the notice of appeal.  In Appellant’s Heads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Argument it was averred that under Respondent’s Code of Conduct “investigations should be completed before a Disciplinary and Grievance Committee convened to determine on the allegations levelled against the Appellant.”  The point was not fully developed.  In oral argument Appellant</w:t>
      </w:r>
      <w:r w:rsidR="00836B54">
        <w:rPr>
          <w:sz w:val="28"/>
          <w:szCs w:val="28"/>
        </w:rPr>
        <w:t xml:space="preserve"> submitted that investigations were not done prior to the laying</w:t>
      </w:r>
      <w:r w:rsidR="00B56C0C">
        <w:rPr>
          <w:sz w:val="28"/>
          <w:szCs w:val="28"/>
        </w:rPr>
        <w:t xml:space="preserve"> </w:t>
      </w:r>
      <w:proofErr w:type="gramStart"/>
      <w:r w:rsidR="00B56C0C">
        <w:rPr>
          <w:sz w:val="28"/>
          <w:szCs w:val="28"/>
        </w:rPr>
        <w:t xml:space="preserve">of </w:t>
      </w:r>
      <w:r w:rsidR="00836B54">
        <w:rPr>
          <w:sz w:val="28"/>
          <w:szCs w:val="28"/>
        </w:rPr>
        <w:t xml:space="preserve"> charges</w:t>
      </w:r>
      <w:proofErr w:type="gramEnd"/>
      <w:r w:rsidR="00836B54">
        <w:rPr>
          <w:sz w:val="28"/>
          <w:szCs w:val="28"/>
        </w:rPr>
        <w:t xml:space="preserve"> against him.</w:t>
      </w:r>
      <w:r w:rsidR="00B56C0C">
        <w:rPr>
          <w:sz w:val="28"/>
          <w:szCs w:val="28"/>
        </w:rPr>
        <w:t xml:space="preserve">  However the record belies these allegations.</w:t>
      </w:r>
    </w:p>
    <w:p w:rsidR="004D6658" w:rsidRDefault="00B56C0C" w:rsidP="00180C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It has</w:t>
      </w:r>
      <w:r w:rsidR="004D6658">
        <w:rPr>
          <w:sz w:val="28"/>
          <w:szCs w:val="28"/>
        </w:rPr>
        <w:t xml:space="preserve"> a report titled “Investigation Report:  The conduct of Mr Lazarus </w:t>
      </w:r>
      <w:proofErr w:type="spellStart"/>
      <w:r w:rsidR="004D6658">
        <w:rPr>
          <w:sz w:val="28"/>
          <w:szCs w:val="28"/>
        </w:rPr>
        <w:t>Zhuwao</w:t>
      </w:r>
      <w:proofErr w:type="spellEnd"/>
      <w:r w:rsidR="004D6658">
        <w:rPr>
          <w:sz w:val="28"/>
          <w:szCs w:val="28"/>
        </w:rPr>
        <w:t>:  Harare Agricultural Show (2005): Missing Property.”</w:t>
      </w:r>
      <w:r w:rsidR="0058606A">
        <w:rPr>
          <w:sz w:val="28"/>
          <w:szCs w:val="28"/>
        </w:rPr>
        <w:t xml:space="preserve">  It is an 8 page document det</w:t>
      </w:r>
      <w:r>
        <w:rPr>
          <w:sz w:val="28"/>
          <w:szCs w:val="28"/>
        </w:rPr>
        <w:t xml:space="preserve">ailing facts leading to the charges. </w:t>
      </w:r>
      <w:r w:rsidR="004D6658">
        <w:rPr>
          <w:sz w:val="28"/>
          <w:szCs w:val="28"/>
        </w:rPr>
        <w:t xml:space="preserve">  It is dated 25</w:t>
      </w:r>
      <w:r w:rsidR="004D6658" w:rsidRPr="004D6658">
        <w:rPr>
          <w:sz w:val="28"/>
          <w:szCs w:val="28"/>
          <w:vertAlign w:val="superscript"/>
        </w:rPr>
        <w:t>th</w:t>
      </w:r>
      <w:r w:rsidR="004D6658">
        <w:rPr>
          <w:sz w:val="28"/>
          <w:szCs w:val="28"/>
        </w:rPr>
        <w:t xml:space="preserve"> October 2005 </w:t>
      </w:r>
      <w:r w:rsidR="004D6658" w:rsidRPr="00B56C0C">
        <w:rPr>
          <w:sz w:val="28"/>
          <w:szCs w:val="28"/>
          <w:u w:val="single"/>
        </w:rPr>
        <w:t>the same date when charges were laid</w:t>
      </w:r>
      <w:r w:rsidR="004D6658">
        <w:rPr>
          <w:sz w:val="28"/>
          <w:szCs w:val="28"/>
        </w:rPr>
        <w:t>.  Therefore Appellant’s complaints about lack of or incomplete investigations cannot be sustained.</w:t>
      </w:r>
    </w:p>
    <w:p w:rsidR="00B56C0C" w:rsidRDefault="00B56C0C" w:rsidP="00B56C0C">
      <w:pPr>
        <w:spacing w:after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E521DD"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ground</w:t>
      </w:r>
    </w:p>
    <w:p w:rsidR="00B56C0C" w:rsidRDefault="00B56C0C" w:rsidP="00B56C0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Appellant was found guilty of C4 and D25 offences.  C4 is defined as</w:t>
      </w:r>
    </w:p>
    <w:p w:rsidR="00B56C0C" w:rsidRDefault="00B56C0C" w:rsidP="00B56C0C">
      <w:pPr>
        <w:spacing w:after="0" w:line="360" w:lineRule="auto"/>
        <w:ind w:left="720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“</w:t>
      </w:r>
      <w:r>
        <w:rPr>
          <w:i/>
          <w:sz w:val="28"/>
          <w:szCs w:val="28"/>
        </w:rPr>
        <w:t>The unauthorised use of property or facilities for purposes other than those for which they are intended.”</w:t>
      </w:r>
      <w:proofErr w:type="gramEnd"/>
    </w:p>
    <w:p w:rsidR="00B56C0C" w:rsidRDefault="00B56C0C" w:rsidP="00B56C0C">
      <w:pPr>
        <w:spacing w:after="0" w:line="360" w:lineRule="auto"/>
        <w:jc w:val="both"/>
        <w:rPr>
          <w:sz w:val="28"/>
          <w:szCs w:val="28"/>
        </w:rPr>
      </w:pPr>
    </w:p>
    <w:p w:rsidR="00B56C0C" w:rsidRDefault="00B56C0C" w:rsidP="00B56C0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this case the property in question was Respondent’s motor vehicle which Appellant was found to have used for private business.  The prescribed penalty for the offence is a final warning on first breach.</w:t>
      </w:r>
    </w:p>
    <w:p w:rsidR="00B56C0C" w:rsidRDefault="00B56C0C" w:rsidP="00B56C0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D25 is defined thus,</w:t>
      </w:r>
    </w:p>
    <w:p w:rsidR="00B56C0C" w:rsidRDefault="00B56C0C" w:rsidP="00B56C0C">
      <w:pPr>
        <w:spacing w:after="0" w:line="360" w:lineRule="auto"/>
        <w:ind w:left="72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“Carrying out any act, which is consistent with the express or implied conditions of the contract of employment.”</w:t>
      </w:r>
      <w:proofErr w:type="gramEnd"/>
    </w:p>
    <w:p w:rsidR="00B56C0C" w:rsidRDefault="00B56C0C" w:rsidP="00B56C0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It carries a penalty of dismissal on first breach.  Therefore Appellant’s dismissal was warranted by his conviction on the D25 charge.  It further appeared that he was sitting on a final warning at the time of the disciplinary hearing.  A C4 offence triggers dismissal on second breach. Therefore his C4 conviction could also have triggered dismissal as a second breach.</w:t>
      </w:r>
    </w:p>
    <w:p w:rsidR="00FA18E5" w:rsidRDefault="00FA18E5" w:rsidP="00FA18E5">
      <w:pPr>
        <w:spacing w:after="0" w:line="360" w:lineRule="auto"/>
        <w:jc w:val="both"/>
        <w:rPr>
          <w:sz w:val="28"/>
          <w:szCs w:val="28"/>
          <w:u w:val="single"/>
        </w:rPr>
      </w:pPr>
      <w:r w:rsidRPr="00FA18E5">
        <w:rPr>
          <w:sz w:val="28"/>
          <w:szCs w:val="28"/>
          <w:u w:val="single"/>
        </w:rPr>
        <w:t>3</w:t>
      </w:r>
      <w:r w:rsidRPr="00FA18E5">
        <w:rPr>
          <w:sz w:val="28"/>
          <w:szCs w:val="28"/>
          <w:u w:val="single"/>
          <w:vertAlign w:val="superscript"/>
        </w:rPr>
        <w:t>rd</w:t>
      </w:r>
      <w:r w:rsidRPr="00FA18E5">
        <w:rPr>
          <w:sz w:val="28"/>
          <w:szCs w:val="28"/>
          <w:u w:val="single"/>
        </w:rPr>
        <w:t xml:space="preserve"> ground</w:t>
      </w:r>
    </w:p>
    <w:p w:rsidR="00FA18E5" w:rsidRDefault="00FA18E5" w:rsidP="00FA18E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Chairman of the Disciplinary and Grievance Committee (GDC) wrote a letter dated 1</w:t>
      </w:r>
      <w:r w:rsidRPr="00FA18E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November 2005 addressed to Appellant.  The letter stated that the GDC had </w:t>
      </w:r>
      <w:r w:rsidRPr="00B56C0C">
        <w:rPr>
          <w:sz w:val="28"/>
          <w:szCs w:val="28"/>
          <w:u w:val="single"/>
        </w:rPr>
        <w:t>found Appellant guilty</w:t>
      </w:r>
      <w:r>
        <w:rPr>
          <w:sz w:val="28"/>
          <w:szCs w:val="28"/>
        </w:rPr>
        <w:t xml:space="preserve"> of charges C4 and D25 under Respondent’s Code.  It further advised that the </w:t>
      </w:r>
      <w:r w:rsidRPr="00B56C0C">
        <w:rPr>
          <w:sz w:val="28"/>
          <w:szCs w:val="28"/>
          <w:u w:val="single"/>
        </w:rPr>
        <w:t>penalty therefor was dismissal</w:t>
      </w:r>
      <w:r>
        <w:rPr>
          <w:sz w:val="28"/>
          <w:szCs w:val="28"/>
        </w:rPr>
        <w:t xml:space="preserve"> “with immediate effect.”  The Chairman of the Appeals Committee (AC) wrote a letter dated 5</w:t>
      </w:r>
      <w:r w:rsidRPr="00FA18E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2005 addressed to Appellant.  The letter</w:t>
      </w:r>
      <w:r w:rsidR="00E521DD">
        <w:rPr>
          <w:sz w:val="28"/>
          <w:szCs w:val="28"/>
        </w:rPr>
        <w:t xml:space="preserve"> stated that the AC had decided to </w:t>
      </w:r>
      <w:r w:rsidR="00E521DD" w:rsidRPr="00B56C0C">
        <w:rPr>
          <w:sz w:val="28"/>
          <w:szCs w:val="28"/>
          <w:u w:val="single"/>
        </w:rPr>
        <w:t>uphold the decision of the GDC</w:t>
      </w:r>
      <w:r w:rsidR="00E521DD">
        <w:rPr>
          <w:sz w:val="28"/>
          <w:szCs w:val="28"/>
        </w:rPr>
        <w:t xml:space="preserve">.  Appellant signed both letters as acknowledgement of receipt. </w:t>
      </w:r>
      <w:r w:rsidR="00B56C0C">
        <w:rPr>
          <w:sz w:val="28"/>
          <w:szCs w:val="28"/>
        </w:rPr>
        <w:t xml:space="preserve"> Both the GDC and AC made decisions concerning the verdict and penalty. </w:t>
      </w:r>
      <w:r w:rsidR="00E521DD">
        <w:rPr>
          <w:sz w:val="28"/>
          <w:szCs w:val="28"/>
        </w:rPr>
        <w:t xml:space="preserve"> In the circumstances the complaint about lack of “finding and a verdict” did not hold water.</w:t>
      </w: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All in all I find that Appellant failed to sustain any of the grounds of appeal raised.  The appeal th</w:t>
      </w:r>
      <w:r w:rsidR="0058606A">
        <w:rPr>
          <w:sz w:val="28"/>
          <w:szCs w:val="28"/>
        </w:rPr>
        <w:t>u</w:t>
      </w:r>
      <w:bookmarkStart w:id="0" w:name="_GoBack"/>
      <w:bookmarkEnd w:id="0"/>
      <w:r>
        <w:rPr>
          <w:sz w:val="28"/>
          <w:szCs w:val="28"/>
        </w:rPr>
        <w:t>s lacked merit.</w:t>
      </w: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appeal is hereby dismissed.</w:t>
      </w: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E521DD" w:rsidRPr="00E521DD" w:rsidRDefault="00E521DD" w:rsidP="00E521DD">
      <w:pPr>
        <w:spacing w:after="0" w:line="360" w:lineRule="auto"/>
        <w:jc w:val="both"/>
        <w:rPr>
          <w:sz w:val="28"/>
          <w:szCs w:val="28"/>
        </w:rPr>
      </w:pPr>
    </w:p>
    <w:p w:rsidR="00180CEB" w:rsidRDefault="00180CEB" w:rsidP="005271E3">
      <w:pPr>
        <w:spacing w:line="360" w:lineRule="auto"/>
        <w:jc w:val="both"/>
        <w:rPr>
          <w:i/>
          <w:sz w:val="28"/>
          <w:szCs w:val="28"/>
        </w:rPr>
      </w:pPr>
    </w:p>
    <w:p w:rsidR="00180CEB" w:rsidRDefault="00180CEB" w:rsidP="005271E3">
      <w:pPr>
        <w:spacing w:line="360" w:lineRule="auto"/>
        <w:jc w:val="both"/>
        <w:rPr>
          <w:i/>
          <w:sz w:val="28"/>
          <w:szCs w:val="28"/>
        </w:rPr>
      </w:pPr>
    </w:p>
    <w:p w:rsidR="00180CEB" w:rsidRDefault="00E521DD" w:rsidP="00E521DD">
      <w:pPr>
        <w:spacing w:after="0" w:line="360" w:lineRule="auto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521DD">
        <w:rPr>
          <w:b/>
          <w:sz w:val="28"/>
          <w:szCs w:val="28"/>
        </w:rPr>
        <w:t>G MUSARIRI</w:t>
      </w:r>
    </w:p>
    <w:p w:rsidR="00E521DD" w:rsidRPr="00E521DD" w:rsidRDefault="00E521DD" w:rsidP="00E521DD">
      <w:pPr>
        <w:spacing w:after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PRESIDENT</w:t>
      </w:r>
    </w:p>
    <w:p w:rsidR="00180CEB" w:rsidRPr="005271E3" w:rsidRDefault="00180CEB" w:rsidP="005271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80CEB" w:rsidRPr="005271E3" w:rsidSect="00180CE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57" w:rsidRDefault="005F1157" w:rsidP="00180CEB">
      <w:pPr>
        <w:spacing w:after="0" w:line="240" w:lineRule="auto"/>
      </w:pPr>
      <w:r>
        <w:separator/>
      </w:r>
    </w:p>
  </w:endnote>
  <w:endnote w:type="continuationSeparator" w:id="0">
    <w:p w:rsidR="005F1157" w:rsidRDefault="005F1157" w:rsidP="0018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07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658" w:rsidRDefault="004D66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0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6658" w:rsidRDefault="004D6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57" w:rsidRDefault="005F1157" w:rsidP="00180CEB">
      <w:pPr>
        <w:spacing w:after="0" w:line="240" w:lineRule="auto"/>
      </w:pPr>
      <w:r>
        <w:separator/>
      </w:r>
    </w:p>
  </w:footnote>
  <w:footnote w:type="continuationSeparator" w:id="0">
    <w:p w:rsidR="005F1157" w:rsidRDefault="005F1157" w:rsidP="0018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658" w:rsidRDefault="004D6658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JUDGMENT NO LC/H/332/13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3"/>
    <w:rsid w:val="00180CEB"/>
    <w:rsid w:val="004D6658"/>
    <w:rsid w:val="004F113C"/>
    <w:rsid w:val="005271E3"/>
    <w:rsid w:val="0058606A"/>
    <w:rsid w:val="005F1157"/>
    <w:rsid w:val="006F33CD"/>
    <w:rsid w:val="006F3964"/>
    <w:rsid w:val="00810368"/>
    <w:rsid w:val="00836B54"/>
    <w:rsid w:val="00B56C0C"/>
    <w:rsid w:val="00B765AA"/>
    <w:rsid w:val="00BF7012"/>
    <w:rsid w:val="00E24FFE"/>
    <w:rsid w:val="00E521DD"/>
    <w:rsid w:val="00F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CEB"/>
  </w:style>
  <w:style w:type="paragraph" w:styleId="Footer">
    <w:name w:val="footer"/>
    <w:basedOn w:val="Normal"/>
    <w:link w:val="FooterChar"/>
    <w:uiPriority w:val="99"/>
    <w:unhideWhenUsed/>
    <w:rsid w:val="00180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CEB"/>
  </w:style>
  <w:style w:type="paragraph" w:styleId="Footer">
    <w:name w:val="footer"/>
    <w:basedOn w:val="Normal"/>
    <w:link w:val="FooterChar"/>
    <w:uiPriority w:val="99"/>
    <w:unhideWhenUsed/>
    <w:rsid w:val="00180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6</cp:revision>
  <dcterms:created xsi:type="dcterms:W3CDTF">2013-07-10T07:30:00Z</dcterms:created>
  <dcterms:modified xsi:type="dcterms:W3CDTF">2013-07-16T07:49:00Z</dcterms:modified>
</cp:coreProperties>
</file>