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CC7" w:rsidRDefault="00AB2CC7" w:rsidP="00E4620C">
      <w:pPr>
        <w:pStyle w:val="NoSpacing"/>
        <w:jc w:val="both"/>
        <w:rPr>
          <w:rFonts w:ascii="Times New Roman" w:hAnsi="Times New Roman" w:cs="Times New Roman"/>
          <w:b/>
          <w:sz w:val="24"/>
          <w:szCs w:val="24"/>
        </w:rPr>
      </w:pPr>
      <w:r>
        <w:rPr>
          <w:rFonts w:ascii="Times New Roman" w:hAnsi="Times New Roman" w:cs="Times New Roman"/>
          <w:b/>
          <w:sz w:val="24"/>
          <w:szCs w:val="24"/>
        </w:rPr>
        <w:t>LAWRENCE NCUBE</w:t>
      </w:r>
    </w:p>
    <w:p w:rsidR="00AB2CC7" w:rsidRDefault="00AB2CC7" w:rsidP="00E4620C">
      <w:pPr>
        <w:pStyle w:val="NoSpacing"/>
        <w:jc w:val="both"/>
        <w:rPr>
          <w:rFonts w:ascii="Times New Roman" w:hAnsi="Times New Roman" w:cs="Times New Roman"/>
          <w:b/>
          <w:sz w:val="24"/>
          <w:szCs w:val="24"/>
        </w:rPr>
      </w:pPr>
    </w:p>
    <w:p w:rsidR="00AB2CC7" w:rsidRDefault="00AB2CC7" w:rsidP="00E4620C">
      <w:pPr>
        <w:pStyle w:val="NoSpacing"/>
        <w:jc w:val="both"/>
        <w:rPr>
          <w:rFonts w:ascii="Times New Roman" w:hAnsi="Times New Roman" w:cs="Times New Roman"/>
          <w:b/>
          <w:sz w:val="24"/>
          <w:szCs w:val="24"/>
        </w:rPr>
      </w:pPr>
    </w:p>
    <w:p w:rsidR="00AB2CC7" w:rsidRDefault="00AB2CC7" w:rsidP="00E4620C">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Versus </w:t>
      </w:r>
    </w:p>
    <w:p w:rsidR="00AB2CC7" w:rsidRDefault="00AB2CC7" w:rsidP="00E4620C">
      <w:pPr>
        <w:pStyle w:val="NoSpacing"/>
        <w:jc w:val="both"/>
        <w:rPr>
          <w:rFonts w:ascii="Times New Roman" w:hAnsi="Times New Roman" w:cs="Times New Roman"/>
          <w:b/>
          <w:sz w:val="24"/>
          <w:szCs w:val="24"/>
        </w:rPr>
      </w:pPr>
    </w:p>
    <w:p w:rsidR="00AB2CC7" w:rsidRDefault="00AB2CC7" w:rsidP="00E4620C">
      <w:pPr>
        <w:pStyle w:val="NoSpacing"/>
        <w:jc w:val="both"/>
        <w:rPr>
          <w:rFonts w:ascii="Times New Roman" w:hAnsi="Times New Roman" w:cs="Times New Roman"/>
          <w:b/>
          <w:sz w:val="24"/>
          <w:szCs w:val="24"/>
        </w:rPr>
      </w:pPr>
    </w:p>
    <w:p w:rsidR="00AB2CC7" w:rsidRDefault="00AB2CC7" w:rsidP="00E4620C">
      <w:pPr>
        <w:pStyle w:val="NoSpacing"/>
        <w:jc w:val="both"/>
        <w:rPr>
          <w:rFonts w:ascii="Times New Roman" w:hAnsi="Times New Roman" w:cs="Times New Roman"/>
          <w:sz w:val="24"/>
          <w:szCs w:val="24"/>
        </w:rPr>
      </w:pPr>
      <w:r>
        <w:rPr>
          <w:rFonts w:ascii="Times New Roman" w:hAnsi="Times New Roman" w:cs="Times New Roman"/>
          <w:b/>
          <w:sz w:val="24"/>
          <w:szCs w:val="24"/>
        </w:rPr>
        <w:t>THE STATE</w:t>
      </w:r>
    </w:p>
    <w:p w:rsidR="00AB2CC7" w:rsidRDefault="00AB2CC7" w:rsidP="00E4620C">
      <w:pPr>
        <w:pStyle w:val="NoSpacing"/>
        <w:jc w:val="both"/>
        <w:rPr>
          <w:rFonts w:ascii="Times New Roman" w:hAnsi="Times New Roman" w:cs="Times New Roman"/>
          <w:sz w:val="24"/>
          <w:szCs w:val="24"/>
        </w:rPr>
      </w:pPr>
    </w:p>
    <w:p w:rsidR="00AB2CC7" w:rsidRDefault="00AB2CC7" w:rsidP="00E4620C">
      <w:pPr>
        <w:pStyle w:val="NoSpacing"/>
        <w:jc w:val="both"/>
        <w:rPr>
          <w:rFonts w:ascii="Times New Roman" w:hAnsi="Times New Roman" w:cs="Times New Roman"/>
          <w:sz w:val="24"/>
          <w:szCs w:val="24"/>
        </w:rPr>
      </w:pPr>
      <w:r>
        <w:rPr>
          <w:rFonts w:ascii="Times New Roman" w:hAnsi="Times New Roman" w:cs="Times New Roman"/>
          <w:sz w:val="24"/>
          <w:szCs w:val="24"/>
        </w:rPr>
        <w:t>IN THE HIGH COURT OF ZIMBABWE</w:t>
      </w:r>
    </w:p>
    <w:p w:rsidR="00AB2CC7" w:rsidRDefault="00AB2CC7" w:rsidP="00E4620C">
      <w:pPr>
        <w:pStyle w:val="NoSpacing"/>
        <w:jc w:val="both"/>
        <w:rPr>
          <w:rFonts w:ascii="Times New Roman" w:hAnsi="Times New Roman" w:cs="Times New Roman"/>
          <w:sz w:val="24"/>
          <w:szCs w:val="24"/>
        </w:rPr>
      </w:pPr>
      <w:r>
        <w:rPr>
          <w:rFonts w:ascii="Times New Roman" w:hAnsi="Times New Roman" w:cs="Times New Roman"/>
          <w:sz w:val="24"/>
          <w:szCs w:val="24"/>
        </w:rPr>
        <w:t>MOYO J</w:t>
      </w:r>
    </w:p>
    <w:p w:rsidR="00AB2CC7" w:rsidRDefault="00AB2CC7" w:rsidP="00E4620C">
      <w:pPr>
        <w:pStyle w:val="NoSpacing"/>
        <w:jc w:val="both"/>
        <w:rPr>
          <w:rFonts w:ascii="Times New Roman" w:hAnsi="Times New Roman" w:cs="Times New Roman"/>
          <w:sz w:val="24"/>
          <w:szCs w:val="24"/>
        </w:rPr>
      </w:pPr>
      <w:r>
        <w:rPr>
          <w:rFonts w:ascii="Times New Roman" w:hAnsi="Times New Roman" w:cs="Times New Roman"/>
          <w:sz w:val="24"/>
          <w:szCs w:val="24"/>
        </w:rPr>
        <w:t>BULAWAYO 13 NOVEMBER 2019</w:t>
      </w:r>
    </w:p>
    <w:p w:rsidR="00AB2CC7" w:rsidRDefault="00AB2CC7" w:rsidP="00E4620C">
      <w:pPr>
        <w:pStyle w:val="NoSpacing"/>
        <w:jc w:val="both"/>
        <w:rPr>
          <w:rFonts w:ascii="Times New Roman" w:hAnsi="Times New Roman" w:cs="Times New Roman"/>
          <w:sz w:val="24"/>
          <w:szCs w:val="24"/>
        </w:rPr>
      </w:pPr>
    </w:p>
    <w:p w:rsidR="00AB2CC7" w:rsidRDefault="00AB2CC7" w:rsidP="00E4620C">
      <w:pPr>
        <w:pStyle w:val="NoSpacing"/>
        <w:jc w:val="both"/>
        <w:rPr>
          <w:rFonts w:ascii="Times New Roman" w:hAnsi="Times New Roman" w:cs="Times New Roman"/>
          <w:b/>
          <w:sz w:val="24"/>
          <w:szCs w:val="24"/>
        </w:rPr>
      </w:pPr>
    </w:p>
    <w:p w:rsidR="00AB2CC7" w:rsidRDefault="00AB2CC7" w:rsidP="00E4620C">
      <w:pPr>
        <w:pStyle w:val="NoSpacing"/>
        <w:jc w:val="both"/>
        <w:rPr>
          <w:rFonts w:ascii="Times New Roman" w:hAnsi="Times New Roman" w:cs="Times New Roman"/>
          <w:b/>
          <w:sz w:val="24"/>
          <w:szCs w:val="24"/>
        </w:rPr>
      </w:pPr>
      <w:r>
        <w:rPr>
          <w:rFonts w:ascii="Times New Roman" w:hAnsi="Times New Roman" w:cs="Times New Roman"/>
          <w:b/>
          <w:sz w:val="24"/>
          <w:szCs w:val="24"/>
        </w:rPr>
        <w:t>Bail Application</w:t>
      </w:r>
    </w:p>
    <w:p w:rsidR="00AB2CC7" w:rsidRDefault="00AB2CC7" w:rsidP="00E4620C">
      <w:pPr>
        <w:pStyle w:val="NoSpacing"/>
        <w:jc w:val="both"/>
        <w:rPr>
          <w:rFonts w:ascii="Times New Roman" w:hAnsi="Times New Roman" w:cs="Times New Roman"/>
          <w:b/>
          <w:sz w:val="24"/>
          <w:szCs w:val="24"/>
        </w:rPr>
      </w:pPr>
    </w:p>
    <w:p w:rsidR="00AB2CC7" w:rsidRDefault="00AB2CC7" w:rsidP="00E4620C">
      <w:pPr>
        <w:pStyle w:val="NoSpacing"/>
        <w:jc w:val="both"/>
        <w:rPr>
          <w:rFonts w:ascii="Times New Roman" w:hAnsi="Times New Roman" w:cs="Times New Roman"/>
          <w:i/>
          <w:sz w:val="24"/>
          <w:szCs w:val="24"/>
        </w:rPr>
      </w:pPr>
    </w:p>
    <w:p w:rsidR="00AB2CC7" w:rsidRDefault="00AB2CC7" w:rsidP="00E4620C">
      <w:pPr>
        <w:pStyle w:val="NoSpacing"/>
        <w:jc w:val="both"/>
        <w:rPr>
          <w:rFonts w:ascii="Times New Roman" w:hAnsi="Times New Roman" w:cs="Times New Roman"/>
          <w:i/>
          <w:sz w:val="24"/>
          <w:szCs w:val="24"/>
        </w:rPr>
      </w:pPr>
      <w:r>
        <w:rPr>
          <w:rFonts w:ascii="Times New Roman" w:hAnsi="Times New Roman" w:cs="Times New Roman"/>
          <w:i/>
          <w:sz w:val="24"/>
          <w:szCs w:val="24"/>
        </w:rPr>
        <w:t xml:space="preserve">M Nxumalo, </w:t>
      </w:r>
      <w:r w:rsidRPr="00AB2CC7">
        <w:rPr>
          <w:rFonts w:ascii="Times New Roman" w:hAnsi="Times New Roman" w:cs="Times New Roman"/>
          <w:sz w:val="24"/>
          <w:szCs w:val="24"/>
        </w:rPr>
        <w:t>for the applicant</w:t>
      </w:r>
    </w:p>
    <w:p w:rsidR="00AB2CC7" w:rsidRDefault="00AB2CC7" w:rsidP="00E4620C">
      <w:pPr>
        <w:pStyle w:val="NoSpacing"/>
        <w:jc w:val="both"/>
        <w:rPr>
          <w:rFonts w:ascii="Times New Roman" w:hAnsi="Times New Roman" w:cs="Times New Roman"/>
          <w:sz w:val="24"/>
          <w:szCs w:val="24"/>
        </w:rPr>
      </w:pPr>
      <w:r>
        <w:rPr>
          <w:rFonts w:ascii="Times New Roman" w:hAnsi="Times New Roman" w:cs="Times New Roman"/>
          <w:i/>
          <w:sz w:val="24"/>
          <w:szCs w:val="24"/>
        </w:rPr>
        <w:t xml:space="preserve">B Gundani, </w:t>
      </w:r>
      <w:r w:rsidRPr="00AB2CC7">
        <w:rPr>
          <w:rFonts w:ascii="Times New Roman" w:hAnsi="Times New Roman" w:cs="Times New Roman"/>
          <w:sz w:val="24"/>
          <w:szCs w:val="24"/>
        </w:rPr>
        <w:t>for the Respondent</w:t>
      </w:r>
    </w:p>
    <w:p w:rsidR="001D08C3" w:rsidRDefault="001D08C3" w:rsidP="00E4620C">
      <w:pPr>
        <w:jc w:val="both"/>
      </w:pPr>
    </w:p>
    <w:p w:rsidR="00AB2CC7" w:rsidRDefault="00AB2CC7" w:rsidP="00E4620C">
      <w:pPr>
        <w:spacing w:line="360" w:lineRule="auto"/>
        <w:jc w:val="both"/>
        <w:rPr>
          <w:rFonts w:ascii="Times New Roman" w:hAnsi="Times New Roman" w:cs="Times New Roman"/>
          <w:sz w:val="24"/>
          <w:szCs w:val="24"/>
        </w:rPr>
      </w:pPr>
      <w:r>
        <w:tab/>
      </w:r>
      <w:r w:rsidRPr="00AB2CC7">
        <w:rPr>
          <w:rFonts w:ascii="Times New Roman" w:hAnsi="Times New Roman" w:cs="Times New Roman"/>
          <w:b/>
          <w:sz w:val="24"/>
          <w:szCs w:val="24"/>
        </w:rPr>
        <w:t>MOYO J</w:t>
      </w:r>
      <w:r w:rsidRPr="00AB2CC7">
        <w:rPr>
          <w:rFonts w:ascii="Times New Roman" w:hAnsi="Times New Roman" w:cs="Times New Roman"/>
          <w:sz w:val="24"/>
          <w:szCs w:val="24"/>
        </w:rPr>
        <w:t>:</w:t>
      </w:r>
      <w:r w:rsidRPr="00AB2CC7">
        <w:rPr>
          <w:rFonts w:ascii="Times New Roman" w:hAnsi="Times New Roman" w:cs="Times New Roman"/>
          <w:sz w:val="24"/>
          <w:szCs w:val="24"/>
        </w:rPr>
        <w:tab/>
      </w:r>
      <w:r>
        <w:rPr>
          <w:rFonts w:ascii="Times New Roman" w:hAnsi="Times New Roman" w:cs="Times New Roman"/>
          <w:sz w:val="24"/>
          <w:szCs w:val="24"/>
        </w:rPr>
        <w:t xml:space="preserve">This is an application for bail pending appeal which I heard on 13 November 2019 and dismissed in an </w:t>
      </w:r>
      <w:r w:rsidRPr="00094F19">
        <w:rPr>
          <w:rFonts w:ascii="Times New Roman" w:hAnsi="Times New Roman" w:cs="Times New Roman"/>
          <w:i/>
          <w:sz w:val="24"/>
          <w:szCs w:val="24"/>
        </w:rPr>
        <w:t>ex tempore</w:t>
      </w:r>
      <w:r>
        <w:rPr>
          <w:rFonts w:ascii="Times New Roman" w:hAnsi="Times New Roman" w:cs="Times New Roman"/>
          <w:sz w:val="24"/>
          <w:szCs w:val="24"/>
        </w:rPr>
        <w:t xml:space="preserve"> judgment primarily for lack of prospects of success.  Applicant’s counsel has since requested for written reasons for my judgment and I provide them herein.</w:t>
      </w:r>
    </w:p>
    <w:p w:rsidR="008B7F3E" w:rsidRDefault="00AB2CC7" w:rsidP="00E4620C">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applicant was convicted of rape as defined in section 65 (1) of the Code.  The allegations were that on the 29</w:t>
      </w:r>
      <w:r w:rsidRPr="00AB2CC7">
        <w:rPr>
          <w:rFonts w:ascii="Times New Roman" w:hAnsi="Times New Roman" w:cs="Times New Roman"/>
          <w:sz w:val="24"/>
          <w:szCs w:val="24"/>
          <w:vertAlign w:val="superscript"/>
        </w:rPr>
        <w:t>th</w:t>
      </w:r>
      <w:r>
        <w:rPr>
          <w:rFonts w:ascii="Times New Roman" w:hAnsi="Times New Roman" w:cs="Times New Roman"/>
          <w:sz w:val="24"/>
          <w:szCs w:val="24"/>
        </w:rPr>
        <w:t xml:space="preserve"> of May and at </w:t>
      </w:r>
      <w:r w:rsidR="008B7F3E">
        <w:rPr>
          <w:rFonts w:ascii="Times New Roman" w:hAnsi="Times New Roman" w:cs="Times New Roman"/>
          <w:sz w:val="24"/>
          <w:szCs w:val="24"/>
        </w:rPr>
        <w:t xml:space="preserve">Maudie </w:t>
      </w:r>
      <w:r>
        <w:rPr>
          <w:rFonts w:ascii="Times New Roman" w:hAnsi="Times New Roman" w:cs="Times New Roman"/>
          <w:sz w:val="24"/>
          <w:szCs w:val="24"/>
        </w:rPr>
        <w:t>Sibanda’s homest</w:t>
      </w:r>
      <w:r w:rsidR="00E4620C">
        <w:rPr>
          <w:rFonts w:ascii="Times New Roman" w:hAnsi="Times New Roman" w:cs="Times New Roman"/>
          <w:sz w:val="24"/>
          <w:szCs w:val="24"/>
        </w:rPr>
        <w:t>ead, village 2B, Dundubala, Insu</w:t>
      </w:r>
      <w:r>
        <w:rPr>
          <w:rFonts w:ascii="Times New Roman" w:hAnsi="Times New Roman" w:cs="Times New Roman"/>
          <w:sz w:val="24"/>
          <w:szCs w:val="24"/>
        </w:rPr>
        <w:t>za, the accused unlawfully and intentionally had sexual intercourse twice with Isabel Sibanda a female juvenile age</w:t>
      </w:r>
      <w:r w:rsidR="00E4620C">
        <w:rPr>
          <w:rFonts w:ascii="Times New Roman" w:hAnsi="Times New Roman" w:cs="Times New Roman"/>
          <w:sz w:val="24"/>
          <w:szCs w:val="24"/>
        </w:rPr>
        <w:t>d 12 years and incapable of cons</w:t>
      </w:r>
      <w:r>
        <w:rPr>
          <w:rFonts w:ascii="Times New Roman" w:hAnsi="Times New Roman" w:cs="Times New Roman"/>
          <w:sz w:val="24"/>
          <w:szCs w:val="24"/>
        </w:rPr>
        <w:t xml:space="preserve">enting to such an act.  The accused and complainant were related, the accused being complainant’s uncle and they resided </w:t>
      </w:r>
      <w:r w:rsidR="008B7F3E">
        <w:rPr>
          <w:rFonts w:ascii="Times New Roman" w:hAnsi="Times New Roman" w:cs="Times New Roman"/>
          <w:sz w:val="24"/>
          <w:szCs w:val="24"/>
        </w:rPr>
        <w:t>at the s</w:t>
      </w:r>
      <w:r w:rsidR="00094F19">
        <w:rPr>
          <w:rFonts w:ascii="Times New Roman" w:hAnsi="Times New Roman" w:cs="Times New Roman"/>
          <w:sz w:val="24"/>
          <w:szCs w:val="24"/>
        </w:rPr>
        <w:t>ame homestead, that is, Maudie</w:t>
      </w:r>
      <w:r w:rsidR="008B7F3E">
        <w:rPr>
          <w:rFonts w:ascii="Times New Roman" w:hAnsi="Times New Roman" w:cs="Times New Roman"/>
          <w:sz w:val="24"/>
          <w:szCs w:val="24"/>
        </w:rPr>
        <w:t xml:space="preserve"> Sibanda’s homestead.  On the day in question the complainant and her sister Lindokuhle Sibanda were sent by their grandmother to their aunt’s place of residence.  They played at their aunt’s place until late and their grandmother then decided to go and look for them.  The complainant and her sister used a different route back home from the aunt’s place so their grandmother did not find them.  When they got to their home, the accused called them to his bedroom hut and told them that they should stay there and be silent because their grandmother wanted to assault them.</w:t>
      </w:r>
    </w:p>
    <w:p w:rsidR="00031211" w:rsidRDefault="008B7F3E" w:rsidP="00E4620C">
      <w:pPr>
        <w:spacing w:line="360" w:lineRule="auto"/>
        <w:jc w:val="both"/>
        <w:rPr>
          <w:rFonts w:ascii="Times New Roman" w:hAnsi="Times New Roman" w:cs="Times New Roman"/>
          <w:sz w:val="24"/>
          <w:szCs w:val="24"/>
        </w:rPr>
      </w:pPr>
      <w:r>
        <w:rPr>
          <w:rFonts w:ascii="Times New Roman" w:hAnsi="Times New Roman" w:cs="Times New Roman"/>
          <w:sz w:val="24"/>
          <w:szCs w:val="24"/>
        </w:rPr>
        <w:tab/>
        <w:t>When the grandmother later arrived, accused to</w:t>
      </w:r>
      <w:r w:rsidR="00094F19">
        <w:rPr>
          <w:rFonts w:ascii="Times New Roman" w:hAnsi="Times New Roman" w:cs="Times New Roman"/>
          <w:sz w:val="24"/>
          <w:szCs w:val="24"/>
        </w:rPr>
        <w:t>ld</w:t>
      </w:r>
      <w:r>
        <w:rPr>
          <w:rFonts w:ascii="Times New Roman" w:hAnsi="Times New Roman" w:cs="Times New Roman"/>
          <w:sz w:val="24"/>
          <w:szCs w:val="24"/>
        </w:rPr>
        <w:t xml:space="preserve"> her that the complainant and her sister were at their aunt’s place.  The accused then shared his bedroom hut with the </w:t>
      </w:r>
      <w:r>
        <w:rPr>
          <w:rFonts w:ascii="Times New Roman" w:hAnsi="Times New Roman" w:cs="Times New Roman"/>
          <w:sz w:val="24"/>
          <w:szCs w:val="24"/>
        </w:rPr>
        <w:lastRenderedPageBreak/>
        <w:t>complainant and her sister.  H</w:t>
      </w:r>
      <w:r w:rsidR="00094F19">
        <w:rPr>
          <w:rFonts w:ascii="Times New Roman" w:hAnsi="Times New Roman" w:cs="Times New Roman"/>
          <w:sz w:val="24"/>
          <w:szCs w:val="24"/>
        </w:rPr>
        <w:t>e slept next to the complainant</w:t>
      </w:r>
      <w:r>
        <w:rPr>
          <w:rFonts w:ascii="Times New Roman" w:hAnsi="Times New Roman" w:cs="Times New Roman"/>
          <w:sz w:val="24"/>
          <w:szCs w:val="24"/>
        </w:rPr>
        <w:t>.  The accused then had sexual intercourse with the complainant without her consent.  The accused had sexual intercourse again later in the night with the complainant without her consent.  The matter cam</w:t>
      </w:r>
      <w:r w:rsidR="0025332D">
        <w:rPr>
          <w:rFonts w:ascii="Times New Roman" w:hAnsi="Times New Roman" w:cs="Times New Roman"/>
          <w:sz w:val="24"/>
          <w:szCs w:val="24"/>
        </w:rPr>
        <w:t>e</w:t>
      </w:r>
      <w:r>
        <w:rPr>
          <w:rFonts w:ascii="Times New Roman" w:hAnsi="Times New Roman" w:cs="Times New Roman"/>
          <w:sz w:val="24"/>
          <w:szCs w:val="24"/>
        </w:rPr>
        <w:t xml:space="preserve"> out on 30 May 2015 when the complainant’s grandmother asked the complainant where </w:t>
      </w:r>
      <w:r w:rsidR="00031211">
        <w:rPr>
          <w:rFonts w:ascii="Times New Roman" w:hAnsi="Times New Roman" w:cs="Times New Roman"/>
          <w:sz w:val="24"/>
          <w:szCs w:val="24"/>
        </w:rPr>
        <w:t>they had slept and the complainant then told her aunt the allegations that accused raped her.  The accused person in his defence stated that he shared the bedroom hut with the children but did not rape the complainant and that their grandmother beat them up and forced them to lie</w:t>
      </w:r>
      <w:r w:rsidR="00E4620C">
        <w:rPr>
          <w:rFonts w:ascii="Times New Roman" w:hAnsi="Times New Roman" w:cs="Times New Roman"/>
          <w:sz w:val="24"/>
          <w:szCs w:val="24"/>
        </w:rPr>
        <w:t xml:space="preserve"> against him </w:t>
      </w:r>
      <w:r w:rsidR="00031211">
        <w:rPr>
          <w:rFonts w:ascii="Times New Roman" w:hAnsi="Times New Roman" w:cs="Times New Roman"/>
          <w:sz w:val="24"/>
          <w:szCs w:val="24"/>
        </w:rPr>
        <w:t>because he had accommodated the children at night in his bedroom hut.  In his notice of appeal, the applicant raised the following issues:</w:t>
      </w:r>
    </w:p>
    <w:p w:rsidR="00AB2CC7" w:rsidRDefault="00031211" w:rsidP="00E4620C">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court </w:t>
      </w:r>
      <w:r w:rsidRPr="00031211">
        <w:rPr>
          <w:rFonts w:ascii="Times New Roman" w:hAnsi="Times New Roman" w:cs="Times New Roman"/>
          <w:i/>
          <w:sz w:val="24"/>
          <w:szCs w:val="24"/>
        </w:rPr>
        <w:t>a quo</w:t>
      </w:r>
      <w:r>
        <w:rPr>
          <w:rFonts w:ascii="Times New Roman" w:hAnsi="Times New Roman" w:cs="Times New Roman"/>
          <w:sz w:val="24"/>
          <w:szCs w:val="24"/>
        </w:rPr>
        <w:t xml:space="preserve"> erred by basing its conviction on the evidence of a single child in circumstances where the trial court is not shown to have been alive to the need to exercise caution in evaluating such evidence, given the dangers attendant to the acceptance of single witness evidence in sexual offences</w:t>
      </w:r>
      <w:r w:rsidR="00E4620C">
        <w:rPr>
          <w:rFonts w:ascii="Times New Roman" w:hAnsi="Times New Roman" w:cs="Times New Roman"/>
          <w:sz w:val="24"/>
          <w:szCs w:val="24"/>
        </w:rPr>
        <w:t>.  This issue has not been married</w:t>
      </w:r>
      <w:r>
        <w:rPr>
          <w:rFonts w:ascii="Times New Roman" w:hAnsi="Times New Roman" w:cs="Times New Roman"/>
          <w:sz w:val="24"/>
          <w:szCs w:val="24"/>
        </w:rPr>
        <w:t xml:space="preserve"> to the facts in the court record by applicant’s counsel in his own submission.</w:t>
      </w:r>
      <w:r w:rsidR="008B7F3E" w:rsidRPr="00031211">
        <w:rPr>
          <w:rFonts w:ascii="Times New Roman" w:hAnsi="Times New Roman" w:cs="Times New Roman"/>
          <w:sz w:val="24"/>
          <w:szCs w:val="24"/>
        </w:rPr>
        <w:t xml:space="preserve"> </w:t>
      </w:r>
      <w:r w:rsidR="00AB2CC7" w:rsidRPr="00031211">
        <w:rPr>
          <w:rFonts w:ascii="Times New Roman" w:hAnsi="Times New Roman" w:cs="Times New Roman"/>
          <w:sz w:val="24"/>
          <w:szCs w:val="24"/>
        </w:rPr>
        <w:t xml:space="preserve"> </w:t>
      </w:r>
    </w:p>
    <w:p w:rsidR="008A0728" w:rsidRDefault="00BF2372" w:rsidP="00E4620C">
      <w:pPr>
        <w:spacing w:line="360" w:lineRule="auto"/>
        <w:ind w:firstLine="720"/>
        <w:jc w:val="both"/>
        <w:rPr>
          <w:rFonts w:ascii="Times New Roman" w:hAnsi="Times New Roman" w:cs="Times New Roman"/>
          <w:sz w:val="24"/>
          <w:szCs w:val="24"/>
        </w:rPr>
      </w:pPr>
      <w:r w:rsidRPr="00BF2372">
        <w:rPr>
          <w:rFonts w:ascii="Times New Roman" w:hAnsi="Times New Roman" w:cs="Times New Roman"/>
          <w:sz w:val="24"/>
          <w:szCs w:val="24"/>
        </w:rPr>
        <w:t>In any event it is trite that in criminal la</w:t>
      </w:r>
      <w:r w:rsidR="00E4620C">
        <w:rPr>
          <w:rFonts w:ascii="Times New Roman" w:hAnsi="Times New Roman" w:cs="Times New Roman"/>
          <w:sz w:val="24"/>
          <w:szCs w:val="24"/>
        </w:rPr>
        <w:t>w, a court can competently convict</w:t>
      </w:r>
      <w:r w:rsidRPr="00BF2372">
        <w:rPr>
          <w:rFonts w:ascii="Times New Roman" w:hAnsi="Times New Roman" w:cs="Times New Roman"/>
          <w:sz w:val="24"/>
          <w:szCs w:val="24"/>
        </w:rPr>
        <w:t xml:space="preserve"> on the evidence of a single witness especially where there is corroboration like in this case.  The medical report does corroborate</w:t>
      </w:r>
      <w:r>
        <w:rPr>
          <w:rFonts w:ascii="Times New Roman" w:hAnsi="Times New Roman" w:cs="Times New Roman"/>
          <w:sz w:val="24"/>
          <w:szCs w:val="24"/>
        </w:rPr>
        <w:t xml:space="preserve"> the sexual complaint as there are tears in the hymen and the doctor concluded that penetration was effected.  Lindokuhle Sibanda corroborates complainant’s evidence that they slept in accused’s bedroom and that they were beaten for that.  However</w:t>
      </w:r>
      <w:r w:rsidR="00E4620C">
        <w:rPr>
          <w:rFonts w:ascii="Times New Roman" w:hAnsi="Times New Roman" w:cs="Times New Roman"/>
          <w:sz w:val="24"/>
          <w:szCs w:val="24"/>
        </w:rPr>
        <w:t>,</w:t>
      </w:r>
      <w:r>
        <w:rPr>
          <w:rFonts w:ascii="Times New Roman" w:hAnsi="Times New Roman" w:cs="Times New Roman"/>
          <w:sz w:val="24"/>
          <w:szCs w:val="24"/>
        </w:rPr>
        <w:t xml:space="preserve"> her evidence vitiates collusion in that she does not then say she witnessed the rape, which she certainly did not witness as she was asleep.  Lindokuhle even says she does not know why accused was arrested by the police.  At page 31 of the court record, the learned magistrate carefully examines complainant’s evidence.  I do not know whether defence counsel wanted the learned magistrate to state that </w:t>
      </w:r>
      <w:r w:rsidR="00E9140E">
        <w:rPr>
          <w:rFonts w:ascii="Times New Roman" w:hAnsi="Times New Roman" w:cs="Times New Roman"/>
          <w:sz w:val="24"/>
          <w:szCs w:val="24"/>
        </w:rPr>
        <w:t>“</w:t>
      </w:r>
      <w:r>
        <w:rPr>
          <w:rFonts w:ascii="Times New Roman" w:hAnsi="Times New Roman" w:cs="Times New Roman"/>
          <w:sz w:val="24"/>
          <w:szCs w:val="24"/>
        </w:rPr>
        <w:t>I a</w:t>
      </w:r>
      <w:r w:rsidR="008A0728">
        <w:rPr>
          <w:rFonts w:ascii="Times New Roman" w:hAnsi="Times New Roman" w:cs="Times New Roman"/>
          <w:sz w:val="24"/>
          <w:szCs w:val="24"/>
        </w:rPr>
        <w:t xml:space="preserve">m now hereby exercising caution, as exercising caution is a careful exam </w:t>
      </w:r>
      <w:r w:rsidR="00E9140E">
        <w:rPr>
          <w:rFonts w:ascii="Times New Roman" w:hAnsi="Times New Roman" w:cs="Times New Roman"/>
          <w:sz w:val="24"/>
          <w:szCs w:val="24"/>
        </w:rPr>
        <w:t xml:space="preserve">in action </w:t>
      </w:r>
      <w:r w:rsidR="008A0728">
        <w:rPr>
          <w:rFonts w:ascii="Times New Roman" w:hAnsi="Times New Roman" w:cs="Times New Roman"/>
          <w:sz w:val="24"/>
          <w:szCs w:val="24"/>
        </w:rPr>
        <w:t>of th</w:t>
      </w:r>
      <w:r w:rsidR="00E4620C">
        <w:rPr>
          <w:rFonts w:ascii="Times New Roman" w:hAnsi="Times New Roman" w:cs="Times New Roman"/>
          <w:sz w:val="24"/>
          <w:szCs w:val="24"/>
        </w:rPr>
        <w:t>e facts and not necessarily mentioning that term.</w:t>
      </w:r>
      <w:r w:rsidR="00E9140E">
        <w:rPr>
          <w:rFonts w:ascii="Times New Roman" w:hAnsi="Times New Roman" w:cs="Times New Roman"/>
          <w:sz w:val="24"/>
          <w:szCs w:val="24"/>
        </w:rPr>
        <w:t>”</w:t>
      </w:r>
      <w:r w:rsidR="00E4620C">
        <w:rPr>
          <w:rFonts w:ascii="Times New Roman" w:hAnsi="Times New Roman" w:cs="Times New Roman"/>
          <w:sz w:val="24"/>
          <w:szCs w:val="24"/>
        </w:rPr>
        <w:t xml:space="preserve"> </w:t>
      </w:r>
      <w:r w:rsidR="008A0728">
        <w:rPr>
          <w:rFonts w:ascii="Times New Roman" w:hAnsi="Times New Roman" w:cs="Times New Roman"/>
          <w:sz w:val="24"/>
          <w:szCs w:val="24"/>
        </w:rPr>
        <w:t xml:space="preserve"> In any event, there is corroboration by the medical affidavit.</w:t>
      </w:r>
    </w:p>
    <w:p w:rsidR="00D8392B" w:rsidRDefault="008A0728" w:rsidP="00E462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ground of appeal is that the court erred</w:t>
      </w:r>
      <w:r w:rsidR="00354EBB">
        <w:rPr>
          <w:rFonts w:ascii="Times New Roman" w:hAnsi="Times New Roman" w:cs="Times New Roman"/>
          <w:sz w:val="24"/>
          <w:szCs w:val="24"/>
        </w:rPr>
        <w:t xml:space="preserve"> by convicting where a complai</w:t>
      </w:r>
      <w:r>
        <w:rPr>
          <w:rFonts w:ascii="Times New Roman" w:hAnsi="Times New Roman" w:cs="Times New Roman"/>
          <w:sz w:val="24"/>
          <w:szCs w:val="24"/>
        </w:rPr>
        <w:t xml:space="preserve">nt was extracted through prompting, probing questioning and physical violence.  I am not convinced that these 4 terms used by applicant’s counsel as the means to extract the complaint have all been proven factually in the court record.  The complainant’s testimony at </w:t>
      </w:r>
      <w:r>
        <w:rPr>
          <w:rFonts w:ascii="Times New Roman" w:hAnsi="Times New Roman" w:cs="Times New Roman"/>
          <w:sz w:val="24"/>
          <w:szCs w:val="24"/>
        </w:rPr>
        <w:lastRenderedPageBreak/>
        <w:t xml:space="preserve">page 6 of the court proceedings in the court </w:t>
      </w:r>
      <w:r w:rsidRPr="00F34491">
        <w:rPr>
          <w:rFonts w:ascii="Times New Roman" w:hAnsi="Times New Roman" w:cs="Times New Roman"/>
          <w:i/>
          <w:sz w:val="24"/>
          <w:szCs w:val="24"/>
        </w:rPr>
        <w:t>a quo</w:t>
      </w:r>
      <w:r>
        <w:rPr>
          <w:rFonts w:ascii="Times New Roman" w:hAnsi="Times New Roman" w:cs="Times New Roman"/>
          <w:sz w:val="24"/>
          <w:szCs w:val="24"/>
        </w:rPr>
        <w:t xml:space="preserve"> shows that the granny assaulted the complainant to reveal where t</w:t>
      </w:r>
      <w:r w:rsidR="00F34491">
        <w:rPr>
          <w:rFonts w:ascii="Times New Roman" w:hAnsi="Times New Roman" w:cs="Times New Roman"/>
          <w:sz w:val="24"/>
          <w:szCs w:val="24"/>
        </w:rPr>
        <w:t>hey had put up for the night n</w:t>
      </w:r>
      <w:r>
        <w:rPr>
          <w:rFonts w:ascii="Times New Roman" w:hAnsi="Times New Roman" w:cs="Times New Roman"/>
          <w:sz w:val="24"/>
          <w:szCs w:val="24"/>
        </w:rPr>
        <w:t>ot to reveal what happened to them.  These in my view are 2 different things that defence counsel unnecessarily wants to bundle together to create confusion.  The aunt (and not the grandmother then asked if they had just slept in accused’s room).  She then told her what accused had</w:t>
      </w:r>
      <w:r w:rsidR="00F34491">
        <w:rPr>
          <w:rFonts w:ascii="Times New Roman" w:hAnsi="Times New Roman" w:cs="Times New Roman"/>
          <w:sz w:val="24"/>
          <w:szCs w:val="24"/>
        </w:rPr>
        <w:t xml:space="preserve"> done to her during the night.  </w:t>
      </w:r>
      <w:r>
        <w:rPr>
          <w:rFonts w:ascii="Times New Roman" w:hAnsi="Times New Roman" w:cs="Times New Roman"/>
          <w:sz w:val="24"/>
          <w:szCs w:val="24"/>
        </w:rPr>
        <w:t>I have not seen</w:t>
      </w:r>
      <w:r w:rsidR="00D8392B">
        <w:rPr>
          <w:rFonts w:ascii="Times New Roman" w:hAnsi="Times New Roman" w:cs="Times New Roman"/>
          <w:sz w:val="24"/>
          <w:szCs w:val="24"/>
        </w:rPr>
        <w:t xml:space="preserve"> from these facts, probing, prompting, physical violence </w:t>
      </w:r>
      <w:r w:rsidR="00E4620C">
        <w:rPr>
          <w:rFonts w:ascii="Times New Roman" w:hAnsi="Times New Roman" w:cs="Times New Roman"/>
          <w:sz w:val="24"/>
          <w:szCs w:val="24"/>
        </w:rPr>
        <w:t>used to extract the complaint, that is, i</w:t>
      </w:r>
      <w:r w:rsidR="00D8392B">
        <w:rPr>
          <w:rFonts w:ascii="Times New Roman" w:hAnsi="Times New Roman" w:cs="Times New Roman"/>
          <w:sz w:val="24"/>
          <w:szCs w:val="24"/>
        </w:rPr>
        <w:t>f the court r</w:t>
      </w:r>
      <w:r w:rsidR="00F34491">
        <w:rPr>
          <w:rFonts w:ascii="Times New Roman" w:hAnsi="Times New Roman" w:cs="Times New Roman"/>
          <w:sz w:val="24"/>
          <w:szCs w:val="24"/>
        </w:rPr>
        <w:t>e</w:t>
      </w:r>
      <w:r w:rsidR="00D8392B">
        <w:rPr>
          <w:rFonts w:ascii="Times New Roman" w:hAnsi="Times New Roman" w:cs="Times New Roman"/>
          <w:sz w:val="24"/>
          <w:szCs w:val="24"/>
        </w:rPr>
        <w:t>cord were to be taken for what it is.  Even Lindokuhle told the court that they were beaten for putting up in accused’s bedroom.</w:t>
      </w:r>
    </w:p>
    <w:p w:rsidR="00867A0D" w:rsidRDefault="00D8392B" w:rsidP="00E462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case of </w:t>
      </w:r>
      <w:r w:rsidRPr="00F34491">
        <w:rPr>
          <w:rFonts w:ascii="Times New Roman" w:hAnsi="Times New Roman" w:cs="Times New Roman"/>
          <w:i/>
          <w:sz w:val="24"/>
          <w:szCs w:val="24"/>
        </w:rPr>
        <w:t>Mandebvu</w:t>
      </w:r>
      <w:r>
        <w:rPr>
          <w:rFonts w:ascii="Times New Roman" w:hAnsi="Times New Roman" w:cs="Times New Roman"/>
          <w:sz w:val="24"/>
          <w:szCs w:val="24"/>
        </w:rPr>
        <w:t xml:space="preserve"> v </w:t>
      </w:r>
      <w:r w:rsidRPr="00F34491">
        <w:rPr>
          <w:rFonts w:ascii="Times New Roman" w:hAnsi="Times New Roman" w:cs="Times New Roman"/>
          <w:i/>
          <w:sz w:val="24"/>
          <w:szCs w:val="24"/>
        </w:rPr>
        <w:t>The State</w:t>
      </w:r>
      <w:r>
        <w:rPr>
          <w:rFonts w:ascii="Times New Roman" w:hAnsi="Times New Roman" w:cs="Times New Roman"/>
          <w:sz w:val="24"/>
          <w:szCs w:val="24"/>
        </w:rPr>
        <w:t xml:space="preserve"> HH 96-11 the accused was convicted of 2 counts of having sexual intercourse with a minor.  He appealed against conviction and sentence.  The complainant and accused were related and lived in the same house together.  The complainant was a quiet and reserved person.  A</w:t>
      </w:r>
      <w:r w:rsidR="00E4620C">
        <w:rPr>
          <w:rFonts w:ascii="Times New Roman" w:hAnsi="Times New Roman" w:cs="Times New Roman"/>
          <w:sz w:val="24"/>
          <w:szCs w:val="24"/>
        </w:rPr>
        <w:t>lmost a year after the incident</w:t>
      </w:r>
      <w:r>
        <w:rPr>
          <w:rFonts w:ascii="Times New Roman" w:hAnsi="Times New Roman" w:cs="Times New Roman"/>
          <w:sz w:val="24"/>
          <w:szCs w:val="24"/>
        </w:rPr>
        <w:t xml:space="preserve"> in question, she reported the abuse to her former school teacher but did not disclose </w:t>
      </w:r>
      <w:r w:rsidR="00E4620C">
        <w:rPr>
          <w:rFonts w:ascii="Times New Roman" w:hAnsi="Times New Roman" w:cs="Times New Roman"/>
          <w:sz w:val="24"/>
          <w:szCs w:val="24"/>
        </w:rPr>
        <w:t xml:space="preserve">the </w:t>
      </w:r>
      <w:r>
        <w:rPr>
          <w:rFonts w:ascii="Times New Roman" w:hAnsi="Times New Roman" w:cs="Times New Roman"/>
          <w:sz w:val="24"/>
          <w:szCs w:val="24"/>
        </w:rPr>
        <w:t xml:space="preserve">perpetrator’s identity.  The teacher in turn reported the matter to the police resulting in appellant’s arrest.  The complainant was a single witness.  Accused argued that complainant was not credible because she delayed to make the report and also cited inconsistency in her evidence.  The court held </w:t>
      </w:r>
      <w:r w:rsidR="00E4620C">
        <w:rPr>
          <w:rFonts w:ascii="Times New Roman" w:hAnsi="Times New Roman" w:cs="Times New Roman"/>
          <w:sz w:val="24"/>
          <w:szCs w:val="24"/>
        </w:rPr>
        <w:t>that it is permissible to convict</w:t>
      </w:r>
      <w:r>
        <w:rPr>
          <w:rFonts w:ascii="Times New Roman" w:hAnsi="Times New Roman" w:cs="Times New Roman"/>
          <w:sz w:val="24"/>
          <w:szCs w:val="24"/>
        </w:rPr>
        <w:t xml:space="preserve"> a person on the single evidence of a competent and credible witness as provided for in terms of section 269 of the Criminal Procedure and Evidence Act.</w:t>
      </w:r>
      <w:r w:rsidR="00867A0D">
        <w:rPr>
          <w:rFonts w:ascii="Times New Roman" w:hAnsi="Times New Roman" w:cs="Times New Roman"/>
          <w:sz w:val="24"/>
          <w:szCs w:val="24"/>
        </w:rPr>
        <w:t xml:space="preserve">  In such a case, the court held, the judicial office</w:t>
      </w:r>
      <w:r w:rsidR="00E4620C">
        <w:rPr>
          <w:rFonts w:ascii="Times New Roman" w:hAnsi="Times New Roman" w:cs="Times New Roman"/>
          <w:sz w:val="24"/>
          <w:szCs w:val="24"/>
        </w:rPr>
        <w:t>r</w:t>
      </w:r>
      <w:r w:rsidR="00867A0D">
        <w:rPr>
          <w:rFonts w:ascii="Times New Roman" w:hAnsi="Times New Roman" w:cs="Times New Roman"/>
          <w:sz w:val="24"/>
          <w:szCs w:val="24"/>
        </w:rPr>
        <w:t xml:space="preserve"> must weigh the evidence, consider its merits and demerits and decide whether it is credible despite some shortcomings or defects and make sure that he is satisfied that the truth has been told.  The court further held that the exercise of caution must not displace common sense.</w:t>
      </w:r>
    </w:p>
    <w:p w:rsidR="00BF2372" w:rsidRDefault="00E4620C" w:rsidP="00E462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held further in that case that a</w:t>
      </w:r>
      <w:r w:rsidR="00867A0D">
        <w:rPr>
          <w:rFonts w:ascii="Times New Roman" w:hAnsi="Times New Roman" w:cs="Times New Roman"/>
          <w:sz w:val="24"/>
          <w:szCs w:val="24"/>
        </w:rPr>
        <w:t xml:space="preserve"> common sense approach must be applied and if the court is convinced beyond a reasonable doubt that the truth has been told, it must convict.  Whilst corroboration is not essential, any other factor that increa</w:t>
      </w:r>
      <w:r>
        <w:rPr>
          <w:rFonts w:ascii="Times New Roman" w:hAnsi="Times New Roman" w:cs="Times New Roman"/>
          <w:sz w:val="24"/>
          <w:szCs w:val="24"/>
        </w:rPr>
        <w:t>ses the reli</w:t>
      </w:r>
      <w:r w:rsidR="009808C7">
        <w:rPr>
          <w:rFonts w:ascii="Times New Roman" w:hAnsi="Times New Roman" w:cs="Times New Roman"/>
          <w:sz w:val="24"/>
          <w:szCs w:val="24"/>
        </w:rPr>
        <w:t>ability</w:t>
      </w:r>
      <w:r w:rsidR="00867A0D">
        <w:rPr>
          <w:rFonts w:ascii="Times New Roman" w:hAnsi="Times New Roman" w:cs="Times New Roman"/>
          <w:sz w:val="24"/>
          <w:szCs w:val="24"/>
        </w:rPr>
        <w:t xml:space="preserve"> of the single witn</w:t>
      </w:r>
      <w:r>
        <w:rPr>
          <w:rFonts w:ascii="Times New Roman" w:hAnsi="Times New Roman" w:cs="Times New Roman"/>
          <w:sz w:val="24"/>
          <w:szCs w:val="24"/>
        </w:rPr>
        <w:t>ess may also overcome caution</w:t>
      </w:r>
      <w:r w:rsidR="00867A0D">
        <w:rPr>
          <w:rFonts w:ascii="Times New Roman" w:hAnsi="Times New Roman" w:cs="Times New Roman"/>
          <w:sz w:val="24"/>
          <w:szCs w:val="24"/>
        </w:rPr>
        <w:t>.  In that case, the court confirmed the conviction.</w:t>
      </w:r>
      <w:r w:rsidR="00D8392B">
        <w:rPr>
          <w:rFonts w:ascii="Times New Roman" w:hAnsi="Times New Roman" w:cs="Times New Roman"/>
          <w:sz w:val="24"/>
          <w:szCs w:val="24"/>
        </w:rPr>
        <w:t xml:space="preserve"> </w:t>
      </w:r>
      <w:r w:rsidR="008A0728">
        <w:rPr>
          <w:rFonts w:ascii="Times New Roman" w:hAnsi="Times New Roman" w:cs="Times New Roman"/>
          <w:sz w:val="24"/>
          <w:szCs w:val="24"/>
        </w:rPr>
        <w:t xml:space="preserve"> </w:t>
      </w:r>
      <w:r w:rsidR="00BF2372" w:rsidRPr="00BF2372">
        <w:rPr>
          <w:rFonts w:ascii="Times New Roman" w:hAnsi="Times New Roman" w:cs="Times New Roman"/>
          <w:sz w:val="24"/>
          <w:szCs w:val="24"/>
        </w:rPr>
        <w:t xml:space="preserve"> </w:t>
      </w:r>
    </w:p>
    <w:p w:rsidR="00867A0D" w:rsidRDefault="00867A0D" w:rsidP="00E462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counsel, seems to attack the fact that a question was asked for complainant to state what happened during the night as they slept.  What he must appreciate is that, it is the totality of the evidence tendered before the court </w:t>
      </w:r>
      <w:r w:rsidRPr="009808C7">
        <w:rPr>
          <w:rFonts w:ascii="Times New Roman" w:hAnsi="Times New Roman" w:cs="Times New Roman"/>
          <w:i/>
          <w:sz w:val="24"/>
          <w:szCs w:val="24"/>
        </w:rPr>
        <w:t>a quo</w:t>
      </w:r>
      <w:r>
        <w:rPr>
          <w:rFonts w:ascii="Times New Roman" w:hAnsi="Times New Roman" w:cs="Times New Roman"/>
          <w:sz w:val="24"/>
          <w:szCs w:val="24"/>
        </w:rPr>
        <w:t xml:space="preserve"> which matters.  The question to be asked should be, given the total circumstances of the case, is there any danger of false incrimination?  Is there any danger of fabrication?  Pieces of evidence need not be </w:t>
      </w:r>
      <w:r>
        <w:rPr>
          <w:rFonts w:ascii="Times New Roman" w:hAnsi="Times New Roman" w:cs="Times New Roman"/>
          <w:sz w:val="24"/>
          <w:szCs w:val="24"/>
        </w:rPr>
        <w:lastRenderedPageBreak/>
        <w:t xml:space="preserve">perfect but their </w:t>
      </w:r>
      <w:r w:rsidR="002B3A74">
        <w:rPr>
          <w:rFonts w:ascii="Times New Roman" w:hAnsi="Times New Roman" w:cs="Times New Roman"/>
          <w:sz w:val="24"/>
          <w:szCs w:val="24"/>
        </w:rPr>
        <w:t>sum total should be so as to convince a reasonable decision maker who carefully examines the facts, that indeed the accused person is guilt</w:t>
      </w:r>
      <w:r w:rsidR="00E4620C">
        <w:rPr>
          <w:rFonts w:ascii="Times New Roman" w:hAnsi="Times New Roman" w:cs="Times New Roman"/>
          <w:sz w:val="24"/>
          <w:szCs w:val="24"/>
        </w:rPr>
        <w:t xml:space="preserve">y </w:t>
      </w:r>
      <w:r w:rsidR="002B3A74">
        <w:rPr>
          <w:rFonts w:ascii="Times New Roman" w:hAnsi="Times New Roman" w:cs="Times New Roman"/>
          <w:sz w:val="24"/>
          <w:szCs w:val="24"/>
        </w:rPr>
        <w:t xml:space="preserve"> of the crime</w:t>
      </w:r>
      <w:r w:rsidR="00E4620C">
        <w:rPr>
          <w:rFonts w:ascii="Times New Roman" w:hAnsi="Times New Roman" w:cs="Times New Roman"/>
          <w:sz w:val="24"/>
          <w:szCs w:val="24"/>
        </w:rPr>
        <w:t>,</w:t>
      </w:r>
      <w:r w:rsidR="002B3A74">
        <w:rPr>
          <w:rFonts w:ascii="Times New Roman" w:hAnsi="Times New Roman" w:cs="Times New Roman"/>
          <w:sz w:val="24"/>
          <w:szCs w:val="24"/>
        </w:rPr>
        <w:t xml:space="preserve"> with which he is charged</w:t>
      </w:r>
      <w:r w:rsidR="00E4620C">
        <w:rPr>
          <w:rFonts w:ascii="Times New Roman" w:hAnsi="Times New Roman" w:cs="Times New Roman"/>
          <w:sz w:val="24"/>
          <w:szCs w:val="24"/>
        </w:rPr>
        <w:t>,</w:t>
      </w:r>
      <w:r w:rsidR="002B3A74">
        <w:rPr>
          <w:rFonts w:ascii="Times New Roman" w:hAnsi="Times New Roman" w:cs="Times New Roman"/>
          <w:sz w:val="24"/>
          <w:szCs w:val="24"/>
        </w:rPr>
        <w:t xml:space="preserve"> beyond a reasonable doubt.</w:t>
      </w:r>
    </w:p>
    <w:p w:rsidR="002B3A74" w:rsidRDefault="002B3A74" w:rsidP="00E462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my view that the sum total of the facts of this case, leave no doubt in any reasonable person’s mind, who diligently applies their mind to the case, that a crime of rape was indeed proven as alleged against the accused person.  In the South African case of </w:t>
      </w:r>
      <w:r w:rsidRPr="009808C7">
        <w:rPr>
          <w:rFonts w:ascii="Times New Roman" w:hAnsi="Times New Roman" w:cs="Times New Roman"/>
          <w:i/>
          <w:sz w:val="24"/>
          <w:szCs w:val="24"/>
        </w:rPr>
        <w:t>Sauls and others</w:t>
      </w:r>
      <w:r>
        <w:rPr>
          <w:rFonts w:ascii="Times New Roman" w:hAnsi="Times New Roman" w:cs="Times New Roman"/>
          <w:sz w:val="24"/>
          <w:szCs w:val="24"/>
        </w:rPr>
        <w:t xml:space="preserve"> 1981 (3) SA 172 an </w:t>
      </w:r>
      <w:r w:rsidR="00E4620C">
        <w:rPr>
          <w:rFonts w:ascii="Times New Roman" w:hAnsi="Times New Roman" w:cs="Times New Roman"/>
          <w:sz w:val="24"/>
          <w:szCs w:val="24"/>
        </w:rPr>
        <w:t>(</w:t>
      </w:r>
      <w:r>
        <w:rPr>
          <w:rFonts w:ascii="Times New Roman" w:hAnsi="Times New Roman" w:cs="Times New Roman"/>
          <w:sz w:val="24"/>
          <w:szCs w:val="24"/>
        </w:rPr>
        <w:t>Appellante division case,</w:t>
      </w:r>
      <w:r w:rsidR="00E4620C">
        <w:rPr>
          <w:rFonts w:ascii="Times New Roman" w:hAnsi="Times New Roman" w:cs="Times New Roman"/>
          <w:sz w:val="24"/>
          <w:szCs w:val="24"/>
        </w:rPr>
        <w:t>)</w:t>
      </w:r>
      <w:r>
        <w:rPr>
          <w:rFonts w:ascii="Times New Roman" w:hAnsi="Times New Roman" w:cs="Times New Roman"/>
          <w:sz w:val="24"/>
          <w:szCs w:val="24"/>
        </w:rPr>
        <w:t xml:space="preserve"> it was held that there was no rule of thumb to be applied when deciding upon the credibility of a single witness testimony.  The court must simply weigh the evidence and consider its merits and demerits and decide whether in its view the testimony is truthful.  The approach in Sauls case has been adopted in many cases decided in our jurisdiction.</w:t>
      </w:r>
    </w:p>
    <w:p w:rsidR="008A49D1" w:rsidRDefault="002B3A74" w:rsidP="00E462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third gro</w:t>
      </w:r>
      <w:r w:rsidR="002E02DF">
        <w:rPr>
          <w:rFonts w:ascii="Times New Roman" w:hAnsi="Times New Roman" w:cs="Times New Roman"/>
          <w:sz w:val="24"/>
          <w:szCs w:val="24"/>
        </w:rPr>
        <w:t>u</w:t>
      </w:r>
      <w:r>
        <w:rPr>
          <w:rFonts w:ascii="Times New Roman" w:hAnsi="Times New Roman" w:cs="Times New Roman"/>
          <w:sz w:val="24"/>
          <w:szCs w:val="24"/>
        </w:rPr>
        <w:t xml:space="preserve">nd of appeal is that the court </w:t>
      </w:r>
      <w:r w:rsidRPr="009808C7">
        <w:rPr>
          <w:rFonts w:ascii="Times New Roman" w:hAnsi="Times New Roman" w:cs="Times New Roman"/>
          <w:i/>
          <w:sz w:val="24"/>
          <w:szCs w:val="24"/>
        </w:rPr>
        <w:t>a quo</w:t>
      </w:r>
      <w:r>
        <w:rPr>
          <w:rFonts w:ascii="Times New Roman" w:hAnsi="Times New Roman" w:cs="Times New Roman"/>
          <w:sz w:val="24"/>
          <w:szCs w:val="24"/>
        </w:rPr>
        <w:t xml:space="preserve"> failed to appreciate the danger of subst</w:t>
      </w:r>
      <w:r w:rsidR="008A49D1">
        <w:rPr>
          <w:rFonts w:ascii="Times New Roman" w:hAnsi="Times New Roman" w:cs="Times New Roman"/>
          <w:sz w:val="24"/>
          <w:szCs w:val="24"/>
        </w:rPr>
        <w:t>itution of the real culprit by the complainant acting at the instance and inducement of persons who forced a report out of her.  I have not seen the facts in the court record to back</w:t>
      </w:r>
      <w:r w:rsidR="00E4620C">
        <w:rPr>
          <w:rFonts w:ascii="Times New Roman" w:hAnsi="Times New Roman" w:cs="Times New Roman"/>
          <w:sz w:val="24"/>
          <w:szCs w:val="24"/>
        </w:rPr>
        <w:t xml:space="preserve"> up this ground. </w:t>
      </w:r>
      <w:r w:rsidR="008A49D1">
        <w:rPr>
          <w:rFonts w:ascii="Times New Roman" w:hAnsi="Times New Roman" w:cs="Times New Roman"/>
          <w:sz w:val="24"/>
          <w:szCs w:val="24"/>
        </w:rPr>
        <w:t xml:space="preserve">  It is a ground that is not</w:t>
      </w:r>
      <w:r w:rsidR="00D51EDD">
        <w:rPr>
          <w:rFonts w:ascii="Times New Roman" w:hAnsi="Times New Roman" w:cs="Times New Roman"/>
          <w:sz w:val="24"/>
          <w:szCs w:val="24"/>
        </w:rPr>
        <w:t xml:space="preserve"> factually based within the 4 corners of the record. </w:t>
      </w:r>
    </w:p>
    <w:p w:rsidR="008A49D1" w:rsidRDefault="008A49D1" w:rsidP="00E462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Ground 4 and 5 are dealt with in my analysis of the 1</w:t>
      </w:r>
      <w:r w:rsidRPr="008A49D1">
        <w:rPr>
          <w:rFonts w:ascii="Times New Roman" w:hAnsi="Times New Roman" w:cs="Times New Roman"/>
          <w:sz w:val="24"/>
          <w:szCs w:val="24"/>
          <w:vertAlign w:val="superscript"/>
        </w:rPr>
        <w:t>st</w:t>
      </w:r>
      <w:r>
        <w:rPr>
          <w:rFonts w:ascii="Times New Roman" w:hAnsi="Times New Roman" w:cs="Times New Roman"/>
          <w:sz w:val="24"/>
          <w:szCs w:val="24"/>
        </w:rPr>
        <w:t xml:space="preserve"> ground as they deal with the court’s failure to assess complainant’s testimony properly and thereby arriving at a wrong conclusion.  </w:t>
      </w:r>
      <w:r w:rsidR="00D51EDD">
        <w:rPr>
          <w:rFonts w:ascii="Times New Roman" w:hAnsi="Times New Roman" w:cs="Times New Roman"/>
          <w:sz w:val="24"/>
          <w:szCs w:val="24"/>
        </w:rPr>
        <w:t xml:space="preserve">I have already dealt with the probative </w:t>
      </w:r>
      <w:r>
        <w:rPr>
          <w:rFonts w:ascii="Times New Roman" w:hAnsi="Times New Roman" w:cs="Times New Roman"/>
          <w:sz w:val="24"/>
          <w:szCs w:val="24"/>
        </w:rPr>
        <w:t>value of complainant’s evidence as corroborated and I will not revisit that point.</w:t>
      </w:r>
    </w:p>
    <w:p w:rsidR="00A60565" w:rsidRDefault="008A49D1" w:rsidP="00E4620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for these reasons that I have dismissed the application for bail pending appeal.</w:t>
      </w:r>
      <w:r w:rsidR="002B3A74">
        <w:rPr>
          <w:rFonts w:ascii="Times New Roman" w:hAnsi="Times New Roman" w:cs="Times New Roman"/>
          <w:sz w:val="24"/>
          <w:szCs w:val="24"/>
        </w:rPr>
        <w:t xml:space="preserve"> </w:t>
      </w:r>
    </w:p>
    <w:p w:rsidR="00A60565" w:rsidRDefault="00A60565" w:rsidP="00E4620C">
      <w:pPr>
        <w:spacing w:line="360" w:lineRule="auto"/>
        <w:jc w:val="both"/>
        <w:rPr>
          <w:rFonts w:ascii="Times New Roman" w:hAnsi="Times New Roman" w:cs="Times New Roman"/>
          <w:sz w:val="24"/>
          <w:szCs w:val="24"/>
        </w:rPr>
      </w:pPr>
    </w:p>
    <w:p w:rsidR="00174EA5" w:rsidRDefault="00174EA5" w:rsidP="00E4620C">
      <w:pPr>
        <w:pStyle w:val="NoSpacing"/>
        <w:jc w:val="both"/>
        <w:rPr>
          <w:rFonts w:ascii="Times New Roman" w:hAnsi="Times New Roman" w:cs="Times New Roman"/>
          <w:sz w:val="24"/>
          <w:szCs w:val="24"/>
        </w:rPr>
      </w:pPr>
    </w:p>
    <w:p w:rsidR="00174EA5" w:rsidRDefault="00174EA5" w:rsidP="00E4620C">
      <w:pPr>
        <w:pStyle w:val="NoSpacing"/>
        <w:jc w:val="both"/>
        <w:rPr>
          <w:rFonts w:ascii="Times New Roman" w:hAnsi="Times New Roman" w:cs="Times New Roman"/>
          <w:sz w:val="24"/>
          <w:szCs w:val="24"/>
        </w:rPr>
      </w:pPr>
    </w:p>
    <w:p w:rsidR="00A825F1" w:rsidRPr="00A825F1" w:rsidRDefault="00A60565" w:rsidP="00E4620C">
      <w:pPr>
        <w:pStyle w:val="NoSpacing"/>
        <w:jc w:val="both"/>
        <w:rPr>
          <w:rFonts w:ascii="Times New Roman" w:hAnsi="Times New Roman" w:cs="Times New Roman"/>
          <w:sz w:val="24"/>
          <w:szCs w:val="24"/>
        </w:rPr>
      </w:pPr>
      <w:r w:rsidRPr="002165A9">
        <w:rPr>
          <w:rFonts w:ascii="Times New Roman" w:hAnsi="Times New Roman" w:cs="Times New Roman"/>
          <w:i/>
          <w:sz w:val="24"/>
          <w:szCs w:val="24"/>
        </w:rPr>
        <w:t>Ncube Attorneys</w:t>
      </w:r>
      <w:r w:rsidRPr="00A825F1">
        <w:rPr>
          <w:rFonts w:ascii="Times New Roman" w:hAnsi="Times New Roman" w:cs="Times New Roman"/>
          <w:sz w:val="24"/>
          <w:szCs w:val="24"/>
        </w:rPr>
        <w:t xml:space="preserve">, applicant’s legal </w:t>
      </w:r>
      <w:r w:rsidR="00A825F1" w:rsidRPr="00A825F1">
        <w:rPr>
          <w:rFonts w:ascii="Times New Roman" w:hAnsi="Times New Roman" w:cs="Times New Roman"/>
          <w:sz w:val="24"/>
          <w:szCs w:val="24"/>
        </w:rPr>
        <w:t>practitioners</w:t>
      </w:r>
    </w:p>
    <w:p w:rsidR="002B3A74" w:rsidRPr="00A825F1" w:rsidRDefault="00A825F1" w:rsidP="00E4620C">
      <w:pPr>
        <w:pStyle w:val="NoSpacing"/>
        <w:jc w:val="both"/>
        <w:rPr>
          <w:rFonts w:ascii="Times New Roman" w:hAnsi="Times New Roman" w:cs="Times New Roman"/>
          <w:sz w:val="24"/>
          <w:szCs w:val="24"/>
        </w:rPr>
      </w:pPr>
      <w:r w:rsidRPr="002165A9">
        <w:rPr>
          <w:rFonts w:ascii="Times New Roman" w:hAnsi="Times New Roman" w:cs="Times New Roman"/>
          <w:i/>
          <w:sz w:val="24"/>
          <w:szCs w:val="24"/>
        </w:rPr>
        <w:t>The National Prosecuting Authority</w:t>
      </w:r>
      <w:r w:rsidRPr="00A825F1">
        <w:rPr>
          <w:rFonts w:ascii="Times New Roman" w:hAnsi="Times New Roman" w:cs="Times New Roman"/>
          <w:sz w:val="24"/>
          <w:szCs w:val="24"/>
        </w:rPr>
        <w:t>, respondent’s legal practitioners</w:t>
      </w:r>
      <w:r w:rsidR="002B3A74" w:rsidRPr="00A825F1">
        <w:rPr>
          <w:rFonts w:ascii="Times New Roman" w:hAnsi="Times New Roman" w:cs="Times New Roman"/>
          <w:sz w:val="24"/>
          <w:szCs w:val="24"/>
        </w:rPr>
        <w:t xml:space="preserve"> </w:t>
      </w:r>
    </w:p>
    <w:sectPr w:rsidR="002B3A74" w:rsidRPr="00A825F1" w:rsidSect="001D08C3">
      <w:headerReference w:type="default" r:id="rId7"/>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2EBB" w:rsidRDefault="008E2EBB" w:rsidP="00E4620C">
      <w:pPr>
        <w:spacing w:after="0" w:line="240" w:lineRule="auto"/>
      </w:pPr>
      <w:r>
        <w:separator/>
      </w:r>
    </w:p>
  </w:endnote>
  <w:endnote w:type="continuationSeparator" w:id="1">
    <w:p w:rsidR="008E2EBB" w:rsidRDefault="008E2EBB" w:rsidP="00E462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2EBB" w:rsidRDefault="008E2EBB" w:rsidP="00E4620C">
      <w:pPr>
        <w:spacing w:after="0" w:line="240" w:lineRule="auto"/>
      </w:pPr>
      <w:r>
        <w:separator/>
      </w:r>
    </w:p>
  </w:footnote>
  <w:footnote w:type="continuationSeparator" w:id="1">
    <w:p w:rsidR="008E2EBB" w:rsidRDefault="008E2EBB" w:rsidP="00E462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06117"/>
      <w:docPartObj>
        <w:docPartGallery w:val="Page Numbers (Top of Page)"/>
        <w:docPartUnique/>
      </w:docPartObj>
    </w:sdtPr>
    <w:sdtEndPr>
      <w:rPr>
        <w:rFonts w:ascii="Times New Roman" w:hAnsi="Times New Roman" w:cs="Times New Roman"/>
        <w:sz w:val="24"/>
        <w:szCs w:val="24"/>
      </w:rPr>
    </w:sdtEndPr>
    <w:sdtContent>
      <w:p w:rsidR="00E4620C" w:rsidRPr="00E4620C" w:rsidRDefault="00735926">
        <w:pPr>
          <w:pStyle w:val="Header"/>
          <w:jc w:val="right"/>
          <w:rPr>
            <w:rFonts w:ascii="Times New Roman" w:hAnsi="Times New Roman" w:cs="Times New Roman"/>
            <w:sz w:val="24"/>
            <w:szCs w:val="24"/>
          </w:rPr>
        </w:pPr>
        <w:r w:rsidRPr="00E4620C">
          <w:rPr>
            <w:rFonts w:ascii="Times New Roman" w:hAnsi="Times New Roman" w:cs="Times New Roman"/>
            <w:sz w:val="24"/>
            <w:szCs w:val="24"/>
          </w:rPr>
          <w:fldChar w:fldCharType="begin"/>
        </w:r>
        <w:r w:rsidR="00E4620C" w:rsidRPr="00E4620C">
          <w:rPr>
            <w:rFonts w:ascii="Times New Roman" w:hAnsi="Times New Roman" w:cs="Times New Roman"/>
            <w:sz w:val="24"/>
            <w:szCs w:val="24"/>
          </w:rPr>
          <w:instrText xml:space="preserve"> PAGE   \* MERGEFORMAT </w:instrText>
        </w:r>
        <w:r w:rsidRPr="00E4620C">
          <w:rPr>
            <w:rFonts w:ascii="Times New Roman" w:hAnsi="Times New Roman" w:cs="Times New Roman"/>
            <w:sz w:val="24"/>
            <w:szCs w:val="24"/>
          </w:rPr>
          <w:fldChar w:fldCharType="separate"/>
        </w:r>
        <w:r w:rsidR="00E9140E">
          <w:rPr>
            <w:rFonts w:ascii="Times New Roman" w:hAnsi="Times New Roman" w:cs="Times New Roman"/>
            <w:noProof/>
            <w:sz w:val="24"/>
            <w:szCs w:val="24"/>
          </w:rPr>
          <w:t>2</w:t>
        </w:r>
        <w:r w:rsidRPr="00E4620C">
          <w:rPr>
            <w:rFonts w:ascii="Times New Roman" w:hAnsi="Times New Roman" w:cs="Times New Roman"/>
            <w:sz w:val="24"/>
            <w:szCs w:val="24"/>
          </w:rPr>
          <w:fldChar w:fldCharType="end"/>
        </w:r>
      </w:p>
      <w:p w:rsidR="00E4620C" w:rsidRPr="00E4620C" w:rsidRDefault="00E4620C">
        <w:pPr>
          <w:pStyle w:val="Header"/>
          <w:jc w:val="right"/>
          <w:rPr>
            <w:rFonts w:ascii="Times New Roman" w:hAnsi="Times New Roman" w:cs="Times New Roman"/>
            <w:sz w:val="24"/>
            <w:szCs w:val="24"/>
          </w:rPr>
        </w:pPr>
        <w:r w:rsidRPr="00E4620C">
          <w:rPr>
            <w:rFonts w:ascii="Times New Roman" w:hAnsi="Times New Roman" w:cs="Times New Roman"/>
            <w:sz w:val="24"/>
            <w:szCs w:val="24"/>
          </w:rPr>
          <w:t>HB 08.20</w:t>
        </w:r>
      </w:p>
      <w:p w:rsidR="00E4620C" w:rsidRPr="00E4620C" w:rsidRDefault="00E4620C">
        <w:pPr>
          <w:pStyle w:val="Header"/>
          <w:jc w:val="right"/>
          <w:rPr>
            <w:rFonts w:ascii="Times New Roman" w:hAnsi="Times New Roman" w:cs="Times New Roman"/>
            <w:sz w:val="24"/>
            <w:szCs w:val="24"/>
          </w:rPr>
        </w:pPr>
        <w:r w:rsidRPr="00E4620C">
          <w:rPr>
            <w:rFonts w:ascii="Times New Roman" w:hAnsi="Times New Roman" w:cs="Times New Roman"/>
            <w:sz w:val="24"/>
            <w:szCs w:val="24"/>
          </w:rPr>
          <w:t>HCB 290/19</w:t>
        </w:r>
      </w:p>
      <w:p w:rsidR="00E4620C" w:rsidRPr="00E4620C" w:rsidRDefault="00735926">
        <w:pPr>
          <w:pStyle w:val="Header"/>
          <w:jc w:val="right"/>
          <w:rPr>
            <w:rFonts w:ascii="Times New Roman" w:hAnsi="Times New Roman" w:cs="Times New Roman"/>
            <w:sz w:val="24"/>
            <w:szCs w:val="24"/>
          </w:rPr>
        </w:pPr>
      </w:p>
    </w:sdtContent>
  </w:sdt>
  <w:p w:rsidR="00E4620C" w:rsidRDefault="00E4620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703DAA"/>
    <w:multiLevelType w:val="hybridMultilevel"/>
    <w:tmpl w:val="CC72C3D2"/>
    <w:lvl w:ilvl="0" w:tplc="F25417A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B2CC7"/>
    <w:rsid w:val="00004E41"/>
    <w:rsid w:val="00031211"/>
    <w:rsid w:val="00094F19"/>
    <w:rsid w:val="000F3B94"/>
    <w:rsid w:val="00174EA5"/>
    <w:rsid w:val="001D08C3"/>
    <w:rsid w:val="001E7B5E"/>
    <w:rsid w:val="002165A9"/>
    <w:rsid w:val="00245715"/>
    <w:rsid w:val="0025332D"/>
    <w:rsid w:val="00273A11"/>
    <w:rsid w:val="002B369D"/>
    <w:rsid w:val="002B3A74"/>
    <w:rsid w:val="002E02DF"/>
    <w:rsid w:val="00354EBB"/>
    <w:rsid w:val="00371690"/>
    <w:rsid w:val="00374A2D"/>
    <w:rsid w:val="003829EE"/>
    <w:rsid w:val="00401A1B"/>
    <w:rsid w:val="004151E4"/>
    <w:rsid w:val="00642462"/>
    <w:rsid w:val="00735926"/>
    <w:rsid w:val="007C5505"/>
    <w:rsid w:val="00867A0D"/>
    <w:rsid w:val="00894610"/>
    <w:rsid w:val="008A0728"/>
    <w:rsid w:val="008A49D1"/>
    <w:rsid w:val="008B7F3E"/>
    <w:rsid w:val="008E2030"/>
    <w:rsid w:val="008E2EBB"/>
    <w:rsid w:val="008E388E"/>
    <w:rsid w:val="00971EFB"/>
    <w:rsid w:val="009808C7"/>
    <w:rsid w:val="00A60565"/>
    <w:rsid w:val="00A825F1"/>
    <w:rsid w:val="00A97786"/>
    <w:rsid w:val="00AB2CC7"/>
    <w:rsid w:val="00AC540E"/>
    <w:rsid w:val="00B015F2"/>
    <w:rsid w:val="00BF2372"/>
    <w:rsid w:val="00C91165"/>
    <w:rsid w:val="00D07B1C"/>
    <w:rsid w:val="00D20C47"/>
    <w:rsid w:val="00D51EDD"/>
    <w:rsid w:val="00D8392B"/>
    <w:rsid w:val="00DB18AC"/>
    <w:rsid w:val="00DB5D77"/>
    <w:rsid w:val="00E4620C"/>
    <w:rsid w:val="00E9140E"/>
    <w:rsid w:val="00F34491"/>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CC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2CC7"/>
    <w:pPr>
      <w:spacing w:after="0" w:line="240" w:lineRule="auto"/>
    </w:pPr>
    <w:rPr>
      <w:lang w:val="en-US"/>
    </w:rPr>
  </w:style>
  <w:style w:type="paragraph" w:styleId="ListParagraph">
    <w:name w:val="List Paragraph"/>
    <w:basedOn w:val="Normal"/>
    <w:uiPriority w:val="34"/>
    <w:qFormat/>
    <w:rsid w:val="00031211"/>
    <w:pPr>
      <w:ind w:left="720"/>
      <w:contextualSpacing/>
    </w:pPr>
  </w:style>
  <w:style w:type="paragraph" w:styleId="Header">
    <w:name w:val="header"/>
    <w:basedOn w:val="Normal"/>
    <w:link w:val="HeaderChar"/>
    <w:uiPriority w:val="99"/>
    <w:unhideWhenUsed/>
    <w:rsid w:val="00E46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20C"/>
    <w:rPr>
      <w:lang w:val="en-US"/>
    </w:rPr>
  </w:style>
  <w:style w:type="paragraph" w:styleId="Footer">
    <w:name w:val="footer"/>
    <w:basedOn w:val="Normal"/>
    <w:link w:val="FooterChar"/>
    <w:uiPriority w:val="99"/>
    <w:semiHidden/>
    <w:unhideWhenUsed/>
    <w:rsid w:val="00E4620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4620C"/>
    <w:rPr>
      <w:lang w:val="en-US"/>
    </w:rPr>
  </w:style>
</w:styles>
</file>

<file path=word/webSettings.xml><?xml version="1.0" encoding="utf-8"?>
<w:webSettings xmlns:r="http://schemas.openxmlformats.org/officeDocument/2006/relationships" xmlns:w="http://schemas.openxmlformats.org/wordprocessingml/2006/main">
  <w:divs>
    <w:div w:id="51237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4</Pages>
  <Words>1329</Words>
  <Characters>7578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MAKONESEJ</dc:creator>
  <cp:lastModifiedBy>MAKONESEJ</cp:lastModifiedBy>
  <cp:revision>12</cp:revision>
  <dcterms:created xsi:type="dcterms:W3CDTF">2020-01-20T06:55:00Z</dcterms:created>
  <dcterms:modified xsi:type="dcterms:W3CDTF">2020-01-21T10:44:00Z</dcterms:modified>
</cp:coreProperties>
</file>