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9E2" w:rsidRDefault="007B69E2" w:rsidP="007B69E2">
      <w:pPr>
        <w:spacing w:line="360" w:lineRule="auto"/>
        <w:jc w:val="both"/>
        <w:rPr>
          <w:b/>
          <w:sz w:val="22"/>
          <w:szCs w:val="22"/>
        </w:rPr>
      </w:pPr>
      <w:r>
        <w:rPr>
          <w:b/>
          <w:sz w:val="22"/>
          <w:szCs w:val="22"/>
        </w:rPr>
        <w:t>IN THE LABOUR COURT OF ZIMBABWE</w:t>
      </w:r>
      <w:r>
        <w:rPr>
          <w:b/>
          <w:sz w:val="22"/>
          <w:szCs w:val="22"/>
        </w:rPr>
        <w:tab/>
        <w:t xml:space="preserve">                 JUDGMENT NO. LC/H/</w:t>
      </w:r>
      <w:r w:rsidR="00914B2D">
        <w:rPr>
          <w:b/>
          <w:sz w:val="22"/>
          <w:szCs w:val="22"/>
        </w:rPr>
        <w:t>210</w:t>
      </w:r>
      <w:r>
        <w:rPr>
          <w:b/>
          <w:sz w:val="22"/>
          <w:szCs w:val="22"/>
        </w:rPr>
        <w:t>/2013</w:t>
      </w:r>
    </w:p>
    <w:p w:rsidR="007B69E2" w:rsidRDefault="007B69E2" w:rsidP="007B69E2">
      <w:pPr>
        <w:spacing w:line="360" w:lineRule="auto"/>
        <w:jc w:val="both"/>
        <w:rPr>
          <w:b/>
          <w:sz w:val="22"/>
          <w:szCs w:val="22"/>
        </w:rPr>
      </w:pPr>
      <w:r>
        <w:rPr>
          <w:b/>
          <w:sz w:val="22"/>
          <w:szCs w:val="22"/>
        </w:rPr>
        <w:t>HARARE, 11 MARCH 2014</w:t>
      </w:r>
      <w:r>
        <w:rPr>
          <w:b/>
          <w:sz w:val="22"/>
          <w:szCs w:val="22"/>
        </w:rPr>
        <w:tab/>
      </w:r>
      <w:r>
        <w:rPr>
          <w:b/>
          <w:sz w:val="22"/>
          <w:szCs w:val="22"/>
        </w:rPr>
        <w:tab/>
        <w:t xml:space="preserve">    </w:t>
      </w:r>
      <w:r>
        <w:rPr>
          <w:b/>
          <w:sz w:val="22"/>
          <w:szCs w:val="22"/>
        </w:rPr>
        <w:tab/>
        <w:t xml:space="preserve">       </w:t>
      </w:r>
      <w:r>
        <w:rPr>
          <w:b/>
          <w:sz w:val="22"/>
          <w:szCs w:val="22"/>
        </w:rPr>
        <w:tab/>
        <w:t xml:space="preserve">   </w:t>
      </w:r>
      <w:r w:rsidR="001B43AD">
        <w:rPr>
          <w:b/>
          <w:sz w:val="22"/>
          <w:szCs w:val="22"/>
        </w:rPr>
        <w:t xml:space="preserve">       </w:t>
      </w:r>
      <w:r>
        <w:rPr>
          <w:b/>
          <w:sz w:val="22"/>
          <w:szCs w:val="22"/>
        </w:rPr>
        <w:t xml:space="preserve"> CASE NO. LC/H/198/2013  &amp;</w:t>
      </w:r>
    </w:p>
    <w:p w:rsidR="007B69E2" w:rsidRDefault="001B43AD" w:rsidP="007B69E2">
      <w:pPr>
        <w:spacing w:line="360" w:lineRule="auto"/>
        <w:jc w:val="both"/>
        <w:rPr>
          <w:b/>
          <w:sz w:val="22"/>
          <w:szCs w:val="22"/>
        </w:rPr>
      </w:pPr>
      <w:r>
        <w:rPr>
          <w:b/>
          <w:sz w:val="22"/>
          <w:szCs w:val="22"/>
        </w:rPr>
        <w:t>&amp; 11 APRIL 2014</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sidR="007B69E2">
        <w:rPr>
          <w:b/>
          <w:sz w:val="22"/>
          <w:szCs w:val="22"/>
        </w:rPr>
        <w:t>LC/H/145/2013</w:t>
      </w:r>
    </w:p>
    <w:p w:rsidR="007B69E2" w:rsidRDefault="007B69E2" w:rsidP="007B69E2">
      <w:pPr>
        <w:spacing w:line="360" w:lineRule="auto"/>
        <w:jc w:val="both"/>
      </w:pPr>
      <w:r>
        <w:t>In the matter between:-</w:t>
      </w:r>
    </w:p>
    <w:p w:rsidR="007B69E2" w:rsidRDefault="007B69E2" w:rsidP="007B69E2">
      <w:pPr>
        <w:spacing w:line="360" w:lineRule="auto"/>
        <w:jc w:val="both"/>
      </w:pPr>
    </w:p>
    <w:p w:rsidR="007B69E2" w:rsidRDefault="007B69E2" w:rsidP="007B69E2">
      <w:pPr>
        <w:spacing w:line="360" w:lineRule="auto"/>
        <w:jc w:val="both"/>
        <w:rPr>
          <w:b/>
        </w:rPr>
      </w:pPr>
      <w:r>
        <w:rPr>
          <w:b/>
        </w:rPr>
        <w:t xml:space="preserve">L. NYANGAWO AND 13 </w:t>
      </w:r>
      <w:r w:rsidR="00DA5939">
        <w:rPr>
          <w:b/>
          <w:sz w:val="22"/>
          <w:szCs w:val="22"/>
        </w:rPr>
        <w:t>OTHERS</w:t>
      </w:r>
      <w:r w:rsidR="00DA5939">
        <w:rPr>
          <w:b/>
        </w:rPr>
        <w:tab/>
      </w:r>
      <w:r w:rsidR="00DA5939">
        <w:rPr>
          <w:b/>
        </w:rPr>
        <w:tab/>
      </w:r>
      <w:r w:rsidR="00DA5939">
        <w:rPr>
          <w:b/>
        </w:rPr>
        <w:tab/>
      </w:r>
      <w:r w:rsidR="00DA5939">
        <w:rPr>
          <w:b/>
        </w:rPr>
        <w:tab/>
      </w:r>
      <w:r>
        <w:rPr>
          <w:b/>
        </w:rPr>
        <w:t>Applicants</w:t>
      </w:r>
    </w:p>
    <w:p w:rsidR="007B69E2" w:rsidRDefault="007B69E2" w:rsidP="007B69E2">
      <w:pPr>
        <w:spacing w:line="360" w:lineRule="auto"/>
        <w:jc w:val="both"/>
        <w:rPr>
          <w:sz w:val="22"/>
          <w:szCs w:val="22"/>
        </w:rPr>
      </w:pPr>
      <w:r>
        <w:rPr>
          <w:sz w:val="22"/>
          <w:szCs w:val="22"/>
        </w:rPr>
        <w:t>And</w:t>
      </w:r>
    </w:p>
    <w:p w:rsidR="007B69E2" w:rsidRDefault="007B69E2" w:rsidP="007B69E2">
      <w:pPr>
        <w:spacing w:line="360" w:lineRule="auto"/>
        <w:jc w:val="both"/>
        <w:rPr>
          <w:b/>
        </w:rPr>
      </w:pPr>
      <w:r>
        <w:rPr>
          <w:b/>
        </w:rPr>
        <w:t>CUTRAG PROCESSORS (PVT)</w:t>
      </w:r>
      <w:r>
        <w:rPr>
          <w:b/>
        </w:rPr>
        <w:tab/>
        <w:t>LIMITED</w:t>
      </w:r>
      <w:r>
        <w:rPr>
          <w:b/>
        </w:rPr>
        <w:tab/>
      </w:r>
      <w:r>
        <w:rPr>
          <w:b/>
        </w:rPr>
        <w:tab/>
      </w:r>
      <w:r>
        <w:rPr>
          <w:b/>
        </w:rPr>
        <w:tab/>
        <w:t>Respondent</w:t>
      </w:r>
    </w:p>
    <w:p w:rsidR="007B69E2" w:rsidRDefault="007B69E2" w:rsidP="007B69E2">
      <w:pPr>
        <w:spacing w:line="360" w:lineRule="auto"/>
        <w:jc w:val="both"/>
        <w:rPr>
          <w:b/>
        </w:rPr>
      </w:pPr>
    </w:p>
    <w:p w:rsidR="007B69E2" w:rsidRDefault="007B69E2" w:rsidP="007B69E2">
      <w:pPr>
        <w:spacing w:line="360" w:lineRule="auto"/>
        <w:jc w:val="both"/>
      </w:pPr>
      <w:r>
        <w:t>Before The Honourable P Muzofa, Judge</w:t>
      </w:r>
    </w:p>
    <w:p w:rsidR="007B69E2" w:rsidRDefault="007B69E2" w:rsidP="007B69E2">
      <w:pPr>
        <w:spacing w:line="360" w:lineRule="auto"/>
        <w:jc w:val="both"/>
      </w:pPr>
    </w:p>
    <w:p w:rsidR="007B69E2" w:rsidRDefault="007B69E2" w:rsidP="007B69E2">
      <w:pPr>
        <w:spacing w:line="360" w:lineRule="auto"/>
        <w:jc w:val="both"/>
        <w:rPr>
          <w:b/>
        </w:rPr>
      </w:pPr>
      <w:r>
        <w:rPr>
          <w:b/>
        </w:rPr>
        <w:t>(IN CHAMBERS)</w:t>
      </w:r>
    </w:p>
    <w:p w:rsidR="007B69E2" w:rsidRDefault="007B69E2" w:rsidP="007B69E2">
      <w:pPr>
        <w:spacing w:line="360" w:lineRule="auto"/>
        <w:jc w:val="both"/>
        <w:rPr>
          <w:b/>
          <w:sz w:val="28"/>
          <w:szCs w:val="28"/>
        </w:rPr>
      </w:pPr>
    </w:p>
    <w:p w:rsidR="007B69E2" w:rsidRDefault="007B69E2" w:rsidP="007B69E2">
      <w:pPr>
        <w:spacing w:line="360" w:lineRule="auto"/>
        <w:jc w:val="both"/>
        <w:rPr>
          <w:b/>
        </w:rPr>
      </w:pPr>
      <w:r>
        <w:rPr>
          <w:b/>
        </w:rPr>
        <w:t>MUZOFA J:</w:t>
      </w:r>
    </w:p>
    <w:p w:rsidR="00EF1447" w:rsidRDefault="00EF1447"/>
    <w:p w:rsidR="007B69E2" w:rsidRDefault="007B69E2" w:rsidP="007B69E2">
      <w:pPr>
        <w:spacing w:line="360" w:lineRule="auto"/>
        <w:jc w:val="both"/>
      </w:pPr>
      <w:r>
        <w:tab/>
        <w:t>The Applicants apply for leave to appeal to the Supreme Court against the judgment of this Court of the 20</w:t>
      </w:r>
      <w:r w:rsidRPr="007B69E2">
        <w:rPr>
          <w:vertAlign w:val="superscript"/>
        </w:rPr>
        <w:t>th</w:t>
      </w:r>
      <w:r>
        <w:t xml:space="preserve"> of December 2013.</w:t>
      </w:r>
    </w:p>
    <w:p w:rsidR="007B69E2" w:rsidRDefault="007B69E2" w:rsidP="00E45C56">
      <w:pPr>
        <w:jc w:val="both"/>
      </w:pPr>
    </w:p>
    <w:p w:rsidR="007B69E2" w:rsidRDefault="007B69E2" w:rsidP="007B69E2">
      <w:pPr>
        <w:spacing w:line="360" w:lineRule="auto"/>
        <w:jc w:val="both"/>
      </w:pPr>
      <w:r>
        <w:tab/>
        <w:t>The notice of appeal filed with the Supreme Court show one ground of appeal that the Court erred on a point of law holding that the par</w:t>
      </w:r>
      <w:r w:rsidR="001C3052">
        <w:t>i</w:t>
      </w:r>
      <w:r>
        <w:t xml:space="preserve">ty principle is no </w:t>
      </w:r>
      <w:r w:rsidR="00D27E23">
        <w:t>longer</w:t>
      </w:r>
      <w:r>
        <w:t xml:space="preserve"> applicable in labour matters.  The heads of argument filed for the applicant has an additional ground of appeal that;</w:t>
      </w:r>
    </w:p>
    <w:p w:rsidR="007B69E2" w:rsidRDefault="007B69E2" w:rsidP="00E45C56">
      <w:pPr>
        <w:jc w:val="both"/>
      </w:pPr>
    </w:p>
    <w:p w:rsidR="007B69E2" w:rsidRPr="00E45C56" w:rsidRDefault="007B69E2" w:rsidP="00E45C56">
      <w:pPr>
        <w:spacing w:line="276" w:lineRule="auto"/>
        <w:ind w:left="720"/>
        <w:jc w:val="both"/>
        <w:rPr>
          <w:i/>
        </w:rPr>
      </w:pPr>
      <w:r>
        <w:t>“</w:t>
      </w:r>
      <w:r w:rsidRPr="00E45C56">
        <w:rPr>
          <w:i/>
          <w:sz w:val="22"/>
          <w:szCs w:val="22"/>
        </w:rPr>
        <w:t xml:space="preserve">the Honourable Court grossly misdirected itself in its findings that nothing had been shown that the decision to dismiss only the Appellant was unreasonable, when in fact, the argument that the employer has not shown that the Appellant had participated more than the </w:t>
      </w:r>
      <w:r w:rsidR="00247C03" w:rsidRPr="00E45C56">
        <w:rPr>
          <w:i/>
          <w:sz w:val="22"/>
          <w:szCs w:val="22"/>
        </w:rPr>
        <w:t>other employees who had been given final warnings show that the decision to dismiss Appellant only was grossly unreasonable</w:t>
      </w:r>
      <w:r w:rsidR="00247C03" w:rsidRPr="00E45C56">
        <w:rPr>
          <w:i/>
        </w:rPr>
        <w:t>.”</w:t>
      </w:r>
    </w:p>
    <w:p w:rsidR="00247C03" w:rsidRPr="00E45C56" w:rsidRDefault="00247C03" w:rsidP="00E45C56">
      <w:pPr>
        <w:jc w:val="both"/>
        <w:rPr>
          <w:i/>
        </w:rPr>
      </w:pPr>
    </w:p>
    <w:p w:rsidR="00247C03" w:rsidRDefault="00247C03" w:rsidP="007B69E2">
      <w:pPr>
        <w:spacing w:line="360" w:lineRule="auto"/>
        <w:jc w:val="both"/>
      </w:pPr>
      <w:r>
        <w:tab/>
        <w:t>In an application such as this the Applicants have to show that there are prospects of success on appeal.  I will deal with the grounds of appeal in so far as they have prospects of success.</w:t>
      </w:r>
    </w:p>
    <w:p w:rsidR="00247C03" w:rsidRDefault="00247C03" w:rsidP="007B69E2">
      <w:pPr>
        <w:spacing w:line="360" w:lineRule="auto"/>
        <w:jc w:val="both"/>
      </w:pPr>
    </w:p>
    <w:p w:rsidR="00247C03" w:rsidRDefault="00247C03" w:rsidP="007B69E2">
      <w:pPr>
        <w:spacing w:line="360" w:lineRule="auto"/>
        <w:jc w:val="both"/>
      </w:pPr>
      <w:r>
        <w:t>The applicability of the parity principle</w:t>
      </w:r>
    </w:p>
    <w:p w:rsidR="0032555F" w:rsidRDefault="00247C03" w:rsidP="007B69E2">
      <w:pPr>
        <w:spacing w:line="360" w:lineRule="auto"/>
        <w:jc w:val="both"/>
      </w:pPr>
      <w:r>
        <w:lastRenderedPageBreak/>
        <w:t xml:space="preserve">This Court addressed this issue and referred to the relevant cases of </w:t>
      </w:r>
      <w:r w:rsidRPr="00E45C56">
        <w:rPr>
          <w:i/>
        </w:rPr>
        <w:t>Lancashire Steel Pvt Limited</w:t>
      </w:r>
      <w:r>
        <w:t xml:space="preserve"> v </w:t>
      </w:r>
      <w:r w:rsidRPr="00E45C56">
        <w:rPr>
          <w:i/>
        </w:rPr>
        <w:t>Elijah Mandevana and 3 Others</w:t>
      </w:r>
      <w:r>
        <w:t xml:space="preserve"> SC 29/95, </w:t>
      </w:r>
      <w:r w:rsidRPr="00E45C56">
        <w:rPr>
          <w:i/>
        </w:rPr>
        <w:t>Jiah and Others</w:t>
      </w:r>
      <w:r>
        <w:t xml:space="preserve"> v </w:t>
      </w:r>
      <w:r w:rsidRPr="00E45C56">
        <w:rPr>
          <w:i/>
        </w:rPr>
        <w:t xml:space="preserve">Public Service Commission and Another </w:t>
      </w:r>
      <w:r>
        <w:t xml:space="preserve">1999 (1) ZLR 17 SC and </w:t>
      </w:r>
      <w:r w:rsidRPr="00E45C56">
        <w:rPr>
          <w:i/>
        </w:rPr>
        <w:t>Mashonaland Turf</w:t>
      </w:r>
      <w:r>
        <w:t xml:space="preserve"> </w:t>
      </w:r>
      <w:r w:rsidRPr="00E45C56">
        <w:rPr>
          <w:i/>
        </w:rPr>
        <w:t xml:space="preserve">Club </w:t>
      </w:r>
      <w:r>
        <w:t xml:space="preserve">v </w:t>
      </w:r>
      <w:r w:rsidRPr="00E45C56">
        <w:rPr>
          <w:i/>
        </w:rPr>
        <w:t>George Mutangadura</w:t>
      </w:r>
      <w:r>
        <w:t xml:space="preserve"> SC 5/12.  In my view the position in the Mutanga</w:t>
      </w:r>
      <w:r w:rsidR="008C69EB">
        <w:t>dura is that the focus should be on the miscon</w:t>
      </w:r>
      <w:r w:rsidR="001C3052">
        <w:t>duct whether it goes to the root</w:t>
      </w:r>
      <w:r w:rsidR="008C69EB">
        <w:t xml:space="preserve"> of the employment contract.  Whether </w:t>
      </w:r>
      <w:r w:rsidR="0032555F">
        <w:t>other employees who committed the same misdemeanor were dismissed or not becomes irrelevant.  The position of the law is clear.  I donot believe there are prospects of success based on this ground of appeal.</w:t>
      </w:r>
    </w:p>
    <w:p w:rsidR="0032555F" w:rsidRDefault="0032555F" w:rsidP="00E45C56">
      <w:pPr>
        <w:jc w:val="both"/>
      </w:pPr>
    </w:p>
    <w:p w:rsidR="0032555F" w:rsidRDefault="0032555F" w:rsidP="007B69E2">
      <w:pPr>
        <w:spacing w:line="360" w:lineRule="auto"/>
        <w:jc w:val="both"/>
      </w:pPr>
      <w:r>
        <w:t>Whether the selective dismissal of employees was unreasonable.</w:t>
      </w:r>
    </w:p>
    <w:p w:rsidR="0032555F" w:rsidRDefault="0032555F" w:rsidP="00E45C56">
      <w:pPr>
        <w:jc w:val="both"/>
      </w:pPr>
    </w:p>
    <w:p w:rsidR="00E45C56" w:rsidRDefault="0032555F" w:rsidP="007B69E2">
      <w:pPr>
        <w:spacing w:line="360" w:lineRule="auto"/>
        <w:jc w:val="both"/>
      </w:pPr>
      <w:r>
        <w:t xml:space="preserve">This is now an established principle that the employer’s discretion can only be interfered with where it is shown that it exercised its </w:t>
      </w:r>
      <w:r w:rsidR="00E45C56">
        <w:t>discretion</w:t>
      </w:r>
      <w:r>
        <w:t xml:space="preserve"> unreasonably.  It was submitted that the fact that there was selective dismissal</w:t>
      </w:r>
      <w:r w:rsidR="00E45C56">
        <w:t xml:space="preserve"> is evidence of unreasonableness.  I donot agree with this submission.  In view of the finding above there is no unreasonableness.  Applicants having admitted that they were involved in the unlawful job action the Respondent was at liberty to decide on the penalty.  In view of the decision in </w:t>
      </w:r>
      <w:r w:rsidR="00E45C56" w:rsidRPr="00E45C56">
        <w:rPr>
          <w:i/>
        </w:rPr>
        <w:t>Passmore Malimanjani</w:t>
      </w:r>
      <w:r w:rsidR="00E45C56">
        <w:t xml:space="preserve"> v </w:t>
      </w:r>
      <w:r w:rsidR="00E45C56" w:rsidRPr="00E45C56">
        <w:rPr>
          <w:i/>
        </w:rPr>
        <w:t>Central African Building Society</w:t>
      </w:r>
      <w:r w:rsidR="00E45C56">
        <w:t xml:space="preserve"> SC 47/07, </w:t>
      </w:r>
      <w:r w:rsidR="00E45C56" w:rsidRPr="00E45C56">
        <w:rPr>
          <w:i/>
        </w:rPr>
        <w:t>Speciss College</w:t>
      </w:r>
      <w:r w:rsidR="00E45C56">
        <w:t xml:space="preserve"> v </w:t>
      </w:r>
      <w:r w:rsidR="00E45C56" w:rsidRPr="00E45C56">
        <w:rPr>
          <w:i/>
        </w:rPr>
        <w:t>Maxwell Chiriseri and Others</w:t>
      </w:r>
      <w:r w:rsidR="00E45C56">
        <w:t xml:space="preserve"> SC 2/13 and </w:t>
      </w:r>
      <w:r w:rsidR="00E45C56" w:rsidRPr="00E45C56">
        <w:rPr>
          <w:i/>
        </w:rPr>
        <w:t xml:space="preserve">Tregers Plastics (Pvt) Ltd v Woodreck Sibanda and Another </w:t>
      </w:r>
      <w:r w:rsidR="00E45C56">
        <w:t>SC 22/12 I donot believe this ground of appeal has prospects of success.</w:t>
      </w:r>
    </w:p>
    <w:p w:rsidR="00E45C56" w:rsidRDefault="00E45C56" w:rsidP="00E45C56">
      <w:pPr>
        <w:jc w:val="both"/>
      </w:pPr>
    </w:p>
    <w:p w:rsidR="00E45C56" w:rsidRDefault="00E45C56" w:rsidP="007B69E2">
      <w:pPr>
        <w:spacing w:line="360" w:lineRule="auto"/>
        <w:jc w:val="both"/>
      </w:pPr>
      <w:r>
        <w:t>Accordingly is ordered as follows;</w:t>
      </w:r>
    </w:p>
    <w:p w:rsidR="00E45C56" w:rsidRDefault="00E45C56" w:rsidP="00E45C56">
      <w:pPr>
        <w:jc w:val="both"/>
      </w:pPr>
    </w:p>
    <w:p w:rsidR="00E45C56" w:rsidRDefault="00E45C56" w:rsidP="007B69E2">
      <w:pPr>
        <w:spacing w:line="360" w:lineRule="auto"/>
        <w:jc w:val="both"/>
      </w:pPr>
      <w:r>
        <w:t>The application for leave to appeal to the Supreme Court be and is hereby dismissed.</w:t>
      </w:r>
    </w:p>
    <w:p w:rsidR="00247C03" w:rsidRDefault="00E45C56" w:rsidP="007B69E2">
      <w:pPr>
        <w:spacing w:line="360" w:lineRule="auto"/>
        <w:jc w:val="both"/>
      </w:pPr>
      <w:r>
        <w:t>There shall be no order as to costs.</w:t>
      </w:r>
      <w:r w:rsidR="0032555F">
        <w:t xml:space="preserve"> </w:t>
      </w:r>
      <w:r w:rsidR="00247C03">
        <w:t xml:space="preserve"> </w:t>
      </w:r>
    </w:p>
    <w:sectPr w:rsidR="00247C03" w:rsidSect="00D27E23">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21C" w:rsidRDefault="0007521C" w:rsidP="00E45C56">
      <w:r>
        <w:separator/>
      </w:r>
    </w:p>
  </w:endnote>
  <w:endnote w:type="continuationSeparator" w:id="1">
    <w:p w:rsidR="0007521C" w:rsidRDefault="0007521C" w:rsidP="00E45C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E23" w:rsidRPr="00D27E23" w:rsidRDefault="00D27E23">
    <w:pPr>
      <w:pStyle w:val="Footer"/>
      <w:rPr>
        <w:lang w:val="en-ZW"/>
      </w:rPr>
    </w:pPr>
    <w:r>
      <w:rPr>
        <w:lang w:val="en-ZW"/>
      </w:rPr>
      <w:tab/>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21C" w:rsidRDefault="0007521C" w:rsidP="00E45C56">
      <w:r>
        <w:separator/>
      </w:r>
    </w:p>
  </w:footnote>
  <w:footnote w:type="continuationSeparator" w:id="1">
    <w:p w:rsidR="0007521C" w:rsidRDefault="0007521C" w:rsidP="00E45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C56" w:rsidRPr="00D27E23" w:rsidRDefault="00D27E23">
    <w:pPr>
      <w:pStyle w:val="Header"/>
      <w:rPr>
        <w:lang w:val="en-ZW"/>
      </w:rPr>
    </w:pPr>
    <w:r>
      <w:rPr>
        <w:lang w:val="en-ZW"/>
      </w:rPr>
      <w:tab/>
    </w:r>
    <w:r>
      <w:rPr>
        <w:lang w:val="en-ZW"/>
      </w:rPr>
      <w:tab/>
      <w:t>JUDGMENT NO. LC/H/</w:t>
    </w:r>
    <w:r w:rsidR="00914B2D">
      <w:rPr>
        <w:lang w:val="en-ZW"/>
      </w:rPr>
      <w:t>210</w:t>
    </w:r>
    <w:r>
      <w:rPr>
        <w:lang w:val="en-ZW"/>
      </w:rPr>
      <w:t>/14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B69E2"/>
    <w:rsid w:val="0007521C"/>
    <w:rsid w:val="001B43AD"/>
    <w:rsid w:val="001C3052"/>
    <w:rsid w:val="00247C03"/>
    <w:rsid w:val="0032555F"/>
    <w:rsid w:val="003B72DA"/>
    <w:rsid w:val="00544D11"/>
    <w:rsid w:val="005F5288"/>
    <w:rsid w:val="0066378F"/>
    <w:rsid w:val="006F2537"/>
    <w:rsid w:val="007B69E2"/>
    <w:rsid w:val="0083130F"/>
    <w:rsid w:val="008C69EB"/>
    <w:rsid w:val="00914B2D"/>
    <w:rsid w:val="00BB2E6E"/>
    <w:rsid w:val="00BE6C98"/>
    <w:rsid w:val="00C44ED7"/>
    <w:rsid w:val="00D27E23"/>
    <w:rsid w:val="00DA5939"/>
    <w:rsid w:val="00DC17B6"/>
    <w:rsid w:val="00DC61DC"/>
    <w:rsid w:val="00DE72B7"/>
    <w:rsid w:val="00E45C56"/>
    <w:rsid w:val="00EF1447"/>
    <w:rsid w:val="00F43E91"/>
    <w:rsid w:val="00FF0965"/>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9E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45C56"/>
    <w:pPr>
      <w:tabs>
        <w:tab w:val="center" w:pos="4513"/>
        <w:tab w:val="right" w:pos="9026"/>
      </w:tabs>
    </w:pPr>
  </w:style>
  <w:style w:type="character" w:customStyle="1" w:styleId="HeaderChar">
    <w:name w:val="Header Char"/>
    <w:basedOn w:val="DefaultParagraphFont"/>
    <w:link w:val="Header"/>
    <w:uiPriority w:val="99"/>
    <w:semiHidden/>
    <w:rsid w:val="00E45C56"/>
    <w:rPr>
      <w:rFonts w:ascii="Tahoma" w:eastAsia="Times New Roman" w:hAnsi="Tahoma" w:cs="Times New Roman"/>
      <w:sz w:val="24"/>
      <w:szCs w:val="24"/>
      <w:lang w:val="en-US"/>
    </w:rPr>
  </w:style>
  <w:style w:type="paragraph" w:styleId="Footer">
    <w:name w:val="footer"/>
    <w:basedOn w:val="Normal"/>
    <w:link w:val="FooterChar"/>
    <w:uiPriority w:val="99"/>
    <w:unhideWhenUsed/>
    <w:rsid w:val="00E45C56"/>
    <w:pPr>
      <w:tabs>
        <w:tab w:val="center" w:pos="4513"/>
        <w:tab w:val="right" w:pos="9026"/>
      </w:tabs>
    </w:pPr>
  </w:style>
  <w:style w:type="character" w:customStyle="1" w:styleId="FooterChar">
    <w:name w:val="Footer Char"/>
    <w:basedOn w:val="DefaultParagraphFont"/>
    <w:link w:val="Footer"/>
    <w:uiPriority w:val="99"/>
    <w:rsid w:val="00E45C56"/>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2014-04-02T13:58:00Z</cp:lastPrinted>
  <dcterms:created xsi:type="dcterms:W3CDTF">2014-04-30T13:29:00Z</dcterms:created>
  <dcterms:modified xsi:type="dcterms:W3CDTF">2014-04-30T13:29:00Z</dcterms:modified>
</cp:coreProperties>
</file>