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76" w:rsidRPr="003E7EE7" w:rsidRDefault="00E67776" w:rsidP="00E67776">
      <w:pPr>
        <w:spacing w:line="360" w:lineRule="auto"/>
        <w:jc w:val="both"/>
        <w:rPr>
          <w:rFonts w:cs="Tahoma"/>
          <w:b/>
        </w:rPr>
      </w:pPr>
      <w:r w:rsidRPr="003E7EE7">
        <w:rPr>
          <w:rFonts w:cs="Tahoma"/>
          <w:b/>
        </w:rPr>
        <w:t>IN THE LABOUR COURT O</w:t>
      </w:r>
      <w:r>
        <w:rPr>
          <w:rFonts w:cs="Tahoma"/>
          <w:b/>
        </w:rPr>
        <w:t>F ZIMBABWE</w:t>
      </w:r>
      <w:r>
        <w:rPr>
          <w:rFonts w:cs="Tahoma"/>
          <w:b/>
        </w:rPr>
        <w:tab/>
        <w:t xml:space="preserve">    </w:t>
      </w:r>
      <w:r w:rsidRPr="003E7EE7">
        <w:rPr>
          <w:rFonts w:cs="Tahoma"/>
          <w:b/>
        </w:rPr>
        <w:t>JUDGMENT NO. LC/H/</w:t>
      </w:r>
      <w:r w:rsidR="00AA325B">
        <w:rPr>
          <w:rFonts w:cs="Tahoma"/>
          <w:b/>
        </w:rPr>
        <w:t>513</w:t>
      </w:r>
      <w:r w:rsidRPr="003E7EE7">
        <w:rPr>
          <w:rFonts w:cs="Tahoma"/>
          <w:b/>
        </w:rPr>
        <w:t>/16</w:t>
      </w:r>
    </w:p>
    <w:p w:rsidR="00E27C29" w:rsidRDefault="00E67776" w:rsidP="00E67776">
      <w:pPr>
        <w:spacing w:line="360" w:lineRule="auto"/>
        <w:jc w:val="both"/>
        <w:rPr>
          <w:rFonts w:cs="Tahoma"/>
          <w:b/>
        </w:rPr>
      </w:pPr>
      <w:r w:rsidRPr="003E7EE7">
        <w:rPr>
          <w:rFonts w:cs="Tahoma"/>
          <w:b/>
        </w:rPr>
        <w:t xml:space="preserve">HARARE, </w:t>
      </w:r>
      <w:r w:rsidR="006951C0">
        <w:rPr>
          <w:rFonts w:cs="Tahoma"/>
          <w:b/>
        </w:rPr>
        <w:t xml:space="preserve">19 JULY </w:t>
      </w:r>
      <w:r>
        <w:rPr>
          <w:rFonts w:cs="Tahoma"/>
          <w:b/>
        </w:rPr>
        <w:t>2016</w:t>
      </w:r>
      <w:r>
        <w:rPr>
          <w:rFonts w:cs="Tahoma"/>
          <w:b/>
        </w:rPr>
        <w:tab/>
      </w:r>
      <w:r>
        <w:rPr>
          <w:rFonts w:cs="Tahoma"/>
          <w:b/>
        </w:rPr>
        <w:tab/>
      </w:r>
      <w:r>
        <w:rPr>
          <w:rFonts w:cs="Tahoma"/>
          <w:b/>
        </w:rPr>
        <w:tab/>
      </w:r>
      <w:r>
        <w:rPr>
          <w:rFonts w:cs="Tahoma"/>
          <w:b/>
        </w:rPr>
        <w:tab/>
        <w:t xml:space="preserve">     </w:t>
      </w:r>
      <w:r w:rsidRPr="003E7EE7">
        <w:rPr>
          <w:rFonts w:cs="Tahoma"/>
          <w:b/>
        </w:rPr>
        <w:t>CASE NO. LC/H/</w:t>
      </w:r>
      <w:r w:rsidR="006951C0">
        <w:rPr>
          <w:rFonts w:cs="Tahoma"/>
          <w:b/>
        </w:rPr>
        <w:t>530/15</w:t>
      </w:r>
      <w:r w:rsidRPr="003E7EE7">
        <w:rPr>
          <w:rFonts w:cs="Tahoma"/>
          <w:b/>
        </w:rPr>
        <w:t xml:space="preserve"> </w:t>
      </w:r>
    </w:p>
    <w:p w:rsidR="00E67776" w:rsidRPr="003E7EE7" w:rsidRDefault="00E67776" w:rsidP="00E67776">
      <w:pPr>
        <w:spacing w:line="360" w:lineRule="auto"/>
        <w:jc w:val="both"/>
        <w:rPr>
          <w:rFonts w:cs="Tahoma"/>
          <w:b/>
        </w:rPr>
      </w:pPr>
      <w:r w:rsidRPr="003E7EE7">
        <w:rPr>
          <w:rFonts w:cs="Tahoma"/>
          <w:b/>
        </w:rPr>
        <w:t xml:space="preserve">AND </w:t>
      </w:r>
      <w:r w:rsidR="005D4EFA">
        <w:rPr>
          <w:rFonts w:cs="Tahoma"/>
          <w:b/>
        </w:rPr>
        <w:t>9 SEPTEMBER</w:t>
      </w:r>
      <w:r w:rsidRPr="003E7EE7">
        <w:rPr>
          <w:rFonts w:cs="Tahoma"/>
          <w:b/>
        </w:rPr>
        <w:t xml:space="preserve"> 2016</w:t>
      </w:r>
      <w:r w:rsidRPr="003E7EE7">
        <w:rPr>
          <w:rFonts w:cs="Tahoma"/>
          <w:b/>
        </w:rPr>
        <w:tab/>
      </w:r>
      <w:r w:rsidRPr="003E7EE7">
        <w:rPr>
          <w:rFonts w:cs="Tahoma"/>
          <w:b/>
        </w:rPr>
        <w:tab/>
      </w:r>
      <w:r w:rsidRPr="003E7EE7">
        <w:rPr>
          <w:rFonts w:cs="Tahoma"/>
          <w:b/>
        </w:rPr>
        <w:tab/>
      </w:r>
      <w:r w:rsidRPr="003E7EE7">
        <w:rPr>
          <w:rFonts w:cs="Tahoma"/>
          <w:b/>
        </w:rPr>
        <w:tab/>
      </w:r>
      <w:r w:rsidRPr="003E7EE7">
        <w:rPr>
          <w:rFonts w:cs="Tahoma"/>
          <w:b/>
        </w:rPr>
        <w:tab/>
      </w:r>
      <w:r w:rsidRPr="003E7EE7">
        <w:rPr>
          <w:rFonts w:cs="Tahoma"/>
          <w:b/>
        </w:rPr>
        <w:tab/>
        <w:t xml:space="preserve"> </w:t>
      </w:r>
    </w:p>
    <w:p w:rsidR="00E67776" w:rsidRPr="003E7EE7" w:rsidRDefault="00E67776" w:rsidP="00E67776">
      <w:pPr>
        <w:spacing w:line="360" w:lineRule="auto"/>
        <w:jc w:val="both"/>
        <w:rPr>
          <w:rFonts w:cs="Tahoma"/>
        </w:rPr>
      </w:pPr>
      <w:r w:rsidRPr="003E7EE7">
        <w:rPr>
          <w:rFonts w:cs="Tahoma"/>
        </w:rPr>
        <w:t>In the matter between:-</w:t>
      </w:r>
    </w:p>
    <w:p w:rsidR="00E67776" w:rsidRPr="003E7EE7" w:rsidRDefault="00E67776" w:rsidP="00E67776">
      <w:pPr>
        <w:spacing w:line="360" w:lineRule="auto"/>
        <w:jc w:val="both"/>
        <w:rPr>
          <w:rFonts w:cs="Tahoma"/>
        </w:rPr>
      </w:pPr>
    </w:p>
    <w:p w:rsidR="00E67776" w:rsidRPr="003E7EE7" w:rsidRDefault="006951C0" w:rsidP="00E67776">
      <w:pPr>
        <w:spacing w:line="360" w:lineRule="auto"/>
        <w:jc w:val="both"/>
        <w:rPr>
          <w:rFonts w:cs="Tahoma"/>
          <w:b/>
        </w:rPr>
      </w:pPr>
      <w:r>
        <w:rPr>
          <w:rFonts w:cs="Tahoma"/>
          <w:b/>
        </w:rPr>
        <w:t>KUWADZANA SECONDARY SCHOOL</w:t>
      </w:r>
      <w:r w:rsidR="00E27C29">
        <w:rPr>
          <w:rFonts w:cs="Tahoma"/>
          <w:b/>
        </w:rPr>
        <w:tab/>
      </w:r>
      <w:r w:rsidR="00E27C29">
        <w:rPr>
          <w:rFonts w:cs="Tahoma"/>
          <w:b/>
        </w:rPr>
        <w:tab/>
      </w:r>
      <w:r w:rsidR="00E27C29">
        <w:rPr>
          <w:rFonts w:cs="Tahoma"/>
          <w:b/>
        </w:rPr>
        <w:tab/>
      </w:r>
      <w:r w:rsidR="00E27C29">
        <w:rPr>
          <w:rFonts w:cs="Tahoma"/>
          <w:b/>
        </w:rPr>
        <w:tab/>
        <w:t>Appellant</w:t>
      </w:r>
    </w:p>
    <w:p w:rsidR="00E67776" w:rsidRPr="003E7EE7" w:rsidRDefault="00E67776" w:rsidP="00E67776">
      <w:pPr>
        <w:spacing w:line="360" w:lineRule="auto"/>
        <w:jc w:val="both"/>
        <w:rPr>
          <w:rFonts w:cs="Tahoma"/>
        </w:rPr>
      </w:pPr>
      <w:r w:rsidRPr="003E7EE7">
        <w:rPr>
          <w:rFonts w:cs="Tahoma"/>
        </w:rPr>
        <w:t>And</w:t>
      </w:r>
    </w:p>
    <w:p w:rsidR="00E67776" w:rsidRDefault="00CD689B" w:rsidP="00E67776">
      <w:pPr>
        <w:spacing w:line="360" w:lineRule="auto"/>
        <w:jc w:val="both"/>
        <w:rPr>
          <w:rFonts w:cs="Tahoma"/>
          <w:b/>
        </w:rPr>
      </w:pPr>
      <w:r>
        <w:rPr>
          <w:rFonts w:cs="Tahoma"/>
          <w:b/>
        </w:rPr>
        <w:t>LANGTON MUVEMBI</w:t>
      </w:r>
      <w:r>
        <w:rPr>
          <w:rFonts w:cs="Tahoma"/>
          <w:b/>
        </w:rPr>
        <w:tab/>
      </w:r>
      <w:r>
        <w:rPr>
          <w:rFonts w:cs="Tahoma"/>
          <w:b/>
        </w:rPr>
        <w:tab/>
      </w:r>
      <w:r w:rsidR="00E67776" w:rsidRPr="003E7EE7">
        <w:rPr>
          <w:rFonts w:cs="Tahoma"/>
          <w:b/>
        </w:rPr>
        <w:tab/>
      </w:r>
      <w:r w:rsidR="00E67776" w:rsidRPr="003E7EE7">
        <w:rPr>
          <w:rFonts w:cs="Tahoma"/>
          <w:b/>
        </w:rPr>
        <w:tab/>
      </w:r>
      <w:r w:rsidR="00E67776" w:rsidRPr="003E7EE7">
        <w:rPr>
          <w:rFonts w:cs="Tahoma"/>
          <w:b/>
        </w:rPr>
        <w:tab/>
      </w:r>
      <w:r w:rsidR="00246BA6">
        <w:rPr>
          <w:rFonts w:cs="Tahoma"/>
          <w:b/>
        </w:rPr>
        <w:tab/>
        <w:t>1</w:t>
      </w:r>
      <w:r w:rsidR="00246BA6" w:rsidRPr="00246BA6">
        <w:rPr>
          <w:rFonts w:cs="Tahoma"/>
          <w:b/>
          <w:vertAlign w:val="superscript"/>
        </w:rPr>
        <w:t>st</w:t>
      </w:r>
      <w:r w:rsidR="00246BA6">
        <w:rPr>
          <w:rFonts w:cs="Tahoma"/>
          <w:b/>
        </w:rPr>
        <w:t xml:space="preserve"> </w:t>
      </w:r>
      <w:r w:rsidR="00E67776" w:rsidRPr="003E7EE7">
        <w:rPr>
          <w:rFonts w:cs="Tahoma"/>
          <w:b/>
        </w:rPr>
        <w:t>Respondent</w:t>
      </w:r>
    </w:p>
    <w:p w:rsidR="00246BA6" w:rsidRDefault="00246BA6" w:rsidP="00E67776">
      <w:pPr>
        <w:spacing w:line="360" w:lineRule="auto"/>
        <w:jc w:val="both"/>
        <w:rPr>
          <w:rFonts w:cs="Tahoma"/>
        </w:rPr>
      </w:pPr>
      <w:r>
        <w:rPr>
          <w:rFonts w:cs="Tahoma"/>
        </w:rPr>
        <w:t>And</w:t>
      </w:r>
    </w:p>
    <w:p w:rsidR="00246BA6" w:rsidRDefault="00246BA6" w:rsidP="00E67776">
      <w:pPr>
        <w:spacing w:line="360" w:lineRule="auto"/>
        <w:jc w:val="both"/>
        <w:rPr>
          <w:rFonts w:cs="Tahoma"/>
          <w:b/>
        </w:rPr>
      </w:pPr>
      <w:r>
        <w:rPr>
          <w:rFonts w:cs="Tahoma"/>
          <w:b/>
        </w:rPr>
        <w:t xml:space="preserve">OLIVIA </w:t>
      </w:r>
      <w:r w:rsidR="00341AE6">
        <w:rPr>
          <w:rFonts w:cs="Tahoma"/>
          <w:b/>
        </w:rPr>
        <w:t>CHIMHENO</w:t>
      </w:r>
      <w:r w:rsidR="00341AE6">
        <w:rPr>
          <w:rFonts w:cs="Tahoma"/>
          <w:b/>
        </w:rPr>
        <w:tab/>
      </w:r>
      <w:r w:rsidR="00341AE6">
        <w:rPr>
          <w:rFonts w:cs="Tahoma"/>
          <w:b/>
        </w:rPr>
        <w:tab/>
      </w:r>
      <w:r w:rsidR="00341AE6">
        <w:rPr>
          <w:rFonts w:cs="Tahoma"/>
          <w:b/>
        </w:rPr>
        <w:tab/>
      </w:r>
      <w:r w:rsidR="00341AE6">
        <w:rPr>
          <w:rFonts w:cs="Tahoma"/>
          <w:b/>
        </w:rPr>
        <w:tab/>
      </w:r>
      <w:r w:rsidR="00341AE6">
        <w:rPr>
          <w:rFonts w:cs="Tahoma"/>
          <w:b/>
        </w:rPr>
        <w:tab/>
      </w:r>
      <w:r w:rsidR="00341AE6">
        <w:rPr>
          <w:rFonts w:cs="Tahoma"/>
          <w:b/>
        </w:rPr>
        <w:tab/>
        <w:t>2</w:t>
      </w:r>
      <w:r w:rsidR="00341AE6" w:rsidRPr="00341AE6">
        <w:rPr>
          <w:rFonts w:cs="Tahoma"/>
          <w:b/>
          <w:vertAlign w:val="superscript"/>
        </w:rPr>
        <w:t>nd</w:t>
      </w:r>
      <w:r w:rsidR="00341AE6">
        <w:rPr>
          <w:rFonts w:cs="Tahoma"/>
          <w:b/>
        </w:rPr>
        <w:t xml:space="preserve"> Respondent</w:t>
      </w:r>
    </w:p>
    <w:p w:rsidR="00341AE6" w:rsidRDefault="00341AE6" w:rsidP="00E67776">
      <w:pPr>
        <w:spacing w:line="360" w:lineRule="auto"/>
        <w:jc w:val="both"/>
        <w:rPr>
          <w:rFonts w:cs="Tahoma"/>
        </w:rPr>
      </w:pPr>
      <w:r>
        <w:rPr>
          <w:rFonts w:cs="Tahoma"/>
        </w:rPr>
        <w:t>And</w:t>
      </w:r>
    </w:p>
    <w:p w:rsidR="00341AE6" w:rsidRPr="00341AE6" w:rsidRDefault="00341AE6" w:rsidP="00E67776">
      <w:pPr>
        <w:spacing w:line="360" w:lineRule="auto"/>
        <w:jc w:val="both"/>
        <w:rPr>
          <w:rFonts w:cs="Tahoma"/>
          <w:b/>
        </w:rPr>
      </w:pPr>
      <w:r>
        <w:rPr>
          <w:rFonts w:cs="Tahoma"/>
          <w:b/>
        </w:rPr>
        <w:t>GETRUDE BENJAMIN</w:t>
      </w:r>
      <w:r>
        <w:rPr>
          <w:rFonts w:cs="Tahoma"/>
          <w:b/>
        </w:rPr>
        <w:tab/>
      </w:r>
      <w:r>
        <w:rPr>
          <w:rFonts w:cs="Tahoma"/>
          <w:b/>
        </w:rPr>
        <w:tab/>
      </w:r>
      <w:r>
        <w:rPr>
          <w:rFonts w:cs="Tahoma"/>
          <w:b/>
        </w:rPr>
        <w:tab/>
      </w:r>
      <w:r>
        <w:rPr>
          <w:rFonts w:cs="Tahoma"/>
          <w:b/>
        </w:rPr>
        <w:tab/>
      </w:r>
      <w:r>
        <w:rPr>
          <w:rFonts w:cs="Tahoma"/>
          <w:b/>
        </w:rPr>
        <w:tab/>
      </w:r>
      <w:r>
        <w:rPr>
          <w:rFonts w:cs="Tahoma"/>
          <w:b/>
        </w:rPr>
        <w:tab/>
        <w:t>3</w:t>
      </w:r>
      <w:r w:rsidRPr="00341AE6">
        <w:rPr>
          <w:rFonts w:cs="Tahoma"/>
          <w:b/>
          <w:vertAlign w:val="superscript"/>
        </w:rPr>
        <w:t>rd</w:t>
      </w:r>
      <w:r>
        <w:rPr>
          <w:rFonts w:cs="Tahoma"/>
          <w:b/>
        </w:rPr>
        <w:t xml:space="preserve"> Respondent</w:t>
      </w:r>
    </w:p>
    <w:p w:rsidR="00E67776" w:rsidRPr="003E7EE7" w:rsidRDefault="00E67776" w:rsidP="00E67776">
      <w:pPr>
        <w:spacing w:line="360" w:lineRule="auto"/>
        <w:jc w:val="both"/>
        <w:rPr>
          <w:rFonts w:cs="Tahoma"/>
          <w:b/>
        </w:rPr>
      </w:pPr>
    </w:p>
    <w:p w:rsidR="00E67776" w:rsidRPr="003E7EE7" w:rsidRDefault="00E67776" w:rsidP="00E67776">
      <w:pPr>
        <w:spacing w:line="360" w:lineRule="auto"/>
        <w:jc w:val="both"/>
        <w:rPr>
          <w:rFonts w:cs="Tahoma"/>
        </w:rPr>
      </w:pPr>
      <w:r w:rsidRPr="003E7EE7">
        <w:rPr>
          <w:rFonts w:cs="Tahoma"/>
        </w:rPr>
        <w:t>Before The Honourable E. Muchawa, Judge</w:t>
      </w:r>
    </w:p>
    <w:p w:rsidR="00E67776" w:rsidRPr="003E7EE7" w:rsidRDefault="00E67776" w:rsidP="00E67776">
      <w:pPr>
        <w:spacing w:line="360" w:lineRule="auto"/>
        <w:jc w:val="both"/>
        <w:rPr>
          <w:rFonts w:cs="Tahoma"/>
        </w:rPr>
      </w:pPr>
    </w:p>
    <w:p w:rsidR="00E67776" w:rsidRPr="003E7EE7" w:rsidRDefault="00E27C29" w:rsidP="00E67776">
      <w:pPr>
        <w:spacing w:line="360" w:lineRule="auto"/>
        <w:ind w:left="2880" w:hanging="2880"/>
        <w:jc w:val="both"/>
        <w:rPr>
          <w:rFonts w:cs="Tahoma"/>
          <w:b/>
        </w:rPr>
      </w:pPr>
      <w:r>
        <w:rPr>
          <w:rFonts w:cs="Tahoma"/>
          <w:b/>
        </w:rPr>
        <w:t>For Appellant</w:t>
      </w:r>
      <w:r w:rsidR="00B27C2A">
        <w:rPr>
          <w:rFonts w:cs="Tahoma"/>
          <w:b/>
        </w:rPr>
        <w:tab/>
      </w:r>
      <w:r w:rsidR="00B27C2A">
        <w:rPr>
          <w:rFonts w:cs="Tahoma"/>
          <w:b/>
        </w:rPr>
        <w:tab/>
      </w:r>
      <w:r w:rsidR="00CD689B">
        <w:rPr>
          <w:rFonts w:cs="Tahoma"/>
          <w:b/>
        </w:rPr>
        <w:t>F. Watungwa (Legal Practitioner</w:t>
      </w:r>
      <w:r w:rsidR="00E67776">
        <w:rPr>
          <w:rFonts w:cs="Tahoma"/>
          <w:b/>
        </w:rPr>
        <w:tab/>
      </w:r>
    </w:p>
    <w:p w:rsidR="00E67776" w:rsidRDefault="00E67776" w:rsidP="00247E5F">
      <w:pPr>
        <w:spacing w:line="360" w:lineRule="auto"/>
        <w:ind w:left="3600" w:hanging="3600"/>
        <w:rPr>
          <w:rFonts w:cs="Tahoma"/>
          <w:b/>
        </w:rPr>
      </w:pPr>
      <w:r w:rsidRPr="003E7EE7">
        <w:rPr>
          <w:rFonts w:cs="Tahoma"/>
          <w:b/>
        </w:rPr>
        <w:t xml:space="preserve">For </w:t>
      </w:r>
      <w:r w:rsidR="00B27C2A">
        <w:rPr>
          <w:rFonts w:cs="Tahoma"/>
          <w:b/>
        </w:rPr>
        <w:t>1</w:t>
      </w:r>
      <w:r w:rsidR="00B27C2A" w:rsidRPr="00B27C2A">
        <w:rPr>
          <w:rFonts w:cs="Tahoma"/>
          <w:b/>
          <w:vertAlign w:val="superscript"/>
        </w:rPr>
        <w:t>st</w:t>
      </w:r>
      <w:r w:rsidR="00B27C2A">
        <w:rPr>
          <w:rFonts w:cs="Tahoma"/>
          <w:b/>
        </w:rPr>
        <w:t xml:space="preserve"> &amp; 2</w:t>
      </w:r>
      <w:r w:rsidR="00B27C2A" w:rsidRPr="00B27C2A">
        <w:rPr>
          <w:rFonts w:cs="Tahoma"/>
          <w:b/>
          <w:vertAlign w:val="superscript"/>
        </w:rPr>
        <w:t>nd</w:t>
      </w:r>
      <w:r w:rsidR="00B27C2A">
        <w:rPr>
          <w:rFonts w:cs="Tahoma"/>
          <w:b/>
        </w:rPr>
        <w:t xml:space="preserve"> Respondents</w:t>
      </w:r>
      <w:r w:rsidR="00046E2B">
        <w:rPr>
          <w:rFonts w:cs="Tahoma"/>
          <w:b/>
        </w:rPr>
        <w:tab/>
      </w:r>
      <w:r w:rsidR="00246BA6">
        <w:rPr>
          <w:rFonts w:cs="Tahoma"/>
          <w:b/>
        </w:rPr>
        <w:t xml:space="preserve">P.T. </w:t>
      </w:r>
      <w:proofErr w:type="spellStart"/>
      <w:r w:rsidR="00246BA6">
        <w:rPr>
          <w:rFonts w:cs="Tahoma"/>
          <w:b/>
        </w:rPr>
        <w:t>Chakanyuka</w:t>
      </w:r>
      <w:proofErr w:type="spellEnd"/>
      <w:r w:rsidR="00247E5F">
        <w:rPr>
          <w:rFonts w:cs="Tahoma"/>
          <w:b/>
        </w:rPr>
        <w:t xml:space="preserve"> (Legal Practitioner)</w:t>
      </w:r>
    </w:p>
    <w:p w:rsidR="00247E5F" w:rsidRDefault="00247E5F" w:rsidP="00247E5F">
      <w:pPr>
        <w:spacing w:line="360" w:lineRule="auto"/>
        <w:ind w:left="3600" w:hanging="3600"/>
        <w:rPr>
          <w:rFonts w:cs="Tahoma"/>
          <w:b/>
        </w:rPr>
      </w:pPr>
      <w:r>
        <w:rPr>
          <w:rFonts w:cs="Tahoma"/>
          <w:b/>
        </w:rPr>
        <w:t>For 3</w:t>
      </w:r>
      <w:r w:rsidRPr="00247E5F">
        <w:rPr>
          <w:rFonts w:cs="Tahoma"/>
          <w:b/>
          <w:vertAlign w:val="superscript"/>
        </w:rPr>
        <w:t>rd</w:t>
      </w:r>
      <w:r>
        <w:rPr>
          <w:rFonts w:cs="Tahoma"/>
          <w:b/>
        </w:rPr>
        <w:t xml:space="preserve"> Respondent</w:t>
      </w:r>
      <w:r>
        <w:rPr>
          <w:rFonts w:cs="Tahoma"/>
          <w:b/>
        </w:rPr>
        <w:tab/>
      </w:r>
      <w:r w:rsidR="00717058">
        <w:rPr>
          <w:rFonts w:cs="Tahoma"/>
          <w:b/>
        </w:rPr>
        <w:t>In default</w:t>
      </w:r>
    </w:p>
    <w:p w:rsidR="00E27C29" w:rsidRPr="003E7EE7" w:rsidRDefault="00E27C29" w:rsidP="00E67776">
      <w:pPr>
        <w:spacing w:line="360" w:lineRule="auto"/>
        <w:ind w:left="2880" w:hanging="2880"/>
        <w:jc w:val="both"/>
        <w:rPr>
          <w:rFonts w:cs="Tahoma"/>
          <w:b/>
        </w:rPr>
      </w:pPr>
    </w:p>
    <w:p w:rsidR="00E67776" w:rsidRPr="003E7EE7" w:rsidRDefault="00E67776" w:rsidP="00E67776">
      <w:pPr>
        <w:spacing w:line="360" w:lineRule="auto"/>
        <w:ind w:left="2880" w:hanging="2880"/>
        <w:jc w:val="both"/>
        <w:rPr>
          <w:rFonts w:cs="Tahoma"/>
          <w:b/>
        </w:rPr>
      </w:pPr>
    </w:p>
    <w:p w:rsidR="00E67776" w:rsidRPr="003E7EE7" w:rsidRDefault="00E67776" w:rsidP="00E67776">
      <w:pPr>
        <w:spacing w:line="360" w:lineRule="auto"/>
        <w:jc w:val="both"/>
        <w:rPr>
          <w:rFonts w:cs="Tahoma"/>
          <w:b/>
        </w:rPr>
      </w:pPr>
      <w:r w:rsidRPr="003E7EE7">
        <w:rPr>
          <w:rFonts w:cs="Tahoma"/>
          <w:b/>
        </w:rPr>
        <w:t>MUCHAWA, J:</w:t>
      </w:r>
    </w:p>
    <w:p w:rsidR="004D0A26" w:rsidRDefault="004D0A26" w:rsidP="00D55518">
      <w:pPr>
        <w:spacing w:line="360" w:lineRule="auto"/>
        <w:jc w:val="both"/>
      </w:pPr>
    </w:p>
    <w:p w:rsidR="00D55518" w:rsidRDefault="00A12BF0" w:rsidP="00FD39C4">
      <w:pPr>
        <w:spacing w:line="360" w:lineRule="auto"/>
        <w:ind w:firstLine="720"/>
        <w:jc w:val="both"/>
      </w:pPr>
      <w:r>
        <w:t>This is an appeal against an arbitral award.</w:t>
      </w:r>
    </w:p>
    <w:p w:rsidR="00A12BF0" w:rsidRDefault="00A12BF0" w:rsidP="00435981">
      <w:pPr>
        <w:jc w:val="both"/>
      </w:pPr>
    </w:p>
    <w:p w:rsidR="00A12BF0" w:rsidRDefault="00A12BF0" w:rsidP="00FD39C4">
      <w:pPr>
        <w:spacing w:line="360" w:lineRule="auto"/>
        <w:ind w:firstLine="720"/>
        <w:jc w:val="both"/>
      </w:pPr>
      <w:r>
        <w:t xml:space="preserve">The three respondents were employed by the appellant at various times and in various capacities.  The first respondent was employed as a security guard in May </w:t>
      </w:r>
      <w:r w:rsidR="00FD39C4">
        <w:t>2011.  The second respondent served as a receptionist/clerk with effect from June 2013 whilst the third respondent was employed as a general worker in January 2013.</w:t>
      </w:r>
    </w:p>
    <w:p w:rsidR="00FD39C4" w:rsidRDefault="00FD39C4" w:rsidP="00435981">
      <w:pPr>
        <w:ind w:firstLine="720"/>
        <w:jc w:val="both"/>
      </w:pPr>
    </w:p>
    <w:p w:rsidR="00FD39C4" w:rsidRDefault="00FD39C4" w:rsidP="00FD39C4">
      <w:pPr>
        <w:spacing w:line="360" w:lineRule="auto"/>
        <w:ind w:firstLine="720"/>
        <w:jc w:val="both"/>
      </w:pPr>
      <w:r>
        <w:t>On the 28</w:t>
      </w:r>
      <w:r w:rsidRPr="00FD39C4">
        <w:rPr>
          <w:vertAlign w:val="superscript"/>
        </w:rPr>
        <w:t>th</w:t>
      </w:r>
      <w:r>
        <w:t xml:space="preserve"> of February 2014 all three respondents were served with letters written as follows;</w:t>
      </w:r>
    </w:p>
    <w:p w:rsidR="00FD39C4" w:rsidRDefault="00FD39C4" w:rsidP="00FD39C4">
      <w:pPr>
        <w:spacing w:line="360" w:lineRule="auto"/>
        <w:ind w:firstLine="720"/>
        <w:jc w:val="both"/>
      </w:pPr>
    </w:p>
    <w:p w:rsidR="00FD39C4" w:rsidRPr="007A19F7" w:rsidRDefault="00FD39C4" w:rsidP="007A19F7">
      <w:pPr>
        <w:spacing w:line="276" w:lineRule="auto"/>
        <w:ind w:left="1440" w:hanging="720"/>
        <w:jc w:val="both"/>
        <w:rPr>
          <w:sz w:val="22"/>
          <w:szCs w:val="22"/>
        </w:rPr>
      </w:pPr>
      <w:r w:rsidRPr="007A19F7">
        <w:rPr>
          <w:sz w:val="22"/>
          <w:szCs w:val="22"/>
        </w:rPr>
        <w:lastRenderedPageBreak/>
        <w:t>“</w:t>
      </w:r>
      <w:r w:rsidR="00F10F5A" w:rsidRPr="007A19F7">
        <w:rPr>
          <w:sz w:val="22"/>
          <w:szCs w:val="22"/>
        </w:rPr>
        <w:t>RE:</w:t>
      </w:r>
      <w:r w:rsidR="00F10F5A" w:rsidRPr="007A19F7">
        <w:rPr>
          <w:sz w:val="22"/>
          <w:szCs w:val="22"/>
        </w:rPr>
        <w:tab/>
      </w:r>
      <w:r w:rsidRPr="007A19F7">
        <w:rPr>
          <w:sz w:val="22"/>
          <w:szCs w:val="22"/>
        </w:rPr>
        <w:t>NOTIFICA</w:t>
      </w:r>
      <w:r w:rsidR="009D5A9C" w:rsidRPr="007A19F7">
        <w:rPr>
          <w:sz w:val="22"/>
          <w:szCs w:val="22"/>
        </w:rPr>
        <w:t>TION OF RETRENCHMENT DUE TO CURRENT ECONOMI</w:t>
      </w:r>
      <w:r w:rsidR="003B57A2">
        <w:rPr>
          <w:sz w:val="22"/>
          <w:szCs w:val="22"/>
        </w:rPr>
        <w:t>C HARDS</w:t>
      </w:r>
      <w:r w:rsidR="00C37ED2">
        <w:rPr>
          <w:sz w:val="22"/>
          <w:szCs w:val="22"/>
        </w:rPr>
        <w:t>HIPS</w:t>
      </w:r>
      <w:r w:rsidR="009D5A9C" w:rsidRPr="007A19F7">
        <w:rPr>
          <w:sz w:val="22"/>
          <w:szCs w:val="22"/>
        </w:rPr>
        <w:t xml:space="preserve"> FACED BY THE SCHOOL</w:t>
      </w:r>
    </w:p>
    <w:p w:rsidR="009D5A9C" w:rsidRPr="007A19F7" w:rsidRDefault="009D5A9C" w:rsidP="007A19F7">
      <w:pPr>
        <w:ind w:firstLine="720"/>
        <w:jc w:val="both"/>
        <w:rPr>
          <w:sz w:val="22"/>
          <w:szCs w:val="22"/>
        </w:rPr>
      </w:pPr>
    </w:p>
    <w:p w:rsidR="009D5A9C" w:rsidRPr="007A19F7" w:rsidRDefault="009D5A9C" w:rsidP="007A19F7">
      <w:pPr>
        <w:spacing w:line="276" w:lineRule="auto"/>
        <w:ind w:left="720"/>
        <w:jc w:val="both"/>
        <w:rPr>
          <w:sz w:val="22"/>
          <w:szCs w:val="22"/>
        </w:rPr>
      </w:pPr>
      <w:r w:rsidRPr="007A19F7">
        <w:rPr>
          <w:sz w:val="22"/>
          <w:szCs w:val="22"/>
        </w:rPr>
        <w:t>It is with regret that I hereby notify you of your due retrenchment which will be effected on 01 June 2014 because of the current economic hardships</w:t>
      </w:r>
      <w:r w:rsidR="008A1289" w:rsidRPr="007A19F7">
        <w:rPr>
          <w:sz w:val="22"/>
          <w:szCs w:val="22"/>
        </w:rPr>
        <w:t>.</w:t>
      </w:r>
    </w:p>
    <w:p w:rsidR="000927D2" w:rsidRPr="007A19F7" w:rsidRDefault="000927D2" w:rsidP="007A19F7">
      <w:pPr>
        <w:ind w:firstLine="720"/>
        <w:jc w:val="both"/>
        <w:rPr>
          <w:sz w:val="22"/>
          <w:szCs w:val="22"/>
        </w:rPr>
      </w:pPr>
    </w:p>
    <w:p w:rsidR="000927D2" w:rsidRPr="007A19F7" w:rsidRDefault="000927D2" w:rsidP="007A19F7">
      <w:pPr>
        <w:spacing w:line="276" w:lineRule="auto"/>
        <w:ind w:left="720"/>
        <w:jc w:val="both"/>
        <w:rPr>
          <w:sz w:val="22"/>
          <w:szCs w:val="22"/>
        </w:rPr>
      </w:pPr>
      <w:r w:rsidRPr="007A19F7">
        <w:rPr>
          <w:sz w:val="22"/>
          <w:szCs w:val="22"/>
        </w:rPr>
        <w:t xml:space="preserve">Effectively, you will be on notice for three months stating from 01 March 2014 </w:t>
      </w:r>
      <w:r w:rsidR="00F10F5A" w:rsidRPr="007A19F7">
        <w:rPr>
          <w:sz w:val="22"/>
          <w:szCs w:val="22"/>
        </w:rPr>
        <w:t>o</w:t>
      </w:r>
      <w:r w:rsidRPr="007A19F7">
        <w:rPr>
          <w:sz w:val="22"/>
          <w:szCs w:val="22"/>
        </w:rPr>
        <w:t>n full pay.</w:t>
      </w:r>
    </w:p>
    <w:p w:rsidR="000927D2" w:rsidRPr="007A19F7" w:rsidRDefault="000927D2" w:rsidP="007A19F7">
      <w:pPr>
        <w:ind w:firstLine="720"/>
        <w:jc w:val="both"/>
        <w:rPr>
          <w:sz w:val="22"/>
          <w:szCs w:val="22"/>
        </w:rPr>
      </w:pPr>
    </w:p>
    <w:p w:rsidR="000927D2" w:rsidRPr="007A19F7" w:rsidRDefault="000927D2" w:rsidP="007A19F7">
      <w:pPr>
        <w:spacing w:line="276" w:lineRule="auto"/>
        <w:ind w:left="720"/>
        <w:jc w:val="both"/>
        <w:rPr>
          <w:sz w:val="22"/>
          <w:szCs w:val="22"/>
        </w:rPr>
      </w:pPr>
      <w:r w:rsidRPr="007A19F7">
        <w:rPr>
          <w:sz w:val="22"/>
          <w:szCs w:val="22"/>
        </w:rPr>
        <w:t>You are also being notified that you will receive the terminal benefits due to you when funds permit. …..”</w:t>
      </w:r>
    </w:p>
    <w:p w:rsidR="007A19F7" w:rsidRDefault="007A19F7" w:rsidP="007A19F7">
      <w:pPr>
        <w:jc w:val="both"/>
      </w:pPr>
    </w:p>
    <w:p w:rsidR="007A19F7" w:rsidRDefault="007A19F7" w:rsidP="00F91264">
      <w:pPr>
        <w:spacing w:line="360" w:lineRule="auto"/>
        <w:ind w:firstLine="720"/>
        <w:jc w:val="both"/>
      </w:pPr>
      <w:r>
        <w:t xml:space="preserve">On the </w:t>
      </w:r>
      <w:r w:rsidR="00F91264">
        <w:t>1</w:t>
      </w:r>
      <w:r w:rsidR="00F91264" w:rsidRPr="00F91264">
        <w:rPr>
          <w:vertAlign w:val="superscript"/>
        </w:rPr>
        <w:t>st</w:t>
      </w:r>
      <w:r w:rsidR="00F91264">
        <w:t xml:space="preserve"> of October the respondents lodged a complaint alleging non payment of retrenchment packages, leave and underpayment of wages with the labour officer.</w:t>
      </w:r>
    </w:p>
    <w:p w:rsidR="00F91264" w:rsidRDefault="00F91264" w:rsidP="00344C36">
      <w:pPr>
        <w:ind w:firstLine="720"/>
        <w:jc w:val="both"/>
      </w:pPr>
    </w:p>
    <w:p w:rsidR="00F91264" w:rsidRDefault="00F91264" w:rsidP="00F91264">
      <w:pPr>
        <w:spacing w:line="360" w:lineRule="auto"/>
        <w:ind w:firstLine="720"/>
        <w:jc w:val="both"/>
      </w:pPr>
      <w:r>
        <w:t>The labour officer on the 23</w:t>
      </w:r>
      <w:r w:rsidRPr="00F91264">
        <w:rPr>
          <w:vertAlign w:val="superscript"/>
        </w:rPr>
        <w:t>rd</w:t>
      </w:r>
      <w:r>
        <w:t xml:space="preserve"> of October issued out a certificate of no settlement and a reference to arbitration with the following terms of reference;</w:t>
      </w:r>
    </w:p>
    <w:p w:rsidR="00F91264" w:rsidRDefault="00F91264" w:rsidP="00344C36">
      <w:pPr>
        <w:ind w:firstLine="720"/>
        <w:jc w:val="both"/>
      </w:pPr>
    </w:p>
    <w:p w:rsidR="00C16A85" w:rsidRPr="00186180" w:rsidRDefault="00C16A85" w:rsidP="00186180">
      <w:pPr>
        <w:spacing w:line="276" w:lineRule="auto"/>
        <w:ind w:firstLine="720"/>
        <w:jc w:val="both"/>
        <w:rPr>
          <w:sz w:val="22"/>
          <w:szCs w:val="22"/>
        </w:rPr>
      </w:pPr>
      <w:r w:rsidRPr="00186180">
        <w:rPr>
          <w:sz w:val="22"/>
          <w:szCs w:val="22"/>
        </w:rPr>
        <w:t xml:space="preserve">“To determine the payment plan of the retrenchment packages of </w:t>
      </w:r>
    </w:p>
    <w:p w:rsidR="00F91264" w:rsidRPr="00186180" w:rsidRDefault="00C16A85" w:rsidP="00186180">
      <w:pPr>
        <w:spacing w:line="276" w:lineRule="auto"/>
        <w:ind w:firstLine="720"/>
        <w:jc w:val="both"/>
        <w:rPr>
          <w:sz w:val="22"/>
          <w:szCs w:val="22"/>
        </w:rPr>
      </w:pPr>
      <w:r w:rsidRPr="00186180">
        <w:rPr>
          <w:sz w:val="22"/>
          <w:szCs w:val="22"/>
        </w:rPr>
        <w:t>Langton Muvembi</w:t>
      </w:r>
      <w:r w:rsidR="002B35AE" w:rsidRPr="00186180">
        <w:rPr>
          <w:sz w:val="22"/>
          <w:szCs w:val="22"/>
        </w:rPr>
        <w:tab/>
      </w:r>
      <w:r w:rsidR="002B35AE" w:rsidRPr="00186180">
        <w:rPr>
          <w:sz w:val="22"/>
          <w:szCs w:val="22"/>
        </w:rPr>
        <w:tab/>
      </w:r>
      <w:r w:rsidR="002B35AE" w:rsidRPr="00186180">
        <w:rPr>
          <w:sz w:val="22"/>
          <w:szCs w:val="22"/>
        </w:rPr>
        <w:tab/>
        <w:t>$2 643.50</w:t>
      </w:r>
    </w:p>
    <w:p w:rsidR="002B35AE" w:rsidRPr="00186180" w:rsidRDefault="002B35AE" w:rsidP="00186180">
      <w:pPr>
        <w:spacing w:line="276" w:lineRule="auto"/>
        <w:ind w:firstLine="720"/>
        <w:jc w:val="both"/>
        <w:rPr>
          <w:sz w:val="22"/>
          <w:szCs w:val="22"/>
        </w:rPr>
      </w:pPr>
      <w:r w:rsidRPr="00186180">
        <w:rPr>
          <w:sz w:val="22"/>
          <w:szCs w:val="22"/>
        </w:rPr>
        <w:t>Olivia Chimheno</w:t>
      </w:r>
      <w:r w:rsidRPr="00186180">
        <w:rPr>
          <w:sz w:val="22"/>
          <w:szCs w:val="22"/>
        </w:rPr>
        <w:tab/>
      </w:r>
      <w:r w:rsidRPr="00186180">
        <w:rPr>
          <w:sz w:val="22"/>
          <w:szCs w:val="22"/>
        </w:rPr>
        <w:tab/>
      </w:r>
      <w:r w:rsidRPr="00186180">
        <w:rPr>
          <w:sz w:val="22"/>
          <w:szCs w:val="22"/>
        </w:rPr>
        <w:tab/>
        <w:t>$7 820.00</w:t>
      </w:r>
    </w:p>
    <w:p w:rsidR="00271C80" w:rsidRPr="00186180" w:rsidRDefault="00686882" w:rsidP="00186180">
      <w:pPr>
        <w:spacing w:line="276" w:lineRule="auto"/>
        <w:ind w:firstLine="720"/>
        <w:jc w:val="both"/>
        <w:rPr>
          <w:sz w:val="22"/>
          <w:szCs w:val="22"/>
        </w:rPr>
      </w:pPr>
      <w:r w:rsidRPr="00186180">
        <w:rPr>
          <w:sz w:val="22"/>
          <w:szCs w:val="22"/>
        </w:rPr>
        <w:t>Gertrude</w:t>
      </w:r>
      <w:r w:rsidR="00271C80" w:rsidRPr="00186180">
        <w:rPr>
          <w:sz w:val="22"/>
          <w:szCs w:val="22"/>
        </w:rPr>
        <w:t xml:space="preserve"> Benjamin</w:t>
      </w:r>
      <w:r w:rsidR="00271C80" w:rsidRPr="00186180">
        <w:rPr>
          <w:sz w:val="22"/>
          <w:szCs w:val="22"/>
        </w:rPr>
        <w:tab/>
      </w:r>
      <w:r w:rsidR="00271C80" w:rsidRPr="00186180">
        <w:rPr>
          <w:sz w:val="22"/>
          <w:szCs w:val="22"/>
        </w:rPr>
        <w:tab/>
      </w:r>
      <w:r w:rsidR="00271C80" w:rsidRPr="00186180">
        <w:rPr>
          <w:sz w:val="22"/>
          <w:szCs w:val="22"/>
        </w:rPr>
        <w:tab/>
        <w:t>$1 115.00”</w:t>
      </w:r>
      <w:r w:rsidR="00271C80" w:rsidRPr="00186180">
        <w:rPr>
          <w:sz w:val="22"/>
          <w:szCs w:val="22"/>
        </w:rPr>
        <w:tab/>
      </w:r>
    </w:p>
    <w:p w:rsidR="00271C80" w:rsidRDefault="00271C80" w:rsidP="00344C36">
      <w:pPr>
        <w:jc w:val="both"/>
      </w:pPr>
    </w:p>
    <w:p w:rsidR="0066689E" w:rsidRDefault="00271C80" w:rsidP="0066689E">
      <w:pPr>
        <w:spacing w:line="360" w:lineRule="auto"/>
        <w:ind w:firstLine="720"/>
        <w:jc w:val="both"/>
      </w:pPr>
      <w:r>
        <w:t xml:space="preserve">The appellant </w:t>
      </w:r>
      <w:r w:rsidR="004C5DDD">
        <w:t>then instructed legal practitioners to represent it before</w:t>
      </w:r>
      <w:r w:rsidR="005E6409">
        <w:t xml:space="preserve"> the arbitrator.  The legal practitioners made submissions to the effect that the issue before the arbitrator should be whether or </w:t>
      </w:r>
      <w:r w:rsidR="0066689E">
        <w:t>not the respondents were entitled to the various amounts claimed.  It was argued that the respondents were instead only entitled to amounts to be calculated in terms of Section 13 of the Labour Act [Chapter 28:01].</w:t>
      </w:r>
      <w:r>
        <w:tab/>
      </w:r>
    </w:p>
    <w:p w:rsidR="0066689E" w:rsidRDefault="0066689E" w:rsidP="00344C36">
      <w:pPr>
        <w:ind w:firstLine="720"/>
        <w:jc w:val="both"/>
      </w:pPr>
    </w:p>
    <w:p w:rsidR="0066689E" w:rsidRDefault="0066689E" w:rsidP="0066689E">
      <w:pPr>
        <w:spacing w:line="360" w:lineRule="auto"/>
        <w:ind w:firstLine="720"/>
        <w:jc w:val="both"/>
      </w:pPr>
      <w:r>
        <w:t>It was further contended that the purported termination fell short of a retrenchment as it failed to comply with the provisions of the Labour Relations (Retrenchment) Regulations Statutory Instrument 186 of 2003.</w:t>
      </w:r>
    </w:p>
    <w:p w:rsidR="0066689E" w:rsidRDefault="0066689E" w:rsidP="00344C36">
      <w:pPr>
        <w:ind w:firstLine="720"/>
        <w:jc w:val="both"/>
      </w:pPr>
    </w:p>
    <w:p w:rsidR="00E848BA" w:rsidRDefault="002658E2" w:rsidP="0066689E">
      <w:pPr>
        <w:spacing w:line="360" w:lineRule="auto"/>
        <w:ind w:firstLine="720"/>
        <w:jc w:val="both"/>
      </w:pPr>
      <w:r>
        <w:t>The arbitrator found that her mandate was spelt out in the terms of reference and this was to determine the payment plan of the retrenchment package already agreed on.  She ordered that the agreed amounts be paid in three instalments with effect from 30</w:t>
      </w:r>
      <w:r w:rsidRPr="002658E2">
        <w:rPr>
          <w:vertAlign w:val="superscript"/>
        </w:rPr>
        <w:t>th</w:t>
      </w:r>
      <w:r>
        <w:t xml:space="preserve"> June</w:t>
      </w:r>
      <w:r w:rsidR="00E848BA">
        <w:t xml:space="preserve"> 2015 TO 31 August 2015.</w:t>
      </w:r>
    </w:p>
    <w:p w:rsidR="00E848BA" w:rsidRDefault="00E848BA" w:rsidP="00344C36">
      <w:pPr>
        <w:ind w:firstLine="720"/>
        <w:jc w:val="both"/>
      </w:pPr>
    </w:p>
    <w:p w:rsidR="00E848BA" w:rsidRDefault="00E848BA" w:rsidP="0066689E">
      <w:pPr>
        <w:spacing w:line="360" w:lineRule="auto"/>
        <w:ind w:firstLine="720"/>
        <w:jc w:val="both"/>
      </w:pPr>
      <w:r>
        <w:t>The grounds of appeal before me are;</w:t>
      </w:r>
    </w:p>
    <w:p w:rsidR="00E848BA" w:rsidRDefault="00E848BA" w:rsidP="007F14E7">
      <w:pPr>
        <w:ind w:firstLine="720"/>
        <w:jc w:val="both"/>
      </w:pPr>
    </w:p>
    <w:p w:rsidR="002B35AE" w:rsidRDefault="00E848BA" w:rsidP="00E848BA">
      <w:pPr>
        <w:pStyle w:val="ListParagraph"/>
        <w:numPr>
          <w:ilvl w:val="0"/>
          <w:numId w:val="2"/>
        </w:numPr>
        <w:spacing w:line="360" w:lineRule="auto"/>
        <w:jc w:val="both"/>
      </w:pPr>
      <w:r>
        <w:t xml:space="preserve">The </w:t>
      </w:r>
      <w:r w:rsidR="004F332E">
        <w:t>L</w:t>
      </w:r>
      <w:r>
        <w:t xml:space="preserve">earned </w:t>
      </w:r>
      <w:r w:rsidR="004F332E">
        <w:t>A</w:t>
      </w:r>
      <w:r>
        <w:t xml:space="preserve">rbitrator erred at law in concluding that the issue for determination before her related to a payment plan yet it was abundantly clear from appellant’s submissions in the Court a quo that liability was disputed and had to </w:t>
      </w:r>
      <w:r w:rsidR="008B07C6">
        <w:t>b</w:t>
      </w:r>
      <w:r>
        <w:t>e determined first.</w:t>
      </w:r>
    </w:p>
    <w:p w:rsidR="00A864EB" w:rsidRDefault="00A864EB" w:rsidP="007F14E7">
      <w:pPr>
        <w:pStyle w:val="ListParagraph"/>
        <w:jc w:val="both"/>
      </w:pPr>
    </w:p>
    <w:p w:rsidR="00E848BA" w:rsidRDefault="00A864EB" w:rsidP="00E848BA">
      <w:pPr>
        <w:pStyle w:val="ListParagraph"/>
        <w:numPr>
          <w:ilvl w:val="0"/>
          <w:numId w:val="2"/>
        </w:numPr>
        <w:spacing w:line="360" w:lineRule="auto"/>
        <w:jc w:val="both"/>
      </w:pPr>
      <w:r>
        <w:t xml:space="preserve">That as liability was disputed as stipulated above, the learned Arbitrator erred at law in failing to resolve the issue of liability first, before delving into issues of payment </w:t>
      </w:r>
      <w:r w:rsidR="00CD692A">
        <w:t>plan</w:t>
      </w:r>
      <w:r>
        <w:t>.</w:t>
      </w:r>
    </w:p>
    <w:p w:rsidR="00A864EB" w:rsidRDefault="00A864EB" w:rsidP="00A864EB">
      <w:pPr>
        <w:pStyle w:val="ListParagraph"/>
      </w:pPr>
    </w:p>
    <w:p w:rsidR="00A864EB" w:rsidRDefault="004F332E" w:rsidP="00E848BA">
      <w:pPr>
        <w:pStyle w:val="ListParagraph"/>
        <w:numPr>
          <w:ilvl w:val="0"/>
          <w:numId w:val="2"/>
        </w:numPr>
        <w:spacing w:line="360" w:lineRule="auto"/>
        <w:jc w:val="both"/>
      </w:pPr>
      <w:r>
        <w:t>That the Learned Arbitrator</w:t>
      </w:r>
      <w:r w:rsidR="002963CE">
        <w:t xml:space="preserve"> erred in law in treating the respondents as beneficiaries</w:t>
      </w:r>
      <w:r w:rsidR="00595B66">
        <w:t xml:space="preserve"> of a retrenchment exercise yet in law no such retrenchment never took place (sic).</w:t>
      </w:r>
    </w:p>
    <w:p w:rsidR="00595B66" w:rsidRDefault="00595B66" w:rsidP="00595B66">
      <w:pPr>
        <w:pStyle w:val="ListParagraph"/>
      </w:pPr>
    </w:p>
    <w:p w:rsidR="00595B66" w:rsidRDefault="00595B66" w:rsidP="00E848BA">
      <w:pPr>
        <w:pStyle w:val="ListParagraph"/>
        <w:numPr>
          <w:ilvl w:val="0"/>
          <w:numId w:val="2"/>
        </w:numPr>
        <w:spacing w:line="360" w:lineRule="auto"/>
        <w:jc w:val="both"/>
      </w:pPr>
      <w:r>
        <w:t>The Honourable Arbitrator erred in law in completely disregarding appellant (respondent</w:t>
      </w:r>
      <w:r w:rsidR="00A15F2F">
        <w:t xml:space="preserve"> in the Court a quo’s) submission that the matter before her fell to be determined within the purview of </w:t>
      </w:r>
      <w:r w:rsidR="0052165F">
        <w:t>Section</w:t>
      </w:r>
      <w:r w:rsidR="00A15F2F">
        <w:t xml:space="preserve"> 13 (1) of the Labour Act, [Chapter 28:01] yet that was the correct legal position.</w:t>
      </w:r>
    </w:p>
    <w:p w:rsidR="0052165F" w:rsidRDefault="0052165F" w:rsidP="0052165F">
      <w:pPr>
        <w:pStyle w:val="ListParagraph"/>
      </w:pPr>
    </w:p>
    <w:p w:rsidR="0052165F" w:rsidRDefault="0052165F" w:rsidP="0052165F">
      <w:pPr>
        <w:spacing w:line="360" w:lineRule="auto"/>
        <w:jc w:val="both"/>
      </w:pPr>
      <w:r>
        <w:t>The appellant prays for the setting aside</w:t>
      </w:r>
      <w:r w:rsidR="009E6F73">
        <w:t xml:space="preserve"> of the arbitral award.  The appeal is opposed and I deal with grounds 1 a</w:t>
      </w:r>
      <w:r w:rsidR="00DF50BB">
        <w:t>n</w:t>
      </w:r>
      <w:r w:rsidR="009E6F73">
        <w:t>d</w:t>
      </w:r>
      <w:r w:rsidR="00DF50BB">
        <w:t xml:space="preserve"> 2</w:t>
      </w:r>
      <w:r w:rsidR="00A85EA7">
        <w:t xml:space="preserve"> together first before looking at grounds 3 and 4.</w:t>
      </w:r>
    </w:p>
    <w:p w:rsidR="00A85EA7" w:rsidRDefault="00A85EA7" w:rsidP="00113557">
      <w:pPr>
        <w:jc w:val="both"/>
      </w:pPr>
    </w:p>
    <w:p w:rsidR="00A85EA7" w:rsidRPr="00EF1E61" w:rsidRDefault="00A85EA7" w:rsidP="0052165F">
      <w:pPr>
        <w:spacing w:line="360" w:lineRule="auto"/>
        <w:jc w:val="both"/>
        <w:rPr>
          <w:u w:val="single"/>
        </w:rPr>
      </w:pPr>
      <w:r w:rsidRPr="00EF1E61">
        <w:rPr>
          <w:u w:val="single"/>
        </w:rPr>
        <w:t>Grounds 1 and 2 – Whether or not the arbitrator should have considered</w:t>
      </w:r>
      <w:r w:rsidR="0068183C" w:rsidRPr="00EF1E61">
        <w:rPr>
          <w:u w:val="single"/>
        </w:rPr>
        <w:t xml:space="preserve"> the issue of liability first</w:t>
      </w:r>
    </w:p>
    <w:p w:rsidR="00707396" w:rsidRDefault="00707396" w:rsidP="00113557">
      <w:pPr>
        <w:jc w:val="both"/>
      </w:pPr>
    </w:p>
    <w:p w:rsidR="00707396" w:rsidRDefault="00707396" w:rsidP="0052165F">
      <w:pPr>
        <w:spacing w:line="360" w:lineRule="auto"/>
        <w:jc w:val="both"/>
      </w:pPr>
      <w:r>
        <w:tab/>
        <w:t xml:space="preserve">It is the appellant’s argument that the issue referred to conciliation was not settled as shown by the certificate of no settlement on Form </w:t>
      </w:r>
      <w:r w:rsidR="00826265">
        <w:t>LR2 and page 27 of record.  That issue related to the alleged non payment of retrenchment packages, leave and underpayment</w:t>
      </w:r>
      <w:r w:rsidR="00EF1E61">
        <w:t xml:space="preserve"> of wages.</w:t>
      </w:r>
    </w:p>
    <w:p w:rsidR="006E6D3C" w:rsidRDefault="006E6D3C" w:rsidP="00113557">
      <w:pPr>
        <w:jc w:val="both"/>
      </w:pPr>
    </w:p>
    <w:p w:rsidR="006E6D3C" w:rsidRDefault="006E6D3C" w:rsidP="00113557">
      <w:pPr>
        <w:jc w:val="both"/>
      </w:pPr>
      <w:r>
        <w:tab/>
        <w:t>I was then referred to the Reference to Arbitration in Form LR4</w:t>
      </w:r>
      <w:r w:rsidR="003C19D0">
        <w:t xml:space="preserve"> which sets out the terms of reference as determining a payment plan.</w:t>
      </w:r>
    </w:p>
    <w:p w:rsidR="003C19D0" w:rsidRDefault="003C19D0" w:rsidP="0052165F">
      <w:pPr>
        <w:spacing w:line="360" w:lineRule="auto"/>
        <w:jc w:val="both"/>
      </w:pPr>
    </w:p>
    <w:p w:rsidR="003C19D0" w:rsidRDefault="003C19D0" w:rsidP="0052165F">
      <w:pPr>
        <w:spacing w:line="360" w:lineRule="auto"/>
        <w:jc w:val="both"/>
      </w:pPr>
      <w:r>
        <w:lastRenderedPageBreak/>
        <w:tab/>
      </w:r>
      <w:r w:rsidR="00784CB3">
        <w:t xml:space="preserve">It is argued that the arbitrator should therefore have dealt with the issue of </w:t>
      </w:r>
      <w:r w:rsidR="00DE52A5">
        <w:t>liability</w:t>
      </w:r>
      <w:r w:rsidR="00784CB3">
        <w:t xml:space="preserve"> first in line with the appellant’s submissions filed with the arbitrator</w:t>
      </w:r>
      <w:r w:rsidR="00DE52A5">
        <w:t>.</w:t>
      </w:r>
    </w:p>
    <w:p w:rsidR="00F26B22" w:rsidRDefault="00F26B22" w:rsidP="00113557">
      <w:pPr>
        <w:spacing w:line="276" w:lineRule="auto"/>
        <w:jc w:val="both"/>
      </w:pPr>
    </w:p>
    <w:p w:rsidR="00F26B22" w:rsidRDefault="00F26B22" w:rsidP="0052165F">
      <w:pPr>
        <w:spacing w:line="360" w:lineRule="auto"/>
        <w:jc w:val="both"/>
      </w:pPr>
      <w:r>
        <w:tab/>
      </w:r>
      <w:r w:rsidR="00544085">
        <w:t>The respondents argue that the arbitrator correctly stood guided by the terms of reference referred from conciliation.</w:t>
      </w:r>
    </w:p>
    <w:p w:rsidR="00544085" w:rsidRDefault="00544085" w:rsidP="00113557">
      <w:pPr>
        <w:jc w:val="both"/>
      </w:pPr>
    </w:p>
    <w:p w:rsidR="00544085" w:rsidRDefault="00544085" w:rsidP="00113557">
      <w:pPr>
        <w:spacing w:line="360" w:lineRule="auto"/>
        <w:jc w:val="both"/>
      </w:pPr>
      <w:r>
        <w:tab/>
      </w:r>
      <w:r w:rsidR="00E17518">
        <w:t xml:space="preserve">The case of </w:t>
      </w:r>
      <w:r w:rsidR="00E17518" w:rsidRPr="00551B31">
        <w:rPr>
          <w:i/>
        </w:rPr>
        <w:t>Ballantyne Butchery (Pvt) Ltd t/a Danmeats</w:t>
      </w:r>
      <w:r w:rsidR="00E17518">
        <w:t xml:space="preserve"> v </w:t>
      </w:r>
      <w:r w:rsidR="00E17518" w:rsidRPr="00113557">
        <w:rPr>
          <w:i/>
        </w:rPr>
        <w:t>Edmore Chisvinga</w:t>
      </w:r>
      <w:r w:rsidR="00E17518">
        <w:t xml:space="preserve"> </w:t>
      </w:r>
      <w:r w:rsidR="00E17518" w:rsidRPr="00113557">
        <w:rPr>
          <w:i/>
        </w:rPr>
        <w:t>&amp; ORS</w:t>
      </w:r>
      <w:r w:rsidR="00E17518">
        <w:t xml:space="preserve"> SC/</w:t>
      </w:r>
      <w:r w:rsidR="00DB7D95">
        <w:t>6/2015 has settled this matter.</w:t>
      </w:r>
    </w:p>
    <w:p w:rsidR="00DB7D95" w:rsidRDefault="00DB7D95" w:rsidP="00551B31">
      <w:pPr>
        <w:jc w:val="both"/>
      </w:pPr>
    </w:p>
    <w:p w:rsidR="00DB7D95" w:rsidRDefault="00DB7D95" w:rsidP="000E0B31">
      <w:pPr>
        <w:spacing w:line="360" w:lineRule="auto"/>
        <w:ind w:firstLine="720"/>
        <w:jc w:val="both"/>
      </w:pPr>
      <w:r>
        <w:t xml:space="preserve">Where a dispute is referred to compulsory arbitration by a labour officer, section 98 (4) </w:t>
      </w:r>
      <w:r w:rsidR="00CC70EF">
        <w:t>of the Labour Act enjoins the officer to determine the arbitrator’s terms of reference after consultation with the parties.  In casu the sole issue to</w:t>
      </w:r>
      <w:r w:rsidR="00F056C4">
        <w:t xml:space="preserve"> be determined by</w:t>
      </w:r>
      <w:r w:rsidR="000E0B31">
        <w:t xml:space="preserve"> the arbitrator as framed by the referring authority was as follows;</w:t>
      </w:r>
    </w:p>
    <w:p w:rsidR="000E0B31" w:rsidRDefault="000E0B31" w:rsidP="00551B31">
      <w:pPr>
        <w:ind w:firstLine="720"/>
        <w:jc w:val="both"/>
      </w:pPr>
    </w:p>
    <w:p w:rsidR="000E0B31" w:rsidRPr="00551B31" w:rsidRDefault="00D80582" w:rsidP="000E0B31">
      <w:pPr>
        <w:spacing w:line="360" w:lineRule="auto"/>
        <w:ind w:firstLine="720"/>
        <w:jc w:val="both"/>
        <w:rPr>
          <w:sz w:val="22"/>
          <w:szCs w:val="22"/>
        </w:rPr>
      </w:pPr>
      <w:r w:rsidRPr="00551B31">
        <w:rPr>
          <w:sz w:val="22"/>
          <w:szCs w:val="22"/>
        </w:rPr>
        <w:t>“To determine the payment plan of the retrenchment packages ….”</w:t>
      </w:r>
    </w:p>
    <w:p w:rsidR="00D80582" w:rsidRDefault="00D80582" w:rsidP="00A84B58">
      <w:pPr>
        <w:ind w:firstLine="720"/>
        <w:jc w:val="both"/>
      </w:pPr>
    </w:p>
    <w:p w:rsidR="00D80582" w:rsidRDefault="00D80582" w:rsidP="000E0B31">
      <w:pPr>
        <w:spacing w:line="360" w:lineRule="auto"/>
        <w:ind w:firstLine="720"/>
        <w:jc w:val="both"/>
      </w:pPr>
      <w:r>
        <w:t>It appears from the letter of complaint and the reference to arbitration that at the time of referral, the issue remaining to be resolved was the payment plan hence the certificate of no settlement</w:t>
      </w:r>
      <w:r w:rsidR="00976B63">
        <w:t>.  Liability and the amounts to be paid were already settled.</w:t>
      </w:r>
    </w:p>
    <w:p w:rsidR="00976B63" w:rsidRDefault="00976B63" w:rsidP="00A84B58">
      <w:pPr>
        <w:ind w:firstLine="720"/>
        <w:jc w:val="both"/>
      </w:pPr>
    </w:p>
    <w:p w:rsidR="00976B63" w:rsidRDefault="00976B63" w:rsidP="000E0B31">
      <w:pPr>
        <w:spacing w:line="360" w:lineRule="auto"/>
        <w:ind w:firstLine="720"/>
        <w:jc w:val="both"/>
      </w:pPr>
      <w:r>
        <w:t xml:space="preserve">It was therefore not within the arbitrator’s remit to deal with the question of </w:t>
      </w:r>
      <w:r w:rsidR="005534CF">
        <w:t>liability</w:t>
      </w:r>
      <w:r>
        <w:t xml:space="preserve"> as that would be exceeding her terms of reference and that would be a clear misdirectio</w:t>
      </w:r>
      <w:r w:rsidR="005534CF">
        <w:t>n at law.</w:t>
      </w:r>
    </w:p>
    <w:p w:rsidR="00B07D50" w:rsidRDefault="00B07D50" w:rsidP="00A84B58">
      <w:pPr>
        <w:ind w:firstLine="720"/>
        <w:jc w:val="both"/>
      </w:pPr>
    </w:p>
    <w:p w:rsidR="00B07D50" w:rsidRDefault="00B07D50" w:rsidP="000E0B31">
      <w:pPr>
        <w:spacing w:line="360" w:lineRule="auto"/>
        <w:ind w:firstLine="720"/>
        <w:jc w:val="both"/>
      </w:pPr>
      <w:r>
        <w:t xml:space="preserve">It is in fact the terms of reference which spell out the issues before the arbitrator, and not the submissions by the parties.  </w:t>
      </w:r>
    </w:p>
    <w:p w:rsidR="00B07D50" w:rsidRDefault="00B07D50" w:rsidP="00A84B58">
      <w:pPr>
        <w:ind w:firstLine="720"/>
        <w:jc w:val="both"/>
      </w:pPr>
    </w:p>
    <w:p w:rsidR="00B07D50" w:rsidRDefault="00B07D50" w:rsidP="000E0B31">
      <w:pPr>
        <w:spacing w:line="360" w:lineRule="auto"/>
        <w:ind w:firstLine="720"/>
        <w:jc w:val="both"/>
      </w:pPr>
      <w:r>
        <w:t>I therefore find that the arbitrator did not err in not</w:t>
      </w:r>
      <w:r w:rsidR="000F5807">
        <w:t xml:space="preserve"> dealing with the question of liability.</w:t>
      </w:r>
    </w:p>
    <w:p w:rsidR="000F5807" w:rsidRDefault="000F5807" w:rsidP="00EF2854">
      <w:pPr>
        <w:jc w:val="both"/>
      </w:pPr>
      <w:bookmarkStart w:id="0" w:name="_GoBack"/>
      <w:bookmarkEnd w:id="0"/>
    </w:p>
    <w:p w:rsidR="000F5807" w:rsidRPr="00C642C7" w:rsidRDefault="000F5807" w:rsidP="000F5807">
      <w:pPr>
        <w:spacing w:line="360" w:lineRule="auto"/>
        <w:jc w:val="both"/>
        <w:rPr>
          <w:u w:val="single"/>
        </w:rPr>
      </w:pPr>
      <w:r w:rsidRPr="00C642C7">
        <w:rPr>
          <w:u w:val="single"/>
        </w:rPr>
        <w:t>Grounds 3 and 4</w:t>
      </w:r>
    </w:p>
    <w:p w:rsidR="000F5807" w:rsidRDefault="000F5807" w:rsidP="00A84B58">
      <w:pPr>
        <w:jc w:val="both"/>
      </w:pPr>
    </w:p>
    <w:p w:rsidR="000F5807" w:rsidRDefault="000F5807" w:rsidP="000F5807">
      <w:pPr>
        <w:spacing w:line="360" w:lineRule="auto"/>
        <w:jc w:val="both"/>
      </w:pPr>
      <w:r>
        <w:tab/>
        <w:t xml:space="preserve">In the light of my findings in respect to ground 1 and 2, </w:t>
      </w:r>
      <w:r w:rsidR="004D4E20">
        <w:t xml:space="preserve">I reiterate that the submissions by the appellant relating to the validity of the retrenchment exercise </w:t>
      </w:r>
      <w:r w:rsidR="004D4E20">
        <w:lastRenderedPageBreak/>
        <w:t xml:space="preserve">and whether the terminal benefits were to be calculated in terms of section 13 (1) of the Labour Act, were not properly </w:t>
      </w:r>
      <w:r w:rsidR="0096258E">
        <w:t>before the arbitrator.  Those issues were not before her.  She therefore did not err by disregarding them.</w:t>
      </w:r>
    </w:p>
    <w:p w:rsidR="0096258E" w:rsidRDefault="0096258E" w:rsidP="00A84B58">
      <w:pPr>
        <w:jc w:val="both"/>
      </w:pPr>
    </w:p>
    <w:p w:rsidR="0096258E" w:rsidRDefault="0096258E" w:rsidP="000F5807">
      <w:pPr>
        <w:spacing w:line="360" w:lineRule="auto"/>
        <w:jc w:val="both"/>
      </w:pPr>
      <w:r>
        <w:t xml:space="preserve">Consequently the appeal be and is </w:t>
      </w:r>
      <w:r w:rsidR="00CA4635">
        <w:t>hereby dismissed with costs for lack of merit, in its entirety.</w:t>
      </w:r>
    </w:p>
    <w:p w:rsidR="004070EA" w:rsidRDefault="004070EA" w:rsidP="000F5807">
      <w:pPr>
        <w:spacing w:line="360" w:lineRule="auto"/>
        <w:jc w:val="both"/>
      </w:pPr>
    </w:p>
    <w:p w:rsidR="004070EA" w:rsidRDefault="004070EA" w:rsidP="000F5807">
      <w:pPr>
        <w:spacing w:line="360" w:lineRule="auto"/>
        <w:jc w:val="both"/>
      </w:pPr>
    </w:p>
    <w:p w:rsidR="004070EA" w:rsidRDefault="004070EA" w:rsidP="000F5807">
      <w:pPr>
        <w:spacing w:line="360" w:lineRule="auto"/>
        <w:jc w:val="both"/>
      </w:pPr>
      <w:r w:rsidRPr="004070EA">
        <w:rPr>
          <w:i/>
        </w:rPr>
        <w:t>F. Watungwa &amp; Partners</w:t>
      </w:r>
      <w:r>
        <w:t>, appellant’s legal practitioners</w:t>
      </w:r>
    </w:p>
    <w:p w:rsidR="000E0B31" w:rsidRDefault="000E0B31" w:rsidP="0052165F">
      <w:pPr>
        <w:spacing w:line="360" w:lineRule="auto"/>
        <w:jc w:val="both"/>
      </w:pPr>
    </w:p>
    <w:p w:rsidR="000E0B31" w:rsidRDefault="000E0B31" w:rsidP="0052165F">
      <w:pPr>
        <w:spacing w:line="360" w:lineRule="auto"/>
        <w:jc w:val="both"/>
      </w:pPr>
      <w:r>
        <w:tab/>
      </w:r>
    </w:p>
    <w:p w:rsidR="00DE52A5" w:rsidRDefault="00DE52A5" w:rsidP="0052165F">
      <w:pPr>
        <w:spacing w:line="360" w:lineRule="auto"/>
        <w:jc w:val="both"/>
      </w:pPr>
    </w:p>
    <w:sectPr w:rsidR="00DE52A5" w:rsidSect="008D748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FBE" w:rsidRDefault="000A5FBE" w:rsidP="008D748F">
      <w:r>
        <w:separator/>
      </w:r>
    </w:p>
  </w:endnote>
  <w:endnote w:type="continuationSeparator" w:id="0">
    <w:p w:rsidR="000A5FBE" w:rsidRDefault="000A5FBE" w:rsidP="008D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772774"/>
      <w:docPartObj>
        <w:docPartGallery w:val="Page Numbers (Bottom of Page)"/>
        <w:docPartUnique/>
      </w:docPartObj>
    </w:sdtPr>
    <w:sdtEndPr>
      <w:rPr>
        <w:noProof/>
      </w:rPr>
    </w:sdtEndPr>
    <w:sdtContent>
      <w:p w:rsidR="00B07D50" w:rsidRDefault="00B07D50">
        <w:pPr>
          <w:pStyle w:val="Footer"/>
          <w:jc w:val="center"/>
        </w:pPr>
        <w:r>
          <w:fldChar w:fldCharType="begin"/>
        </w:r>
        <w:r>
          <w:instrText xml:space="preserve"> PAGE   \* MERGEFORMAT </w:instrText>
        </w:r>
        <w:r>
          <w:fldChar w:fldCharType="separate"/>
        </w:r>
        <w:r w:rsidR="00EF2854">
          <w:rPr>
            <w:noProof/>
          </w:rPr>
          <w:t>5</w:t>
        </w:r>
        <w:r>
          <w:rPr>
            <w:noProof/>
          </w:rPr>
          <w:fldChar w:fldCharType="end"/>
        </w:r>
      </w:p>
    </w:sdtContent>
  </w:sdt>
  <w:p w:rsidR="00B07D50" w:rsidRDefault="00B07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FBE" w:rsidRDefault="000A5FBE" w:rsidP="008D748F">
      <w:r>
        <w:separator/>
      </w:r>
    </w:p>
  </w:footnote>
  <w:footnote w:type="continuationSeparator" w:id="0">
    <w:p w:rsidR="000A5FBE" w:rsidRDefault="000A5FBE" w:rsidP="008D7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50" w:rsidRPr="008D748F" w:rsidRDefault="00B07D50">
    <w:pPr>
      <w:pStyle w:val="Header"/>
      <w:rPr>
        <w:lang w:val="en-ZW"/>
      </w:rPr>
    </w:pPr>
    <w:r>
      <w:rPr>
        <w:lang w:val="en-ZW"/>
      </w:rPr>
      <w:tab/>
    </w:r>
    <w:r>
      <w:rPr>
        <w:lang w:val="en-ZW"/>
      </w:rPr>
      <w:tab/>
      <w:t>JUDGMENT NO. LC/H/</w:t>
    </w:r>
    <w:r w:rsidR="008A445D">
      <w:rPr>
        <w:lang w:val="en-ZW"/>
      </w:rPr>
      <w:t>513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D5F"/>
    <w:multiLevelType w:val="hybridMultilevel"/>
    <w:tmpl w:val="33CC9EF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EA1FEE"/>
    <w:multiLevelType w:val="hybridMultilevel"/>
    <w:tmpl w:val="4F109B38"/>
    <w:lvl w:ilvl="0" w:tplc="3009000F">
      <w:start w:val="1"/>
      <w:numFmt w:val="decimal"/>
      <w:lvlText w:val="%1."/>
      <w:lvlJc w:val="left"/>
      <w:pPr>
        <w:ind w:left="1440" w:hanging="360"/>
      </w:pPr>
    </w:lvl>
    <w:lvl w:ilvl="1" w:tplc="3009000F">
      <w:start w:val="1"/>
      <w:numFmt w:val="decimal"/>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76"/>
    <w:rsid w:val="00046E2B"/>
    <w:rsid w:val="000927D2"/>
    <w:rsid w:val="000A5FBE"/>
    <w:rsid w:val="000E0B31"/>
    <w:rsid w:val="000F5807"/>
    <w:rsid w:val="00113557"/>
    <w:rsid w:val="00186180"/>
    <w:rsid w:val="00246BA6"/>
    <w:rsid w:val="00247E5F"/>
    <w:rsid w:val="002658E2"/>
    <w:rsid w:val="00271C80"/>
    <w:rsid w:val="002963CE"/>
    <w:rsid w:val="002B35AE"/>
    <w:rsid w:val="00341AE6"/>
    <w:rsid w:val="00344C36"/>
    <w:rsid w:val="003B57A2"/>
    <w:rsid w:val="003C19D0"/>
    <w:rsid w:val="004070EA"/>
    <w:rsid w:val="00435981"/>
    <w:rsid w:val="004C5DDD"/>
    <w:rsid w:val="004D0A26"/>
    <w:rsid w:val="004D4E20"/>
    <w:rsid w:val="004D5F41"/>
    <w:rsid w:val="004F332E"/>
    <w:rsid w:val="0052165F"/>
    <w:rsid w:val="00544085"/>
    <w:rsid w:val="00551B31"/>
    <w:rsid w:val="005534CF"/>
    <w:rsid w:val="00595B66"/>
    <w:rsid w:val="005D4EFA"/>
    <w:rsid w:val="005E6409"/>
    <w:rsid w:val="0066689E"/>
    <w:rsid w:val="0068183C"/>
    <w:rsid w:val="00686882"/>
    <w:rsid w:val="006951C0"/>
    <w:rsid w:val="006E6D3C"/>
    <w:rsid w:val="00707396"/>
    <w:rsid w:val="00717058"/>
    <w:rsid w:val="00784CB3"/>
    <w:rsid w:val="007A19F7"/>
    <w:rsid w:val="007F14E7"/>
    <w:rsid w:val="00826265"/>
    <w:rsid w:val="008A1289"/>
    <w:rsid w:val="008A445D"/>
    <w:rsid w:val="008B07C6"/>
    <w:rsid w:val="008D748F"/>
    <w:rsid w:val="0096258E"/>
    <w:rsid w:val="00971043"/>
    <w:rsid w:val="00976B63"/>
    <w:rsid w:val="009D5A9C"/>
    <w:rsid w:val="009E6F73"/>
    <w:rsid w:val="00A12BF0"/>
    <w:rsid w:val="00A15F2F"/>
    <w:rsid w:val="00A84B58"/>
    <w:rsid w:val="00A85EA7"/>
    <w:rsid w:val="00A864EB"/>
    <w:rsid w:val="00AA325B"/>
    <w:rsid w:val="00B07D50"/>
    <w:rsid w:val="00B27C2A"/>
    <w:rsid w:val="00C16A85"/>
    <w:rsid w:val="00C37ED2"/>
    <w:rsid w:val="00C642C7"/>
    <w:rsid w:val="00CA4635"/>
    <w:rsid w:val="00CC70EF"/>
    <w:rsid w:val="00CD689B"/>
    <w:rsid w:val="00CD692A"/>
    <w:rsid w:val="00D55518"/>
    <w:rsid w:val="00D80582"/>
    <w:rsid w:val="00DB7D95"/>
    <w:rsid w:val="00DE52A5"/>
    <w:rsid w:val="00DF50BB"/>
    <w:rsid w:val="00E17518"/>
    <w:rsid w:val="00E27C29"/>
    <w:rsid w:val="00E67776"/>
    <w:rsid w:val="00E848BA"/>
    <w:rsid w:val="00EA054C"/>
    <w:rsid w:val="00EF1E61"/>
    <w:rsid w:val="00EF2854"/>
    <w:rsid w:val="00F056C4"/>
    <w:rsid w:val="00F10F5A"/>
    <w:rsid w:val="00F26B22"/>
    <w:rsid w:val="00F84DCF"/>
    <w:rsid w:val="00F91264"/>
    <w:rsid w:val="00FD39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7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48F"/>
    <w:pPr>
      <w:tabs>
        <w:tab w:val="center" w:pos="4513"/>
        <w:tab w:val="right" w:pos="9026"/>
      </w:tabs>
    </w:pPr>
  </w:style>
  <w:style w:type="character" w:customStyle="1" w:styleId="HeaderChar">
    <w:name w:val="Header Char"/>
    <w:basedOn w:val="DefaultParagraphFont"/>
    <w:link w:val="Header"/>
    <w:uiPriority w:val="99"/>
    <w:rsid w:val="008D748F"/>
    <w:rPr>
      <w:rFonts w:ascii="Tahoma" w:eastAsia="Times New Roman" w:hAnsi="Tahoma" w:cs="Times New Roman"/>
      <w:sz w:val="24"/>
      <w:szCs w:val="24"/>
      <w:lang w:val="en-US"/>
    </w:rPr>
  </w:style>
  <w:style w:type="paragraph" w:styleId="Footer">
    <w:name w:val="footer"/>
    <w:basedOn w:val="Normal"/>
    <w:link w:val="FooterChar"/>
    <w:uiPriority w:val="99"/>
    <w:unhideWhenUsed/>
    <w:rsid w:val="008D748F"/>
    <w:pPr>
      <w:tabs>
        <w:tab w:val="center" w:pos="4513"/>
        <w:tab w:val="right" w:pos="9026"/>
      </w:tabs>
    </w:pPr>
  </w:style>
  <w:style w:type="character" w:customStyle="1" w:styleId="FooterChar">
    <w:name w:val="Footer Char"/>
    <w:basedOn w:val="DefaultParagraphFont"/>
    <w:link w:val="Footer"/>
    <w:uiPriority w:val="99"/>
    <w:rsid w:val="008D748F"/>
    <w:rPr>
      <w:rFonts w:ascii="Tahoma" w:eastAsia="Times New Roman" w:hAnsi="Tahoma" w:cs="Times New Roman"/>
      <w:sz w:val="24"/>
      <w:szCs w:val="24"/>
      <w:lang w:val="en-US"/>
    </w:rPr>
  </w:style>
  <w:style w:type="paragraph" w:styleId="ListParagraph">
    <w:name w:val="List Paragraph"/>
    <w:basedOn w:val="Normal"/>
    <w:uiPriority w:val="34"/>
    <w:qFormat/>
    <w:rsid w:val="00E848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7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48F"/>
    <w:pPr>
      <w:tabs>
        <w:tab w:val="center" w:pos="4513"/>
        <w:tab w:val="right" w:pos="9026"/>
      </w:tabs>
    </w:pPr>
  </w:style>
  <w:style w:type="character" w:customStyle="1" w:styleId="HeaderChar">
    <w:name w:val="Header Char"/>
    <w:basedOn w:val="DefaultParagraphFont"/>
    <w:link w:val="Header"/>
    <w:uiPriority w:val="99"/>
    <w:rsid w:val="008D748F"/>
    <w:rPr>
      <w:rFonts w:ascii="Tahoma" w:eastAsia="Times New Roman" w:hAnsi="Tahoma" w:cs="Times New Roman"/>
      <w:sz w:val="24"/>
      <w:szCs w:val="24"/>
      <w:lang w:val="en-US"/>
    </w:rPr>
  </w:style>
  <w:style w:type="paragraph" w:styleId="Footer">
    <w:name w:val="footer"/>
    <w:basedOn w:val="Normal"/>
    <w:link w:val="FooterChar"/>
    <w:uiPriority w:val="99"/>
    <w:unhideWhenUsed/>
    <w:rsid w:val="008D748F"/>
    <w:pPr>
      <w:tabs>
        <w:tab w:val="center" w:pos="4513"/>
        <w:tab w:val="right" w:pos="9026"/>
      </w:tabs>
    </w:pPr>
  </w:style>
  <w:style w:type="character" w:customStyle="1" w:styleId="FooterChar">
    <w:name w:val="Footer Char"/>
    <w:basedOn w:val="DefaultParagraphFont"/>
    <w:link w:val="Footer"/>
    <w:uiPriority w:val="99"/>
    <w:rsid w:val="008D748F"/>
    <w:rPr>
      <w:rFonts w:ascii="Tahoma" w:eastAsia="Times New Roman" w:hAnsi="Tahoma" w:cs="Times New Roman"/>
      <w:sz w:val="24"/>
      <w:szCs w:val="24"/>
      <w:lang w:val="en-US"/>
    </w:rPr>
  </w:style>
  <w:style w:type="paragraph" w:styleId="ListParagraph">
    <w:name w:val="List Paragraph"/>
    <w:basedOn w:val="Normal"/>
    <w:uiPriority w:val="34"/>
    <w:qFormat/>
    <w:rsid w:val="00E84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67B4-5C7A-44D1-ABAD-0C988AAF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2016-08-15T09:51:00Z</dcterms:created>
  <dcterms:modified xsi:type="dcterms:W3CDTF">2016-08-25T14:27:00Z</dcterms:modified>
</cp:coreProperties>
</file>