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098" w:rsidRDefault="001C1180" w:rsidP="00954800">
      <w:pPr>
        <w:spacing w:line="240" w:lineRule="auto"/>
        <w:rPr>
          <w:rFonts w:eastAsia="Times New Roman" w:cs="Tahoma"/>
          <w:b/>
          <w:bCs/>
          <w:szCs w:val="24"/>
          <w:lang w:val="en-US"/>
        </w:rPr>
      </w:pPr>
      <w:r w:rsidRPr="001C1180">
        <w:rPr>
          <w:rFonts w:eastAsia="Times New Roman" w:cs="Tahoma"/>
          <w:b/>
          <w:bCs/>
          <w:szCs w:val="24"/>
          <w:lang w:val="en-US"/>
        </w:rPr>
        <w:t>IN THE LABOUR COURT OF ZIM</w:t>
      </w:r>
      <w:r w:rsidR="00354098">
        <w:rPr>
          <w:rFonts w:eastAsia="Times New Roman" w:cs="Tahoma"/>
          <w:b/>
          <w:bCs/>
          <w:szCs w:val="24"/>
          <w:lang w:val="en-US"/>
        </w:rPr>
        <w:t>BAB</w:t>
      </w:r>
      <w:r w:rsidR="00CF3434">
        <w:rPr>
          <w:rFonts w:eastAsia="Times New Roman" w:cs="Tahoma"/>
          <w:b/>
          <w:bCs/>
          <w:szCs w:val="24"/>
          <w:lang w:val="en-US"/>
        </w:rPr>
        <w:t>WE         JUDGEMENT NO. LC/MS/5</w:t>
      </w:r>
      <w:r w:rsidR="00354098">
        <w:rPr>
          <w:rFonts w:eastAsia="Times New Roman" w:cs="Tahoma"/>
          <w:b/>
          <w:bCs/>
          <w:szCs w:val="24"/>
          <w:lang w:val="en-US"/>
        </w:rPr>
        <w:t>/2020</w:t>
      </w:r>
    </w:p>
    <w:p w:rsidR="001C1180" w:rsidRDefault="00354098" w:rsidP="00954800">
      <w:pPr>
        <w:spacing w:line="240" w:lineRule="auto"/>
        <w:rPr>
          <w:rFonts w:eastAsia="Times New Roman" w:cs="Tahoma"/>
          <w:b/>
          <w:bCs/>
          <w:szCs w:val="24"/>
          <w:lang w:val="en-US"/>
        </w:rPr>
      </w:pPr>
      <w:r>
        <w:rPr>
          <w:rFonts w:eastAsia="Times New Roman" w:cs="Tahoma"/>
          <w:b/>
          <w:bCs/>
          <w:szCs w:val="24"/>
          <w:lang w:val="en-US"/>
        </w:rPr>
        <w:t xml:space="preserve">MASVINGO, 17 MARCH </w:t>
      </w:r>
      <w:r w:rsidR="001C1180" w:rsidRPr="001C1180">
        <w:rPr>
          <w:rFonts w:eastAsia="Times New Roman" w:cs="Tahoma"/>
          <w:b/>
          <w:bCs/>
          <w:szCs w:val="24"/>
          <w:lang w:val="en-US"/>
        </w:rPr>
        <w:t xml:space="preserve">2020                     </w:t>
      </w:r>
      <w:r>
        <w:rPr>
          <w:rFonts w:eastAsia="Times New Roman" w:cs="Tahoma"/>
          <w:b/>
          <w:bCs/>
          <w:szCs w:val="24"/>
          <w:lang w:val="en-US"/>
        </w:rPr>
        <w:t xml:space="preserve">    CASE NO LC/MS/CON/APP/O7/19</w:t>
      </w:r>
    </w:p>
    <w:p w:rsidR="00954800" w:rsidRPr="001C1180" w:rsidRDefault="00954800" w:rsidP="00954800">
      <w:pPr>
        <w:spacing w:line="240" w:lineRule="auto"/>
        <w:rPr>
          <w:rFonts w:eastAsia="Times New Roman" w:cs="Tahoma"/>
          <w:b/>
          <w:bCs/>
          <w:szCs w:val="24"/>
          <w:lang w:val="en-US"/>
        </w:rPr>
      </w:pPr>
      <w:r>
        <w:rPr>
          <w:rFonts w:eastAsia="Times New Roman" w:cs="Tahoma"/>
          <w:b/>
          <w:bCs/>
          <w:szCs w:val="24"/>
          <w:lang w:val="en-US"/>
        </w:rPr>
        <w:t>AND</w:t>
      </w:r>
      <w:r w:rsidR="00B01E27">
        <w:rPr>
          <w:rFonts w:eastAsia="Times New Roman" w:cs="Tahoma"/>
          <w:b/>
          <w:bCs/>
          <w:szCs w:val="24"/>
          <w:lang w:val="en-US"/>
        </w:rPr>
        <w:t xml:space="preserve"> 19</w:t>
      </w:r>
      <w:bookmarkStart w:id="0" w:name="_GoBack"/>
      <w:bookmarkEnd w:id="0"/>
      <w:r w:rsidR="00640C24">
        <w:rPr>
          <w:rFonts w:eastAsia="Times New Roman" w:cs="Tahoma"/>
          <w:b/>
          <w:bCs/>
          <w:szCs w:val="24"/>
          <w:lang w:val="en-US"/>
        </w:rPr>
        <w:t xml:space="preserve"> JUNE</w:t>
      </w:r>
      <w:r>
        <w:rPr>
          <w:rFonts w:eastAsia="Times New Roman" w:cs="Tahoma"/>
          <w:b/>
          <w:bCs/>
          <w:szCs w:val="24"/>
          <w:lang w:val="en-US"/>
        </w:rPr>
        <w:t xml:space="preserve"> 2020</w:t>
      </w:r>
    </w:p>
    <w:p w:rsidR="001C1180" w:rsidRDefault="001C1180" w:rsidP="001C1180">
      <w:pPr>
        <w:rPr>
          <w:rFonts w:eastAsia="Times New Roman" w:cs="Tahoma"/>
          <w:szCs w:val="24"/>
          <w:lang w:val="en-US"/>
        </w:rPr>
      </w:pPr>
      <w:r w:rsidRPr="001C1180">
        <w:rPr>
          <w:rFonts w:eastAsia="Times New Roman" w:cs="Tahoma"/>
          <w:szCs w:val="24"/>
          <w:lang w:val="en-US"/>
        </w:rPr>
        <w:t>In the matter between:-</w:t>
      </w:r>
    </w:p>
    <w:p w:rsidR="00354098" w:rsidRDefault="00354098" w:rsidP="00954800">
      <w:pPr>
        <w:spacing w:line="240" w:lineRule="auto"/>
        <w:rPr>
          <w:rFonts w:eastAsia="Times New Roman" w:cs="Tahoma"/>
          <w:b/>
          <w:szCs w:val="24"/>
          <w:lang w:val="en-US"/>
        </w:rPr>
      </w:pPr>
      <w:r>
        <w:rPr>
          <w:rFonts w:eastAsia="Times New Roman" w:cs="Tahoma"/>
          <w:b/>
          <w:szCs w:val="24"/>
          <w:lang w:val="en-US"/>
        </w:rPr>
        <w:t>KUMBIRAI MAPFIZA</w:t>
      </w:r>
      <w:r>
        <w:rPr>
          <w:rFonts w:eastAsia="Times New Roman" w:cs="Tahoma"/>
          <w:b/>
          <w:szCs w:val="24"/>
          <w:lang w:val="en-US"/>
        </w:rPr>
        <w:tab/>
      </w:r>
      <w:r>
        <w:rPr>
          <w:rFonts w:eastAsia="Times New Roman" w:cs="Tahoma"/>
          <w:b/>
          <w:szCs w:val="24"/>
          <w:lang w:val="en-US"/>
        </w:rPr>
        <w:tab/>
      </w:r>
      <w:r>
        <w:rPr>
          <w:rFonts w:eastAsia="Times New Roman" w:cs="Tahoma"/>
          <w:b/>
          <w:szCs w:val="24"/>
          <w:lang w:val="en-US"/>
        </w:rPr>
        <w:tab/>
      </w:r>
      <w:r>
        <w:rPr>
          <w:rFonts w:eastAsia="Times New Roman" w:cs="Tahoma"/>
          <w:b/>
          <w:szCs w:val="24"/>
          <w:lang w:val="en-US"/>
        </w:rPr>
        <w:tab/>
      </w:r>
      <w:r>
        <w:rPr>
          <w:rFonts w:eastAsia="Times New Roman" w:cs="Tahoma"/>
          <w:b/>
          <w:szCs w:val="24"/>
          <w:lang w:val="en-US"/>
        </w:rPr>
        <w:tab/>
      </w:r>
      <w:r>
        <w:rPr>
          <w:rFonts w:eastAsia="Times New Roman" w:cs="Tahoma"/>
          <w:b/>
          <w:szCs w:val="24"/>
          <w:lang w:val="en-US"/>
        </w:rPr>
        <w:tab/>
      </w:r>
      <w:r w:rsidR="00954800">
        <w:rPr>
          <w:rFonts w:eastAsia="Times New Roman" w:cs="Tahoma"/>
          <w:b/>
          <w:szCs w:val="24"/>
          <w:lang w:val="en-US"/>
        </w:rPr>
        <w:tab/>
      </w:r>
      <w:r>
        <w:rPr>
          <w:rFonts w:eastAsia="Times New Roman" w:cs="Tahoma"/>
          <w:b/>
          <w:szCs w:val="24"/>
          <w:lang w:val="en-US"/>
        </w:rPr>
        <w:t>Applicant</w:t>
      </w:r>
    </w:p>
    <w:p w:rsidR="001C0F45" w:rsidRDefault="001C0F45" w:rsidP="00954800">
      <w:pPr>
        <w:spacing w:line="240" w:lineRule="auto"/>
        <w:rPr>
          <w:rFonts w:eastAsia="Times New Roman" w:cs="Tahoma"/>
          <w:szCs w:val="24"/>
          <w:lang w:val="en-US"/>
        </w:rPr>
      </w:pPr>
      <w:r>
        <w:rPr>
          <w:rFonts w:eastAsia="Times New Roman" w:cs="Tahoma"/>
          <w:szCs w:val="24"/>
          <w:lang w:val="en-US"/>
        </w:rPr>
        <w:t>A</w:t>
      </w:r>
      <w:r w:rsidR="00354098">
        <w:rPr>
          <w:rFonts w:eastAsia="Times New Roman" w:cs="Tahoma"/>
          <w:szCs w:val="24"/>
          <w:lang w:val="en-US"/>
        </w:rPr>
        <w:t>nd</w:t>
      </w:r>
    </w:p>
    <w:p w:rsidR="00354098" w:rsidRDefault="00354098" w:rsidP="00954800">
      <w:pPr>
        <w:spacing w:line="240" w:lineRule="auto"/>
        <w:rPr>
          <w:rFonts w:eastAsia="Times New Roman" w:cs="Tahoma"/>
          <w:b/>
          <w:szCs w:val="24"/>
          <w:lang w:val="en-US"/>
        </w:rPr>
      </w:pPr>
      <w:r w:rsidRPr="00354098">
        <w:rPr>
          <w:rFonts w:eastAsia="Times New Roman" w:cs="Tahoma"/>
          <w:b/>
          <w:szCs w:val="24"/>
          <w:lang w:val="en-US"/>
        </w:rPr>
        <w:t>COMMERCIAL SUGARCANE</w:t>
      </w:r>
      <w:r>
        <w:rPr>
          <w:rFonts w:eastAsia="Times New Roman" w:cs="Tahoma"/>
          <w:b/>
          <w:szCs w:val="24"/>
          <w:lang w:val="en-US"/>
        </w:rPr>
        <w:t xml:space="preserve"> FARMERS</w:t>
      </w:r>
      <w:r>
        <w:rPr>
          <w:rFonts w:eastAsia="Times New Roman" w:cs="Tahoma"/>
          <w:b/>
          <w:szCs w:val="24"/>
          <w:lang w:val="en-US"/>
        </w:rPr>
        <w:tab/>
      </w:r>
      <w:r>
        <w:rPr>
          <w:rFonts w:eastAsia="Times New Roman" w:cs="Tahoma"/>
          <w:b/>
          <w:szCs w:val="24"/>
          <w:lang w:val="en-US"/>
        </w:rPr>
        <w:tab/>
      </w:r>
      <w:r>
        <w:rPr>
          <w:rFonts w:eastAsia="Times New Roman" w:cs="Tahoma"/>
          <w:b/>
          <w:szCs w:val="24"/>
          <w:lang w:val="en-US"/>
        </w:rPr>
        <w:tab/>
      </w:r>
      <w:r w:rsidR="00954800">
        <w:rPr>
          <w:rFonts w:eastAsia="Times New Roman" w:cs="Tahoma"/>
          <w:b/>
          <w:szCs w:val="24"/>
          <w:lang w:val="en-US"/>
        </w:rPr>
        <w:tab/>
      </w:r>
      <w:r>
        <w:rPr>
          <w:rFonts w:eastAsia="Times New Roman" w:cs="Tahoma"/>
          <w:b/>
          <w:szCs w:val="24"/>
          <w:lang w:val="en-US"/>
        </w:rPr>
        <w:t>1</w:t>
      </w:r>
      <w:r w:rsidRPr="00354098">
        <w:rPr>
          <w:rFonts w:eastAsia="Times New Roman" w:cs="Tahoma"/>
          <w:b/>
          <w:szCs w:val="24"/>
          <w:vertAlign w:val="superscript"/>
          <w:lang w:val="en-US"/>
        </w:rPr>
        <w:t>st</w:t>
      </w:r>
      <w:r>
        <w:rPr>
          <w:rFonts w:eastAsia="Times New Roman" w:cs="Tahoma"/>
          <w:b/>
          <w:szCs w:val="24"/>
          <w:lang w:val="en-US"/>
        </w:rPr>
        <w:t xml:space="preserve"> Respondent</w:t>
      </w:r>
    </w:p>
    <w:p w:rsidR="00354098" w:rsidRPr="00354098" w:rsidRDefault="00354098" w:rsidP="00954800">
      <w:pPr>
        <w:spacing w:line="240" w:lineRule="auto"/>
        <w:rPr>
          <w:rFonts w:eastAsia="Times New Roman" w:cs="Tahoma"/>
          <w:b/>
          <w:szCs w:val="24"/>
          <w:lang w:val="en-US"/>
        </w:rPr>
      </w:pPr>
      <w:r>
        <w:rPr>
          <w:rFonts w:eastAsia="Times New Roman" w:cs="Tahoma"/>
          <w:b/>
          <w:szCs w:val="24"/>
          <w:lang w:val="en-US"/>
        </w:rPr>
        <w:t>ASSOCIATION OF ZIMBABWE</w:t>
      </w:r>
    </w:p>
    <w:p w:rsidR="001C0F45" w:rsidRDefault="001C0F45" w:rsidP="00954800">
      <w:pPr>
        <w:spacing w:line="240" w:lineRule="auto"/>
        <w:rPr>
          <w:rFonts w:eastAsia="Times New Roman" w:cs="Tahoma"/>
          <w:szCs w:val="24"/>
          <w:lang w:val="en-US"/>
        </w:rPr>
      </w:pPr>
      <w:r>
        <w:rPr>
          <w:rFonts w:eastAsia="Times New Roman" w:cs="Tahoma"/>
          <w:szCs w:val="24"/>
          <w:lang w:val="en-US"/>
        </w:rPr>
        <w:t>A</w:t>
      </w:r>
      <w:r w:rsidR="00354098">
        <w:rPr>
          <w:rFonts w:eastAsia="Times New Roman" w:cs="Tahoma"/>
          <w:szCs w:val="24"/>
          <w:lang w:val="en-US"/>
        </w:rPr>
        <w:t>nd</w:t>
      </w:r>
    </w:p>
    <w:p w:rsidR="001C0F45" w:rsidRDefault="00954800" w:rsidP="00954800">
      <w:pPr>
        <w:spacing w:line="240" w:lineRule="auto"/>
        <w:rPr>
          <w:rFonts w:eastAsia="Times New Roman" w:cs="Tahoma"/>
          <w:b/>
          <w:szCs w:val="24"/>
          <w:lang w:val="en-US"/>
        </w:rPr>
      </w:pPr>
      <w:r>
        <w:rPr>
          <w:rFonts w:eastAsia="Times New Roman" w:cs="Tahoma"/>
          <w:b/>
          <w:szCs w:val="24"/>
          <w:lang w:val="en-US"/>
        </w:rPr>
        <w:t>THE CHAIRMAN OF THE SUGARCAN</w:t>
      </w:r>
      <w:r w:rsidR="00A92351">
        <w:rPr>
          <w:rFonts w:eastAsia="Times New Roman" w:cs="Tahoma"/>
          <w:b/>
          <w:szCs w:val="24"/>
          <w:lang w:val="en-US"/>
        </w:rPr>
        <w:t>E</w:t>
      </w:r>
      <w:r w:rsidR="00A92351">
        <w:rPr>
          <w:rFonts w:eastAsia="Times New Roman" w:cs="Tahoma"/>
          <w:b/>
          <w:szCs w:val="24"/>
          <w:lang w:val="en-US"/>
        </w:rPr>
        <w:tab/>
      </w:r>
      <w:r w:rsidR="00A92351">
        <w:rPr>
          <w:rFonts w:eastAsia="Times New Roman" w:cs="Tahoma"/>
          <w:b/>
          <w:szCs w:val="24"/>
          <w:lang w:val="en-US"/>
        </w:rPr>
        <w:tab/>
      </w:r>
      <w:r w:rsidR="00A92351">
        <w:rPr>
          <w:rFonts w:eastAsia="Times New Roman" w:cs="Tahoma"/>
          <w:b/>
          <w:szCs w:val="24"/>
          <w:lang w:val="en-US"/>
        </w:rPr>
        <w:tab/>
      </w:r>
      <w:r w:rsidR="00A92351">
        <w:rPr>
          <w:rFonts w:eastAsia="Times New Roman" w:cs="Tahoma"/>
          <w:b/>
          <w:szCs w:val="24"/>
          <w:lang w:val="en-US"/>
        </w:rPr>
        <w:tab/>
      </w:r>
      <w:r>
        <w:rPr>
          <w:rFonts w:eastAsia="Times New Roman" w:cs="Tahoma"/>
          <w:b/>
          <w:szCs w:val="24"/>
          <w:lang w:val="en-US"/>
        </w:rPr>
        <w:t>2</w:t>
      </w:r>
      <w:r w:rsidRPr="00954800">
        <w:rPr>
          <w:rFonts w:eastAsia="Times New Roman" w:cs="Tahoma"/>
          <w:b/>
          <w:szCs w:val="24"/>
          <w:vertAlign w:val="superscript"/>
          <w:lang w:val="en-US"/>
        </w:rPr>
        <w:t>nd</w:t>
      </w:r>
      <w:r>
        <w:rPr>
          <w:rFonts w:eastAsia="Times New Roman" w:cs="Tahoma"/>
          <w:b/>
          <w:szCs w:val="24"/>
          <w:lang w:val="en-US"/>
        </w:rPr>
        <w:t xml:space="preserve"> Respondent</w:t>
      </w:r>
    </w:p>
    <w:p w:rsidR="00954800" w:rsidRPr="001C1180" w:rsidRDefault="00954800" w:rsidP="00954800">
      <w:pPr>
        <w:spacing w:line="240" w:lineRule="auto"/>
        <w:rPr>
          <w:rFonts w:eastAsia="Times New Roman" w:cs="Tahoma"/>
          <w:b/>
          <w:szCs w:val="24"/>
          <w:lang w:val="en-US"/>
        </w:rPr>
      </w:pPr>
      <w:proofErr w:type="gramStart"/>
      <w:r>
        <w:rPr>
          <w:rFonts w:eastAsia="Times New Roman" w:cs="Tahoma"/>
          <w:b/>
          <w:szCs w:val="24"/>
          <w:lang w:val="en-US"/>
        </w:rPr>
        <w:t>ASSOCIATION OF ZIMBABWE APPEALS</w:t>
      </w:r>
      <w:r w:rsidR="00A92351">
        <w:rPr>
          <w:rFonts w:eastAsia="Times New Roman" w:cs="Tahoma"/>
          <w:b/>
          <w:szCs w:val="24"/>
          <w:lang w:val="en-US"/>
        </w:rPr>
        <w:t xml:space="preserve"> </w:t>
      </w:r>
      <w:r>
        <w:rPr>
          <w:rFonts w:eastAsia="Times New Roman" w:cs="Tahoma"/>
          <w:b/>
          <w:szCs w:val="24"/>
          <w:lang w:val="en-US"/>
        </w:rPr>
        <w:t>COMMITTEE N.O.</w:t>
      </w:r>
      <w:proofErr w:type="gramEnd"/>
    </w:p>
    <w:p w:rsidR="00A5644C" w:rsidRDefault="001C0F45" w:rsidP="00954800">
      <w:pPr>
        <w:spacing w:line="240" w:lineRule="auto"/>
      </w:pPr>
      <w:r>
        <w:t>Before CHIVIZHE, J (Sitting in Masvingo Circuit Court)</w:t>
      </w:r>
    </w:p>
    <w:p w:rsidR="00954800" w:rsidRDefault="00954800" w:rsidP="00954800">
      <w:pPr>
        <w:spacing w:line="240" w:lineRule="auto"/>
      </w:pPr>
    </w:p>
    <w:p w:rsidR="001C0F45" w:rsidRPr="00954800" w:rsidRDefault="001C0F45" w:rsidP="00954800">
      <w:pPr>
        <w:spacing w:line="240" w:lineRule="auto"/>
        <w:rPr>
          <w:b/>
        </w:rPr>
      </w:pPr>
      <w:r w:rsidRPr="00020038">
        <w:rPr>
          <w:b/>
        </w:rPr>
        <w:t>For</w:t>
      </w:r>
      <w:r w:rsidR="00D55EC4">
        <w:rPr>
          <w:b/>
        </w:rPr>
        <w:t xml:space="preserve"> </w:t>
      </w:r>
      <w:r w:rsidR="00E6344F">
        <w:rPr>
          <w:b/>
        </w:rPr>
        <w:t>Applicant:</w:t>
      </w:r>
      <w:r w:rsidR="00954800">
        <w:rPr>
          <w:b/>
        </w:rPr>
        <w:tab/>
      </w:r>
      <w:r w:rsidR="00954800">
        <w:rPr>
          <w:b/>
        </w:rPr>
        <w:tab/>
      </w:r>
      <w:r w:rsidRPr="00954800">
        <w:rPr>
          <w:b/>
        </w:rPr>
        <w:t>Mr.T. Machaya (Legal Practitioner)</w:t>
      </w:r>
    </w:p>
    <w:p w:rsidR="001C0F45" w:rsidRDefault="001C0F45" w:rsidP="00954800">
      <w:pPr>
        <w:spacing w:line="240" w:lineRule="auto"/>
        <w:rPr>
          <w:b/>
        </w:rPr>
      </w:pPr>
      <w:r w:rsidRPr="00020038">
        <w:rPr>
          <w:b/>
        </w:rPr>
        <w:t>For Respondent</w:t>
      </w:r>
      <w:r w:rsidR="00D43513" w:rsidRPr="00020038">
        <w:rPr>
          <w:b/>
        </w:rPr>
        <w:t>:</w:t>
      </w:r>
      <w:r w:rsidR="00D43513">
        <w:t xml:space="preserve"> </w:t>
      </w:r>
      <w:r>
        <w:t xml:space="preserve"> </w:t>
      </w:r>
      <w:r w:rsidR="00954800">
        <w:tab/>
      </w:r>
      <w:r w:rsidR="00954800">
        <w:tab/>
      </w:r>
      <w:r w:rsidRPr="00954800">
        <w:rPr>
          <w:b/>
        </w:rPr>
        <w:t>Mr.C. Ndhlovu (Legal Practitioner)</w:t>
      </w:r>
    </w:p>
    <w:p w:rsidR="00954800" w:rsidRDefault="00954800"/>
    <w:p w:rsidR="00954800" w:rsidRDefault="001C0F45" w:rsidP="00954800">
      <w:pPr>
        <w:rPr>
          <w:b/>
        </w:rPr>
      </w:pPr>
      <w:r w:rsidRPr="00665145">
        <w:rPr>
          <w:b/>
        </w:rPr>
        <w:t xml:space="preserve">CHIVIZHE, J: </w:t>
      </w:r>
    </w:p>
    <w:p w:rsidR="00665145" w:rsidRDefault="00900FEA" w:rsidP="00900FEA">
      <w:pPr>
        <w:ind w:firstLine="720"/>
      </w:pPr>
      <w:r>
        <w:t xml:space="preserve">This is a ruling in an </w:t>
      </w:r>
      <w:r w:rsidR="00AB6731">
        <w:t>interlocutory</w:t>
      </w:r>
      <w:r w:rsidR="00665145">
        <w:t xml:space="preserve"> application ma</w:t>
      </w:r>
      <w:r>
        <w:t xml:space="preserve">de by </w:t>
      </w:r>
      <w:r w:rsidR="00D55EC4">
        <w:t>Applicant</w:t>
      </w:r>
      <w:r>
        <w:t xml:space="preserve"> for the upliftment</w:t>
      </w:r>
      <w:r w:rsidR="00665145">
        <w:t xml:space="preserve"> of </w:t>
      </w:r>
      <w:r w:rsidR="00737C00">
        <w:t xml:space="preserve">bar </w:t>
      </w:r>
      <w:r w:rsidR="00665145">
        <w:t>operating against</w:t>
      </w:r>
      <w:r w:rsidR="00E6344F">
        <w:t xml:space="preserve"> her</w:t>
      </w:r>
      <w:r>
        <w:t xml:space="preserve"> </w:t>
      </w:r>
      <w:r w:rsidR="00665145">
        <w:t xml:space="preserve">as a result of his failure to file heads of argument in time as stipulated by the </w:t>
      </w:r>
      <w:r w:rsidR="00665145" w:rsidRPr="00E6344F">
        <w:rPr>
          <w:b/>
        </w:rPr>
        <w:t>Labour Court Rules, 2017</w:t>
      </w:r>
      <w:r>
        <w:t>. S</w:t>
      </w:r>
      <w:r w:rsidR="00665145">
        <w:t>ome background information to the matter is however necessary.</w:t>
      </w:r>
    </w:p>
    <w:p w:rsidR="00665145" w:rsidRDefault="00665145" w:rsidP="00B54772">
      <w:pPr>
        <w:ind w:firstLine="720"/>
      </w:pPr>
      <w:r>
        <w:t xml:space="preserve">The main application filed is an </w:t>
      </w:r>
      <w:r w:rsidR="00737C00">
        <w:t>applicaton</w:t>
      </w:r>
      <w:r w:rsidR="00900FEA">
        <w:t xml:space="preserve"> for condonation for late filing of an application for r</w:t>
      </w:r>
      <w:r>
        <w:t>einstatem</w:t>
      </w:r>
      <w:r w:rsidR="00900FEA">
        <w:t xml:space="preserve">ent of an application for condonation of late noting of </w:t>
      </w:r>
      <w:r w:rsidR="008D21B6">
        <w:t>a</w:t>
      </w:r>
      <w:r>
        <w:t xml:space="preserve"> review</w:t>
      </w:r>
      <w:r w:rsidR="00900FEA">
        <w:t xml:space="preserve">.  The </w:t>
      </w:r>
      <w:r w:rsidR="00737C00">
        <w:t>Applicant</w:t>
      </w:r>
      <w:r w:rsidR="00900FEA">
        <w:t xml:space="preserve"> is a former e</w:t>
      </w:r>
      <w:r>
        <w:t>mployee of the Respondent.  I</w:t>
      </w:r>
      <w:r w:rsidR="004709B9">
        <w:t>n March 2019 through her</w:t>
      </w:r>
      <w:r w:rsidR="006E030F">
        <w:t xml:space="preserve"> </w:t>
      </w:r>
      <w:r w:rsidR="004709B9">
        <w:t>erstwhile</w:t>
      </w:r>
      <w:r w:rsidR="00900FEA">
        <w:t xml:space="preserve"> Legal Practitioner, Zimudzi &amp;</w:t>
      </w:r>
      <w:r>
        <w:t xml:space="preserve"> Associates</w:t>
      </w:r>
      <w:r w:rsidR="006E030F">
        <w:t xml:space="preserve"> </w:t>
      </w:r>
      <w:r w:rsidR="00900FEA">
        <w:t>filed a</w:t>
      </w:r>
      <w:r w:rsidR="006E030F">
        <w:t xml:space="preserve">n </w:t>
      </w:r>
      <w:r w:rsidR="00274D51">
        <w:t>a</w:t>
      </w:r>
      <w:r w:rsidR="00900FEA">
        <w:t>pplication for condo</w:t>
      </w:r>
      <w:r>
        <w:t xml:space="preserve">nation of late noting </w:t>
      </w:r>
      <w:r w:rsidR="008C5945">
        <w:t>of an application for review.  She</w:t>
      </w:r>
      <w:r>
        <w:t xml:space="preserve"> wa</w:t>
      </w:r>
      <w:r w:rsidR="00900FEA">
        <w:t>s seeking to have reviewed the d</w:t>
      </w:r>
      <w:r>
        <w:t>etermination by 1st Respond</w:t>
      </w:r>
      <w:r w:rsidR="00E6344F">
        <w:t xml:space="preserve">ent. </w:t>
      </w:r>
      <w:r w:rsidR="008C5945">
        <w:t>Her</w:t>
      </w:r>
      <w:r>
        <w:t xml:space="preserve"> application was</w:t>
      </w:r>
      <w:r w:rsidR="00E6344F">
        <w:t xml:space="preserve"> duly</w:t>
      </w:r>
      <w:r>
        <w:t xml:space="preserve"> opposed by the 1st Respondent.</w:t>
      </w:r>
    </w:p>
    <w:p w:rsidR="00665145" w:rsidRDefault="00665145" w:rsidP="00A411CF">
      <w:pPr>
        <w:ind w:firstLine="720"/>
      </w:pPr>
      <w:r>
        <w:lastRenderedPageBreak/>
        <w:t xml:space="preserve">In terms of </w:t>
      </w:r>
      <w:r w:rsidRPr="00A411CF">
        <w:rPr>
          <w:b/>
        </w:rPr>
        <w:t>Rule 26 (1)</w:t>
      </w:r>
      <w:r>
        <w:t xml:space="preserve"> of the Labour Court Ru</w:t>
      </w:r>
      <w:r w:rsidR="00A411CF">
        <w:t xml:space="preserve">les, </w:t>
      </w:r>
      <w:r w:rsidR="008C5945">
        <w:t>s</w:t>
      </w:r>
      <w:r w:rsidR="00A411CF">
        <w:t>he was thereafter required</w:t>
      </w:r>
      <w:r>
        <w:t xml:space="preserve"> to file heads of argument within (10) ten days of receipt </w:t>
      </w:r>
      <w:r w:rsidR="008D21B6">
        <w:t>of 1st</w:t>
      </w:r>
      <w:r>
        <w:t xml:space="preserve"> Respondent</w:t>
      </w:r>
      <w:r w:rsidR="008C5945">
        <w:t>’s Notice of Response.  Her</w:t>
      </w:r>
      <w:r w:rsidR="00274D51">
        <w:t xml:space="preserve"> erstwhile</w:t>
      </w:r>
      <w:r w:rsidR="00A411CF">
        <w:t xml:space="preserve"> </w:t>
      </w:r>
      <w:r>
        <w:t>Legal practitioners then erroneously filed an Answering Affidavit inst</w:t>
      </w:r>
      <w:r w:rsidR="008114D2">
        <w:t>ead of Heads of Argument.  The</w:t>
      </w:r>
      <w:r>
        <w:t xml:space="preserve"> papers were also filed outside time. The Registrar </w:t>
      </w:r>
      <w:r w:rsidR="00607BE8">
        <w:t>of Court</w:t>
      </w:r>
      <w:r>
        <w:t xml:space="preserve"> through a letter dated 17th May 2019 advised the </w:t>
      </w:r>
      <w:r w:rsidR="00274D51">
        <w:t>Applicant</w:t>
      </w:r>
      <w:r w:rsidR="008C5945">
        <w:t xml:space="preserve"> that due to </w:t>
      </w:r>
      <w:r w:rsidR="00607BE8">
        <w:t>her failure</w:t>
      </w:r>
      <w:r>
        <w:t xml:space="preserve"> to comply with </w:t>
      </w:r>
      <w:r w:rsidRPr="00020038">
        <w:rPr>
          <w:b/>
        </w:rPr>
        <w:t>Rule 26 (1)</w:t>
      </w:r>
      <w:r w:rsidR="008114D2">
        <w:rPr>
          <w:b/>
        </w:rPr>
        <w:t xml:space="preserve"> </w:t>
      </w:r>
      <w:r w:rsidRPr="00020038">
        <w:rPr>
          <w:b/>
        </w:rPr>
        <w:t>(a)</w:t>
      </w:r>
      <w:r w:rsidR="008114D2">
        <w:t xml:space="preserve"> </w:t>
      </w:r>
      <w:r>
        <w:t xml:space="preserve">the matter was now deemed as abandoned in terms of </w:t>
      </w:r>
      <w:r w:rsidRPr="00274D51">
        <w:rPr>
          <w:b/>
          <w:bCs/>
        </w:rPr>
        <w:t>Rule 46 (b)</w:t>
      </w:r>
      <w:r>
        <w:t xml:space="preserve"> of the </w:t>
      </w:r>
      <w:r w:rsidRPr="00274D51">
        <w:rPr>
          <w:b/>
          <w:bCs/>
        </w:rPr>
        <w:t>Labour Court Rules</w:t>
      </w:r>
      <w:r w:rsidR="00274D51" w:rsidRPr="00274D51">
        <w:rPr>
          <w:b/>
          <w:bCs/>
        </w:rPr>
        <w:t>, 2017</w:t>
      </w:r>
      <w:r>
        <w:t>. The letter was received by</w:t>
      </w:r>
      <w:r w:rsidR="003F6968">
        <w:t xml:space="preserve"> Applicant</w:t>
      </w:r>
      <w:r w:rsidR="00A411CF">
        <w:t xml:space="preserve"> on 4th of July 2019.</w:t>
      </w:r>
    </w:p>
    <w:p w:rsidR="00665145" w:rsidRDefault="00665145" w:rsidP="00665145">
      <w:pPr>
        <w:ind w:firstLine="720"/>
      </w:pPr>
      <w:r>
        <w:t xml:space="preserve">In terms of the Rules </w:t>
      </w:r>
      <w:r w:rsidR="003F6968">
        <w:t>Applicant</w:t>
      </w:r>
      <w:r>
        <w:t xml:space="preserve"> was </w:t>
      </w:r>
      <w:r w:rsidR="003F6968">
        <w:t>required</w:t>
      </w:r>
      <w:r w:rsidR="008C5945">
        <w:t xml:space="preserve"> to file her</w:t>
      </w:r>
      <w:r>
        <w:t xml:space="preserve"> application for reinstatement within 21 da</w:t>
      </w:r>
      <w:r w:rsidR="008114D2">
        <w:t>ys from the 4th of July 2019.  Sh</w:t>
      </w:r>
      <w:r>
        <w:t xml:space="preserve">e was </w:t>
      </w:r>
      <w:r w:rsidR="003F6968">
        <w:t>therefore require</w:t>
      </w:r>
      <w:r w:rsidR="008114D2">
        <w:t>d</w:t>
      </w:r>
      <w:r w:rsidR="00E6344F">
        <w:t xml:space="preserve"> to file at the latest by 2</w:t>
      </w:r>
      <w:r w:rsidR="00E6344F" w:rsidRPr="00E6344F">
        <w:rPr>
          <w:vertAlign w:val="superscript"/>
        </w:rPr>
        <w:t>nd</w:t>
      </w:r>
      <w:r w:rsidR="00E6344F">
        <w:t xml:space="preserve"> of </w:t>
      </w:r>
      <w:r>
        <w:t xml:space="preserve">August 2019.  The </w:t>
      </w:r>
      <w:r w:rsidR="003F6968">
        <w:t>Applicant</w:t>
      </w:r>
      <w:r>
        <w:t xml:space="preserve"> realizing however that </w:t>
      </w:r>
      <w:r w:rsidR="008C5945">
        <w:t>s</w:t>
      </w:r>
      <w:r>
        <w:t>he was out of time approached this cour</w:t>
      </w:r>
      <w:r w:rsidR="00A411CF">
        <w:t>t with an application for condo</w:t>
      </w:r>
      <w:r>
        <w:t xml:space="preserve">nation for the late filing </w:t>
      </w:r>
      <w:r w:rsidR="00A411CF">
        <w:t>of the</w:t>
      </w:r>
      <w:r>
        <w:t xml:space="preserve"> application for reinstatem</w:t>
      </w:r>
      <w:r w:rsidR="00A411CF">
        <w:t>ent.  The application for condo</w:t>
      </w:r>
      <w:r>
        <w:t xml:space="preserve">nation was filed on 17th January 2020.  The 1st and 2nd Respondents responded with a Notice of Opposition on 28th January, 2020.  By virtue of </w:t>
      </w:r>
      <w:r w:rsidRPr="00020038">
        <w:rPr>
          <w:b/>
        </w:rPr>
        <w:t>Rule 26(1</w:t>
      </w:r>
      <w:r w:rsidR="00607BE8" w:rsidRPr="00020038">
        <w:rPr>
          <w:b/>
        </w:rPr>
        <w:t>) (</w:t>
      </w:r>
      <w:r w:rsidR="003B2405" w:rsidRPr="00020038">
        <w:rPr>
          <w:b/>
        </w:rPr>
        <w:t>a)</w:t>
      </w:r>
      <w:r w:rsidR="003B2405">
        <w:t xml:space="preserve"> the </w:t>
      </w:r>
      <w:r w:rsidR="003F6968">
        <w:t>Applicant</w:t>
      </w:r>
      <w:r w:rsidR="003B2405">
        <w:t xml:space="preserve"> was required</w:t>
      </w:r>
      <w:r>
        <w:t xml:space="preserve"> to file heads of argument within ten </w:t>
      </w:r>
      <w:r w:rsidR="00607BE8">
        <w:t>days of</w:t>
      </w:r>
      <w:r>
        <w:t xml:space="preserve"> receipt of Notice </w:t>
      </w:r>
      <w:r w:rsidR="00607BE8">
        <w:t>of Response</w:t>
      </w:r>
      <w:r>
        <w:t xml:space="preserve">.  The </w:t>
      </w:r>
      <w:r w:rsidR="003F6968">
        <w:t>Applicant</w:t>
      </w:r>
      <w:r>
        <w:t xml:space="preserve"> once again </w:t>
      </w:r>
      <w:r w:rsidR="003B2405">
        <w:t>failed to</w:t>
      </w:r>
      <w:r>
        <w:t xml:space="preserve"> file heads of argument.  On the date of hearing of the matter, the </w:t>
      </w:r>
      <w:r w:rsidR="003F6968">
        <w:t>Applica</w:t>
      </w:r>
      <w:r>
        <w:t>nt was now represented by yet another legal firm i.e</w:t>
      </w:r>
      <w:r w:rsidR="003B2405">
        <w:t>.</w:t>
      </w:r>
      <w:r>
        <w:t xml:space="preserve"> Jiti Law Chambers who according to the record assumed agency on 12th of March 2020.  Before</w:t>
      </w:r>
      <w:r w:rsidR="003F6968">
        <w:t xml:space="preserve"> this</w:t>
      </w:r>
      <w:r>
        <w:t xml:space="preserve"> the </w:t>
      </w:r>
      <w:r w:rsidR="003F6968">
        <w:t>Applicant</w:t>
      </w:r>
      <w:r>
        <w:t xml:space="preserve"> had been represented by </w:t>
      </w:r>
      <w:r w:rsidR="003F6968">
        <w:t xml:space="preserve">yet another firm </w:t>
      </w:r>
      <w:r w:rsidR="003B2405">
        <w:t>Jula</w:t>
      </w:r>
      <w:r w:rsidR="00F1352D">
        <w:t xml:space="preserve"> Julah</w:t>
      </w:r>
      <w:r w:rsidR="003B2405">
        <w:t xml:space="preserve"> Law Chambers who had assumed a</w:t>
      </w:r>
      <w:r>
        <w:t>gency on 11th January 2020 after</w:t>
      </w:r>
      <w:r w:rsidR="00D91D14">
        <w:t xml:space="preserve"> renunciation of agency by </w:t>
      </w:r>
      <w:r w:rsidR="00FD439D">
        <w:t>Messr</w:t>
      </w:r>
      <w:r w:rsidR="008D21B6">
        <w:t>s</w:t>
      </w:r>
      <w:r>
        <w:t xml:space="preserve"> Zimudzi &amp; Associates Legal Practitioners.</w:t>
      </w:r>
    </w:p>
    <w:p w:rsidR="00665145" w:rsidRDefault="00E6344F" w:rsidP="003B2405">
      <w:pPr>
        <w:ind w:firstLine="720"/>
      </w:pPr>
      <w:r>
        <w:t>T</w:t>
      </w:r>
      <w:r w:rsidR="00665145">
        <w:t xml:space="preserve">he </w:t>
      </w:r>
      <w:r w:rsidR="00FD439D">
        <w:t>Applicant</w:t>
      </w:r>
      <w:r w:rsidR="008C5945">
        <w:t xml:space="preserve"> through her</w:t>
      </w:r>
      <w:r w:rsidR="00665145">
        <w:t xml:space="preserve"> new counsel, </w:t>
      </w:r>
      <w:r w:rsidR="00791B7B">
        <w:t>Mr Machaya</w:t>
      </w:r>
      <w:r w:rsidR="00FD439D">
        <w:t>,</w:t>
      </w:r>
      <w:r w:rsidR="00665145">
        <w:t xml:space="preserve"> was seeking for a postponement o</w:t>
      </w:r>
      <w:r w:rsidR="00F1352D">
        <w:t xml:space="preserve">f the matter and an upliftment of the bar operating </w:t>
      </w:r>
      <w:r w:rsidR="00665145">
        <w:t xml:space="preserve">against </w:t>
      </w:r>
      <w:r>
        <w:t>her</w:t>
      </w:r>
      <w:r w:rsidR="00665145">
        <w:t xml:space="preserve"> as a result of the failure to the heads</w:t>
      </w:r>
      <w:r w:rsidR="008C5945">
        <w:t>.  Mr Machaya submitted that her</w:t>
      </w:r>
      <w:r w:rsidR="00665145">
        <w:t xml:space="preserve"> firm </w:t>
      </w:r>
      <w:r w:rsidR="00845973">
        <w:t>had</w:t>
      </w:r>
      <w:r w:rsidR="00665145">
        <w:t xml:space="preserve"> recently assumed agency in the matter.  The </w:t>
      </w:r>
      <w:r w:rsidR="00845973">
        <w:t>Applicant</w:t>
      </w:r>
      <w:r w:rsidR="00665145">
        <w:t xml:space="preserve"> had been previously repres</w:t>
      </w:r>
      <w:r w:rsidR="008C5945">
        <w:t>ented by two other law firms.  She</w:t>
      </w:r>
      <w:r w:rsidR="00665145">
        <w:t xml:space="preserve"> was placing the blame for the failure to file heads timeously</w:t>
      </w:r>
      <w:r w:rsidR="00791B7B">
        <w:t xml:space="preserve"> on</w:t>
      </w:r>
      <w:r w:rsidR="00A13C3E">
        <w:t xml:space="preserve"> </w:t>
      </w:r>
      <w:r w:rsidR="008114D2">
        <w:t>her</w:t>
      </w:r>
      <w:r w:rsidR="00A13C3E">
        <w:t xml:space="preserve"> previous</w:t>
      </w:r>
      <w:r w:rsidR="00791B7B">
        <w:t xml:space="preserve"> </w:t>
      </w:r>
      <w:r w:rsidR="00F1352D">
        <w:t xml:space="preserve">Legal Practitioners </w:t>
      </w:r>
      <w:r w:rsidR="00A13C3E">
        <w:t>i.</w:t>
      </w:r>
      <w:r w:rsidR="00510162">
        <w:t>e.</w:t>
      </w:r>
      <w:r w:rsidR="00665145">
        <w:t xml:space="preserve"> Jula Julah Law </w:t>
      </w:r>
      <w:r w:rsidR="00510162">
        <w:t>Chamber</w:t>
      </w:r>
      <w:r w:rsidR="008114D2">
        <w:t>s</w:t>
      </w:r>
      <w:r w:rsidR="00665145">
        <w:t xml:space="preserve">.   It was </w:t>
      </w:r>
      <w:r w:rsidR="00510162">
        <w:t>Applicant</w:t>
      </w:r>
      <w:r w:rsidR="00665145">
        <w:t xml:space="preserve"> view that t</w:t>
      </w:r>
      <w:r w:rsidR="008C5945">
        <w:t>he Court should not penalize her</w:t>
      </w:r>
      <w:r w:rsidR="00665145">
        <w:t xml:space="preserve"> as </w:t>
      </w:r>
      <w:r w:rsidR="008C5945">
        <w:t>s</w:t>
      </w:r>
      <w:r w:rsidR="00665145">
        <w:t>he had su</w:t>
      </w:r>
      <w:r w:rsidR="00791B7B">
        <w:t xml:space="preserve">ffered misfortune based on her </w:t>
      </w:r>
      <w:r w:rsidR="00791B7B">
        <w:lastRenderedPageBreak/>
        <w:t>previous</w:t>
      </w:r>
      <w:r w:rsidR="00CC0387">
        <w:t xml:space="preserve"> </w:t>
      </w:r>
      <w:r w:rsidR="00F1352D">
        <w:t>L</w:t>
      </w:r>
      <w:r w:rsidR="00665145">
        <w:t xml:space="preserve">egal </w:t>
      </w:r>
      <w:r w:rsidR="00F1352D">
        <w:t>Practitioners</w:t>
      </w:r>
      <w:r w:rsidR="00665145">
        <w:t xml:space="preserve"> recklessness</w:t>
      </w:r>
      <w:r w:rsidR="00791B7B">
        <w:t>. Her</w:t>
      </w:r>
      <w:r w:rsidR="00665145">
        <w:t xml:space="preserve"> previous legal practitioners had made </w:t>
      </w:r>
      <w:r w:rsidR="008114D2">
        <w:t xml:space="preserve">several </w:t>
      </w:r>
      <w:r w:rsidR="00665145">
        <w:t xml:space="preserve">procedural blunders which had resulted in the </w:t>
      </w:r>
      <w:r w:rsidR="00F1352D">
        <w:t xml:space="preserve">position </w:t>
      </w:r>
      <w:r w:rsidR="00791B7B">
        <w:t>she found her</w:t>
      </w:r>
      <w:r w:rsidR="00F1352D">
        <w:t xml:space="preserve">self in.  </w:t>
      </w:r>
      <w:r w:rsidR="00665145">
        <w:t>The Court was urged to</w:t>
      </w:r>
      <w:r w:rsidR="008114D2">
        <w:t xml:space="preserve"> instead</w:t>
      </w:r>
      <w:r w:rsidR="00665145">
        <w:t xml:space="preserve"> note that the period of delay in filing Heads of </w:t>
      </w:r>
      <w:r w:rsidR="00F1352D">
        <w:t>Argument itself</w:t>
      </w:r>
      <w:r w:rsidR="00791B7B">
        <w:t xml:space="preserve"> was minimal.  She</w:t>
      </w:r>
      <w:r w:rsidR="00665145">
        <w:t xml:space="preserve"> also had </w:t>
      </w:r>
      <w:r w:rsidR="00791B7B">
        <w:t>good prospects of success in her</w:t>
      </w:r>
      <w:r w:rsidR="00665145">
        <w:t xml:space="preserve"> intended review application.  Mr Machaya also submitted that it was in the interest of justice for the matter to be allowed to proceed to be determined on the merits rather</w:t>
      </w:r>
      <w:r w:rsidR="0003607A">
        <w:t xml:space="preserve"> than</w:t>
      </w:r>
      <w:r w:rsidR="008C5945">
        <w:t xml:space="preserve"> on technical points.  H</w:t>
      </w:r>
      <w:r w:rsidR="00665145">
        <w:t>e had taken the initiative to prepare the Heads of Argument immediately after assuming agency</w:t>
      </w:r>
      <w:r w:rsidR="008114D2">
        <w:t xml:space="preserve"> and had them in his person</w:t>
      </w:r>
      <w:r w:rsidR="00665145">
        <w:t>.</w:t>
      </w:r>
    </w:p>
    <w:p w:rsidR="00665145" w:rsidRDefault="00665145" w:rsidP="00F1352D">
      <w:pPr>
        <w:ind w:firstLine="720"/>
      </w:pPr>
      <w:r>
        <w:t>Mr Ndhlovu, for the 1st and 2nd Respondents</w:t>
      </w:r>
      <w:r w:rsidR="00795E5D">
        <w:t>,</w:t>
      </w:r>
      <w:r>
        <w:t xml:space="preserve"> opposed the granting of postponement.  He observed that the Registrar of Court should not have proceeded to set down</w:t>
      </w:r>
      <w:r w:rsidR="008114D2">
        <w:t xml:space="preserve"> the</w:t>
      </w:r>
      <w:r>
        <w:t xml:space="preserve"> matter</w:t>
      </w:r>
      <w:r w:rsidR="008114D2">
        <w:t>.</w:t>
      </w:r>
      <w:r>
        <w:t xml:space="preserve"> </w:t>
      </w:r>
      <w:r w:rsidR="008114D2">
        <w:t>He</w:t>
      </w:r>
      <w:r>
        <w:t xml:space="preserve"> should have</w:t>
      </w:r>
      <w:r w:rsidR="008114D2">
        <w:t xml:space="preserve"> instead</w:t>
      </w:r>
      <w:r>
        <w:t xml:space="preserve"> invoked </w:t>
      </w:r>
      <w:r w:rsidRPr="00020038">
        <w:rPr>
          <w:b/>
        </w:rPr>
        <w:t>Rule 46 (b)</w:t>
      </w:r>
      <w:r>
        <w:t xml:space="preserve"> of </w:t>
      </w:r>
      <w:r w:rsidR="00795E5D" w:rsidRPr="00020038">
        <w:rPr>
          <w:b/>
        </w:rPr>
        <w:t>Labour Court</w:t>
      </w:r>
      <w:r w:rsidRPr="00020038">
        <w:rPr>
          <w:b/>
        </w:rPr>
        <w:t xml:space="preserve"> Rules</w:t>
      </w:r>
      <w:r w:rsidR="00020038" w:rsidRPr="00020038">
        <w:rPr>
          <w:b/>
        </w:rPr>
        <w:t>, 2017</w:t>
      </w:r>
      <w:r>
        <w:t xml:space="preserve">.  He submitted that </w:t>
      </w:r>
      <w:r w:rsidR="00280104">
        <w:t xml:space="preserve">nonetheless </w:t>
      </w:r>
      <w:r>
        <w:t>the application</w:t>
      </w:r>
      <w:r w:rsidR="00280104">
        <w:t xml:space="preserve"> before the court</w:t>
      </w:r>
      <w:r>
        <w:t xml:space="preserve"> for upliftment of bar was </w:t>
      </w:r>
      <w:r w:rsidR="008114D2">
        <w:t>just one</w:t>
      </w:r>
      <w:r>
        <w:t xml:space="preserve"> in a string of applications made by the </w:t>
      </w:r>
      <w:r w:rsidR="00280104">
        <w:t>Applicant</w:t>
      </w:r>
      <w:r>
        <w:t xml:space="preserve"> in the matter.  The </w:t>
      </w:r>
      <w:r w:rsidR="00253795">
        <w:t>Applicant</w:t>
      </w:r>
      <w:r>
        <w:t xml:space="preserve"> who had changed several legal firms during the whole period could not be allowed to benefit from the reckle</w:t>
      </w:r>
      <w:r w:rsidR="008D21B6">
        <w:t xml:space="preserve">ssness conduct of her </w:t>
      </w:r>
      <w:r w:rsidR="00280104">
        <w:t>erstwhile</w:t>
      </w:r>
      <w:r>
        <w:t xml:space="preserve"> </w:t>
      </w:r>
      <w:r w:rsidR="00CD62F7">
        <w:t>L</w:t>
      </w:r>
      <w:r>
        <w:t xml:space="preserve">egal </w:t>
      </w:r>
      <w:r w:rsidR="00CD62F7">
        <w:t>P</w:t>
      </w:r>
      <w:r>
        <w:t xml:space="preserve">ractitioners.  The </w:t>
      </w:r>
      <w:r w:rsidR="00CD62F7">
        <w:t>L</w:t>
      </w:r>
      <w:r>
        <w:t xml:space="preserve">egal </w:t>
      </w:r>
      <w:r w:rsidR="00CD62F7">
        <w:t>P</w:t>
      </w:r>
      <w:r>
        <w:t>ractitioners had been chosen by her</w:t>
      </w:r>
      <w:r w:rsidR="008114D2">
        <w:t>. W</w:t>
      </w:r>
      <w:r>
        <w:t>ith regards the present application</w:t>
      </w:r>
      <w:r w:rsidR="008114D2">
        <w:t>, t</w:t>
      </w:r>
      <w:r>
        <w:t xml:space="preserve">here was no cogent explanation tendered before the court as to why she had failed to comply </w:t>
      </w:r>
      <w:r w:rsidR="008C5945">
        <w:t>with the</w:t>
      </w:r>
      <w:r>
        <w:t xml:space="preserve"> rules to file Heads of Argument.  The explanation that i</w:t>
      </w:r>
      <w:r w:rsidR="00091303">
        <w:t>t was the last law firm who had been responsible w</w:t>
      </w:r>
      <w:r>
        <w:t xml:space="preserve">as not sufficient reason in the absence of </w:t>
      </w:r>
      <w:r w:rsidR="007B1E04">
        <w:t>an</w:t>
      </w:r>
      <w:r w:rsidR="00091303">
        <w:t xml:space="preserve"> affidavit from the last firm </w:t>
      </w:r>
      <w:r>
        <w:t>i.e. Jula Julah Chambers.  On this basis the application could not succeed.  The Respondent’s prayer was for dismissal of the application for upliftment of bar.</w:t>
      </w:r>
    </w:p>
    <w:p w:rsidR="00665145" w:rsidRDefault="00665145" w:rsidP="00665145">
      <w:pPr>
        <w:ind w:firstLine="720"/>
      </w:pPr>
      <w:r>
        <w:t xml:space="preserve">Mr </w:t>
      </w:r>
      <w:r w:rsidR="005662DA">
        <w:t xml:space="preserve">Machaya, </w:t>
      </w:r>
      <w:r>
        <w:t>in reply</w:t>
      </w:r>
      <w:r w:rsidR="005662DA">
        <w:t>,</w:t>
      </w:r>
      <w:r>
        <w:t xml:space="preserve"> submitted that whilst it was </w:t>
      </w:r>
      <w:r w:rsidR="008114D2">
        <w:t>correct as submitted by Respondent</w:t>
      </w:r>
      <w:r w:rsidR="003B0770">
        <w:t xml:space="preserve"> that </w:t>
      </w:r>
      <w:r w:rsidR="005662DA">
        <w:t>Applicant</w:t>
      </w:r>
      <w:r w:rsidR="003B0770">
        <w:t xml:space="preserve"> had reverted </w:t>
      </w:r>
      <w:r>
        <w:t xml:space="preserve">to the legal firm Jula Julah Law Chambers </w:t>
      </w:r>
      <w:r w:rsidR="005662DA">
        <w:t>whom</w:t>
      </w:r>
      <w:r>
        <w:t xml:space="preserve"> </w:t>
      </w:r>
      <w:r w:rsidR="00791B7B">
        <w:t>s</w:t>
      </w:r>
      <w:r>
        <w:t xml:space="preserve">he had previously abandoned, </w:t>
      </w:r>
      <w:r w:rsidR="008114D2">
        <w:t>she however had lost trust</w:t>
      </w:r>
      <w:r w:rsidR="00DF0732">
        <w:t xml:space="preserve"> in them</w:t>
      </w:r>
      <w:r w:rsidR="008114D2">
        <w:t>.</w:t>
      </w:r>
      <w:r w:rsidR="003B0770">
        <w:t xml:space="preserve"> </w:t>
      </w:r>
      <w:r w:rsidR="008114D2">
        <w:t>T</w:t>
      </w:r>
      <w:r w:rsidR="005662DA">
        <w:t>he position of the law</w:t>
      </w:r>
      <w:r w:rsidR="003B0770">
        <w:t xml:space="preserve"> </w:t>
      </w:r>
      <w:r w:rsidR="008114D2">
        <w:t>was also clear</w:t>
      </w:r>
      <w:r w:rsidR="003B0770">
        <w:t xml:space="preserve"> that a litigant </w:t>
      </w:r>
      <w:r>
        <w:t xml:space="preserve">is not </w:t>
      </w:r>
      <w:r w:rsidR="00371726">
        <w:t>bou</w:t>
      </w:r>
      <w:r>
        <w:t>nd to request the</w:t>
      </w:r>
      <w:r w:rsidR="00371726">
        <w:t xml:space="preserve"> same</w:t>
      </w:r>
      <w:r>
        <w:t xml:space="preserve"> </w:t>
      </w:r>
      <w:r w:rsidR="00371726">
        <w:t>Legal P</w:t>
      </w:r>
      <w:r w:rsidR="003B0770">
        <w:t>ractitioners in whom</w:t>
      </w:r>
      <w:r>
        <w:t xml:space="preserve"> </w:t>
      </w:r>
      <w:r w:rsidR="00791B7B">
        <w:t>s</w:t>
      </w:r>
      <w:r>
        <w:t>he ha</w:t>
      </w:r>
      <w:r w:rsidR="003B0770">
        <w:t>d lost trust</w:t>
      </w:r>
      <w:r w:rsidR="008114D2">
        <w:t xml:space="preserve"> </w:t>
      </w:r>
      <w:r w:rsidR="003B0770">
        <w:t xml:space="preserve">to actually file an </w:t>
      </w:r>
      <w:r>
        <w:t>affidavit</w:t>
      </w:r>
      <w:r w:rsidR="00055EAB">
        <w:t xml:space="preserve"> </w:t>
      </w:r>
      <w:r>
        <w:t xml:space="preserve">explaining the circumstances of the default. </w:t>
      </w:r>
      <w:r w:rsidR="00055EAB">
        <w:t>Mr Machaya</w:t>
      </w:r>
      <w:r>
        <w:t xml:space="preserve"> submitted that he would make</w:t>
      </w:r>
      <w:r w:rsidR="00DF0732">
        <w:t xml:space="preserve"> available</w:t>
      </w:r>
      <w:r w:rsidR="00530FB7">
        <w:t xml:space="preserve"> </w:t>
      </w:r>
      <w:r w:rsidR="00DF0732">
        <w:t>an</w:t>
      </w:r>
      <w:r w:rsidR="00530FB7">
        <w:t xml:space="preserve"> </w:t>
      </w:r>
      <w:r>
        <w:t xml:space="preserve">authority </w:t>
      </w:r>
      <w:r w:rsidR="00791B7B">
        <w:t>in support of this position</w:t>
      </w:r>
      <w:r w:rsidR="00530FB7">
        <w:t xml:space="preserve"> from the High Court</w:t>
      </w:r>
      <w:r>
        <w:t>.</w:t>
      </w:r>
      <w:r w:rsidR="00B421EA">
        <w:t xml:space="preserve"> </w:t>
      </w:r>
      <w:r w:rsidR="00AB5098">
        <w:t>A</w:t>
      </w:r>
      <w:r>
        <w:t>ft</w:t>
      </w:r>
      <w:r w:rsidR="00791B7B">
        <w:t>er the</w:t>
      </w:r>
      <w:r w:rsidR="00AB5098">
        <w:t xml:space="preserve"> </w:t>
      </w:r>
      <w:r w:rsidR="00934050">
        <w:t>hearing Mr Machaya</w:t>
      </w:r>
      <w:r w:rsidR="00AB5098">
        <w:t xml:space="preserve"> </w:t>
      </w:r>
      <w:r w:rsidR="00AB5098">
        <w:lastRenderedPageBreak/>
        <w:t>did</w:t>
      </w:r>
      <w:r w:rsidR="003B0770">
        <w:t xml:space="preserve"> </w:t>
      </w:r>
      <w:r w:rsidR="00AB5098">
        <w:t>file a</w:t>
      </w:r>
      <w:r w:rsidR="003B0770">
        <w:t>n authority</w:t>
      </w:r>
      <w:r>
        <w:t xml:space="preserve"> i.e. </w:t>
      </w:r>
      <w:r w:rsidRPr="003B0770">
        <w:rPr>
          <w:i/>
        </w:rPr>
        <w:t>Pauline Mandigo vs Tadzoka Pswarayi and 8 others HH 244/18</w:t>
      </w:r>
      <w:r>
        <w:t>.  Mr Ndhlo</w:t>
      </w:r>
      <w:r w:rsidR="00934050">
        <w:t xml:space="preserve">vu, </w:t>
      </w:r>
      <w:r w:rsidR="003B0770">
        <w:t>for Respondent</w:t>
      </w:r>
      <w:r w:rsidR="00934050">
        <w:t>,</w:t>
      </w:r>
      <w:r w:rsidR="00AB5098">
        <w:t xml:space="preserve"> also</w:t>
      </w:r>
      <w:r w:rsidR="003B0770">
        <w:t xml:space="preserve"> filed his authority</w:t>
      </w:r>
      <w:r>
        <w:t xml:space="preserve"> for the contrary position i.e. </w:t>
      </w:r>
      <w:r w:rsidRPr="003B0770">
        <w:rPr>
          <w:i/>
        </w:rPr>
        <w:t>Challenge Auto (Pvt) Ltd vs Standard Chartered Bank HE-H-221/2002</w:t>
      </w:r>
      <w:r>
        <w:t>.</w:t>
      </w:r>
    </w:p>
    <w:p w:rsidR="00665145" w:rsidRPr="00823B3F" w:rsidRDefault="00823B3F" w:rsidP="00665145">
      <w:pPr>
        <w:ind w:firstLine="720"/>
        <w:rPr>
          <w:b/>
          <w:bCs/>
        </w:rPr>
      </w:pPr>
      <w:r>
        <w:rPr>
          <w:b/>
          <w:bCs/>
        </w:rPr>
        <w:t>RULING</w:t>
      </w:r>
    </w:p>
    <w:p w:rsidR="00B770C9" w:rsidRDefault="00665145" w:rsidP="00665145">
      <w:pPr>
        <w:ind w:firstLine="720"/>
      </w:pPr>
      <w:r>
        <w:t>In the court’s</w:t>
      </w:r>
      <w:r w:rsidR="003B0770">
        <w:t xml:space="preserve"> ruling it is clear that under </w:t>
      </w:r>
      <w:r w:rsidR="003B0770" w:rsidRPr="00020038">
        <w:rPr>
          <w:b/>
        </w:rPr>
        <w:t>Rule 26 (1)</w:t>
      </w:r>
      <w:r w:rsidR="003B0770">
        <w:t xml:space="preserve"> of </w:t>
      </w:r>
      <w:r w:rsidR="003B0770" w:rsidRPr="00020038">
        <w:rPr>
          <w:b/>
        </w:rPr>
        <w:t>the Labour Court Rules, 2017</w:t>
      </w:r>
      <w:r w:rsidR="003B0770">
        <w:t xml:space="preserve"> where an </w:t>
      </w:r>
      <w:r w:rsidR="00B421EA">
        <w:t>Applicant</w:t>
      </w:r>
      <w:r w:rsidR="003B0770">
        <w:t xml:space="preserve"> </w:t>
      </w:r>
      <w:r w:rsidR="009463CC">
        <w:t xml:space="preserve">is to be represented by Legal Practitioner such Legal Practitioner shall lodge with the Registrar within 10 days of receipt of Notice of Response, heads of arguments. </w:t>
      </w:r>
      <w:r w:rsidR="009463CC" w:rsidRPr="00B908AB">
        <w:rPr>
          <w:b/>
        </w:rPr>
        <w:t>Rule 26 (2)</w:t>
      </w:r>
      <w:r w:rsidR="009463CC">
        <w:t xml:space="preserve"> provides that no Legal Practitioner “shall” be allowed to make submissions in the absence of filing of heads of Arguments. There is use of </w:t>
      </w:r>
      <w:r w:rsidR="00823B3F">
        <w:t>“</w:t>
      </w:r>
      <w:r w:rsidR="009463CC">
        <w:t>shall</w:t>
      </w:r>
      <w:r w:rsidR="00823B3F">
        <w:t>”</w:t>
      </w:r>
      <w:r w:rsidR="009463CC">
        <w:t xml:space="preserve"> which denotes the </w:t>
      </w:r>
      <w:r w:rsidR="00823B3F">
        <w:t>peremptory</w:t>
      </w:r>
      <w:r w:rsidR="009463CC">
        <w:t xml:space="preserve"> nature of the provision. The proviso to </w:t>
      </w:r>
      <w:r w:rsidR="009463CC" w:rsidRPr="00020038">
        <w:rPr>
          <w:b/>
        </w:rPr>
        <w:t>Rule 26 (2)</w:t>
      </w:r>
      <w:r w:rsidR="009463CC">
        <w:t xml:space="preserve"> makes provision for a party barred for failure to file heads of argument to (i) make a chamber application to remove the bar</w:t>
      </w:r>
      <w:r w:rsidR="00B770C9">
        <w:t xml:space="preserve"> (ii) </w:t>
      </w:r>
      <w:r w:rsidR="001E50E8">
        <w:t xml:space="preserve">or </w:t>
      </w:r>
      <w:r w:rsidR="00B770C9">
        <w:t>make an oral application to remove the bar at the hearing of the main application or appeal.</w:t>
      </w:r>
    </w:p>
    <w:p w:rsidR="00D43513" w:rsidRDefault="00103CED" w:rsidP="00665145">
      <w:pPr>
        <w:ind w:firstLine="720"/>
      </w:pPr>
      <w:r w:rsidRPr="00020038">
        <w:rPr>
          <w:b/>
        </w:rPr>
        <w:t>Rule 26 (2)</w:t>
      </w:r>
      <w:r>
        <w:t xml:space="preserve"> provides as follows;</w:t>
      </w:r>
    </w:p>
    <w:p w:rsidR="00B908AB" w:rsidRDefault="00B908AB" w:rsidP="00530FB7">
      <w:pPr>
        <w:pStyle w:val="Default"/>
        <w:ind w:left="720"/>
        <w:jc w:val="both"/>
        <w:rPr>
          <w:rFonts w:ascii="Tahoma" w:hAnsi="Tahoma" w:cs="Tahoma"/>
          <w:sz w:val="22"/>
          <w:szCs w:val="22"/>
        </w:rPr>
      </w:pPr>
      <w:r w:rsidRPr="00530FB7">
        <w:rPr>
          <w:rFonts w:ascii="Tahoma" w:hAnsi="Tahoma" w:cs="Tahoma"/>
          <w:sz w:val="22"/>
          <w:szCs w:val="22"/>
        </w:rPr>
        <w:t xml:space="preserve">“(2) No legal practitioner or representative shall be allowed to make submissions in a matter without having filed heads of argument: </w:t>
      </w:r>
    </w:p>
    <w:p w:rsidR="00530FB7" w:rsidRPr="00530FB7" w:rsidRDefault="00530FB7" w:rsidP="00530FB7">
      <w:pPr>
        <w:pStyle w:val="Default"/>
        <w:ind w:left="720"/>
        <w:jc w:val="both"/>
        <w:rPr>
          <w:rFonts w:ascii="Tahoma" w:hAnsi="Tahoma" w:cs="Tahoma"/>
          <w:sz w:val="22"/>
          <w:szCs w:val="22"/>
        </w:rPr>
      </w:pPr>
    </w:p>
    <w:p w:rsidR="00B908AB" w:rsidRDefault="00B908AB" w:rsidP="00530FB7">
      <w:pPr>
        <w:pStyle w:val="Default"/>
        <w:ind w:firstLine="720"/>
        <w:jc w:val="both"/>
        <w:rPr>
          <w:rFonts w:ascii="Tahoma" w:hAnsi="Tahoma" w:cs="Tahoma"/>
          <w:sz w:val="22"/>
          <w:szCs w:val="22"/>
        </w:rPr>
      </w:pPr>
      <w:r w:rsidRPr="00530FB7">
        <w:rPr>
          <w:rFonts w:ascii="Tahoma" w:hAnsi="Tahoma" w:cs="Tahoma"/>
          <w:sz w:val="22"/>
          <w:szCs w:val="22"/>
        </w:rPr>
        <w:t xml:space="preserve">Provided that </w:t>
      </w:r>
      <w:r w:rsidR="00530FB7">
        <w:rPr>
          <w:rFonts w:ascii="Tahoma" w:hAnsi="Tahoma" w:cs="Tahoma"/>
          <w:sz w:val="22"/>
          <w:szCs w:val="22"/>
        </w:rPr>
        <w:t>a party who has been barred may-</w:t>
      </w:r>
      <w:r w:rsidRPr="00530FB7">
        <w:rPr>
          <w:rFonts w:ascii="Tahoma" w:hAnsi="Tahoma" w:cs="Tahoma"/>
          <w:sz w:val="22"/>
          <w:szCs w:val="22"/>
        </w:rPr>
        <w:t xml:space="preserve"> </w:t>
      </w:r>
    </w:p>
    <w:p w:rsidR="00530FB7" w:rsidRPr="00530FB7" w:rsidRDefault="00530FB7" w:rsidP="00530FB7">
      <w:pPr>
        <w:pStyle w:val="Default"/>
        <w:ind w:firstLine="720"/>
        <w:jc w:val="both"/>
        <w:rPr>
          <w:rFonts w:ascii="Tahoma" w:hAnsi="Tahoma" w:cs="Tahoma"/>
          <w:sz w:val="22"/>
          <w:szCs w:val="22"/>
        </w:rPr>
      </w:pPr>
    </w:p>
    <w:p w:rsidR="00B908AB" w:rsidRPr="00530FB7" w:rsidRDefault="00B908AB" w:rsidP="00530FB7">
      <w:pPr>
        <w:pStyle w:val="Default"/>
        <w:ind w:left="720"/>
        <w:jc w:val="both"/>
        <w:rPr>
          <w:rFonts w:ascii="Tahoma" w:hAnsi="Tahoma" w:cs="Tahoma"/>
          <w:sz w:val="22"/>
          <w:szCs w:val="22"/>
        </w:rPr>
      </w:pPr>
      <w:r w:rsidRPr="00530FB7">
        <w:rPr>
          <w:rFonts w:ascii="Tahoma" w:hAnsi="Tahoma" w:cs="Tahoma"/>
          <w:sz w:val="22"/>
          <w:szCs w:val="22"/>
        </w:rPr>
        <w:t>(</w:t>
      </w:r>
      <w:r w:rsidRPr="00530FB7">
        <w:rPr>
          <w:rFonts w:ascii="Tahoma" w:hAnsi="Tahoma" w:cs="Tahoma"/>
          <w:i/>
          <w:iCs/>
          <w:sz w:val="22"/>
          <w:szCs w:val="22"/>
        </w:rPr>
        <w:t>a</w:t>
      </w:r>
      <w:r w:rsidRPr="00530FB7">
        <w:rPr>
          <w:rFonts w:ascii="Tahoma" w:hAnsi="Tahoma" w:cs="Tahoma"/>
          <w:sz w:val="22"/>
          <w:szCs w:val="22"/>
        </w:rPr>
        <w:t xml:space="preserve">) make a chamber application to remove the bar, and the Judge or Court may allow the application on such terms as to costs and otherwise as he or she thinks fit; or </w:t>
      </w:r>
    </w:p>
    <w:p w:rsidR="00843BE6" w:rsidRPr="00530FB7" w:rsidRDefault="00B908AB" w:rsidP="00530FB7">
      <w:pPr>
        <w:spacing w:line="276" w:lineRule="auto"/>
        <w:ind w:left="720"/>
        <w:rPr>
          <w:rFonts w:cs="Tahoma"/>
          <w:sz w:val="22"/>
        </w:rPr>
      </w:pPr>
      <w:r w:rsidRPr="00530FB7">
        <w:rPr>
          <w:rFonts w:cs="Tahoma"/>
          <w:sz w:val="22"/>
        </w:rPr>
        <w:t>(</w:t>
      </w:r>
      <w:r w:rsidRPr="00530FB7">
        <w:rPr>
          <w:rFonts w:cs="Tahoma"/>
          <w:i/>
          <w:iCs/>
          <w:sz w:val="22"/>
        </w:rPr>
        <w:t>b</w:t>
      </w:r>
      <w:r w:rsidRPr="00530FB7">
        <w:rPr>
          <w:rFonts w:cs="Tahoma"/>
          <w:sz w:val="22"/>
        </w:rPr>
        <w:t>) make an oral application to remove the bar at the hearing of the application or appeal.”</w:t>
      </w:r>
    </w:p>
    <w:p w:rsidR="008412C2" w:rsidRDefault="00843BE6" w:rsidP="00665145">
      <w:pPr>
        <w:ind w:firstLine="720"/>
      </w:pPr>
      <w:r>
        <w:t xml:space="preserve">What are the factors the court ought to </w:t>
      </w:r>
      <w:r w:rsidR="004A3D51">
        <w:t>consider</w:t>
      </w:r>
      <w:r>
        <w:t xml:space="preserve"> in an application for upliftment of bar? It is </w:t>
      </w:r>
      <w:r w:rsidRPr="001A4AAC">
        <w:rPr>
          <w:i/>
          <w:iCs/>
        </w:rPr>
        <w:t>trite</w:t>
      </w:r>
      <w:r>
        <w:t xml:space="preserve"> that in considering an application of </w:t>
      </w:r>
      <w:r w:rsidR="004A3D51">
        <w:t xml:space="preserve">this </w:t>
      </w:r>
      <w:r>
        <w:t xml:space="preserve">nature, the court has a discretion </w:t>
      </w:r>
      <w:r w:rsidR="00020038">
        <w:t>in the</w:t>
      </w:r>
      <w:r>
        <w:t xml:space="preserve"> matter. In addition to considering the reasonableness of the excuse for the delay the court also takes into </w:t>
      </w:r>
      <w:r w:rsidR="001A4AAC">
        <w:t>ac</w:t>
      </w:r>
      <w:r>
        <w:t xml:space="preserve">count various factors including the importance of the case, the Respondent’s interest in reaching finality in the matter, the </w:t>
      </w:r>
      <w:r w:rsidR="002C49C2">
        <w:t xml:space="preserve">convenience of the court and the avoidance of unnecessary delay in the administration of justice. (See </w:t>
      </w:r>
      <w:r w:rsidR="002C49C2" w:rsidRPr="00020038">
        <w:rPr>
          <w:i/>
        </w:rPr>
        <w:t>United Plant Hire (Pvt) Limited vs Hill and Others 1976 (1) SA 717 (A) at 720.</w:t>
      </w:r>
    </w:p>
    <w:p w:rsidR="008412C2" w:rsidRDefault="008412C2" w:rsidP="00665145">
      <w:pPr>
        <w:ind w:firstLine="720"/>
      </w:pPr>
      <w:r>
        <w:lastRenderedPageBreak/>
        <w:t>Mr Machaya</w:t>
      </w:r>
      <w:r w:rsidR="0085322A">
        <w:t>,</w:t>
      </w:r>
      <w:r>
        <w:t xml:space="preserve"> in tendering his explanation for the delay in filing heads of arguments placed the blame on the two legal firms that had been hired by the </w:t>
      </w:r>
      <w:r w:rsidR="00253795">
        <w:t>Applicant</w:t>
      </w:r>
      <w:r>
        <w:t xml:space="preserve"> prior to his law firm. The Respondent position in response was that the court should find that there is no reasonable  explanation tendered as </w:t>
      </w:r>
      <w:r w:rsidR="00253795">
        <w:t>Applicant</w:t>
      </w:r>
      <w:r>
        <w:t xml:space="preserve"> had not tendered a supporting Affidavit from the last </w:t>
      </w:r>
      <w:r w:rsidR="00934050">
        <w:t xml:space="preserve">law firm i.e. Jula Julah </w:t>
      </w:r>
      <w:r w:rsidR="00530FB7">
        <w:t>Law Chambers</w:t>
      </w:r>
      <w:r>
        <w:t xml:space="preserve"> explaining the circumstances under which the Rules had been flouted.</w:t>
      </w:r>
      <w:r w:rsidR="00843BE6">
        <w:t xml:space="preserve"> </w:t>
      </w:r>
    </w:p>
    <w:p w:rsidR="00020038" w:rsidRDefault="008412C2" w:rsidP="0085322A">
      <w:pPr>
        <w:ind w:firstLine="720"/>
      </w:pPr>
      <w:r>
        <w:t>It is indeed</w:t>
      </w:r>
      <w:r w:rsidR="0085322A">
        <w:t xml:space="preserve"> a</w:t>
      </w:r>
      <w:r>
        <w:t xml:space="preserve"> </w:t>
      </w:r>
      <w:r w:rsidRPr="0085322A">
        <w:rPr>
          <w:i/>
          <w:iCs/>
        </w:rPr>
        <w:t>trite</w:t>
      </w:r>
      <w:r>
        <w:t xml:space="preserve"> </w:t>
      </w:r>
      <w:r w:rsidR="002321D0">
        <w:t>position at law</w:t>
      </w:r>
      <w:r>
        <w:t xml:space="preserve"> where a litigant</w:t>
      </w:r>
      <w:r w:rsidR="002321D0">
        <w:t xml:space="preserve"> places</w:t>
      </w:r>
      <w:r>
        <w:t xml:space="preserve"> blame on his Legal Practitioner for failing to comply with the Rules the Legal Practitioner concerned must file an Affidavit admitting his errors. The principle was laid in the case of Diocese of </w:t>
      </w:r>
      <w:r w:rsidRPr="00020038">
        <w:rPr>
          <w:i/>
        </w:rPr>
        <w:t>Harare vs the Church of the Prance for Central Africa SC 9-</w:t>
      </w:r>
      <w:r w:rsidR="00607BE8" w:rsidRPr="00020038">
        <w:rPr>
          <w:i/>
        </w:rPr>
        <w:t xml:space="preserve">10 </w:t>
      </w:r>
      <w:r w:rsidR="00607BE8">
        <w:t>and</w:t>
      </w:r>
      <w:r>
        <w:t xml:space="preserve"> also followed in </w:t>
      </w:r>
      <w:r w:rsidR="00020038" w:rsidRPr="00020038">
        <w:rPr>
          <w:i/>
        </w:rPr>
        <w:t>Thokozile Zinondo vs Cafca</w:t>
      </w:r>
      <w:r w:rsidR="00CA4DBD">
        <w:rPr>
          <w:i/>
        </w:rPr>
        <w:t xml:space="preserve"> </w:t>
      </w:r>
      <w:r w:rsidR="00020038" w:rsidRPr="00020038">
        <w:rPr>
          <w:i/>
        </w:rPr>
        <w:t>Limited 64/17</w:t>
      </w:r>
      <w:r w:rsidR="00934050">
        <w:rPr>
          <w:i/>
        </w:rPr>
        <w:t xml:space="preserve">, </w:t>
      </w:r>
      <w:r w:rsidR="00934050" w:rsidRPr="00934050">
        <w:t>w</w:t>
      </w:r>
      <w:r w:rsidR="00B65454" w:rsidRPr="00934050">
        <w:t>here</w:t>
      </w:r>
      <w:r w:rsidR="00B65454">
        <w:t xml:space="preserve"> the Supreme Court stated as follows;</w:t>
      </w:r>
    </w:p>
    <w:p w:rsidR="00B65454" w:rsidRPr="00530FB7" w:rsidRDefault="00B65454" w:rsidP="00530FB7">
      <w:pPr>
        <w:spacing w:after="0" w:line="276" w:lineRule="auto"/>
        <w:ind w:left="720"/>
        <w:rPr>
          <w:rFonts w:cs="Tahoma"/>
          <w:sz w:val="22"/>
        </w:rPr>
      </w:pPr>
      <w:r w:rsidRPr="00530FB7">
        <w:rPr>
          <w:rFonts w:cs="Tahoma"/>
          <w:sz w:val="22"/>
        </w:rPr>
        <w:t xml:space="preserve">“The principle was laid out in the case of </w:t>
      </w:r>
      <w:r w:rsidRPr="00530FB7">
        <w:rPr>
          <w:rFonts w:cs="Tahoma"/>
          <w:i/>
          <w:sz w:val="22"/>
        </w:rPr>
        <w:t>Diocese of Harare v The Church of the Province for Central Africa</w:t>
      </w:r>
      <w:r w:rsidRPr="00530FB7">
        <w:rPr>
          <w:rFonts w:cs="Tahoma"/>
          <w:sz w:val="22"/>
        </w:rPr>
        <w:t xml:space="preserve"> SC-9-10, where this Court held that:</w:t>
      </w:r>
    </w:p>
    <w:p w:rsidR="00B65454" w:rsidRPr="00530FB7" w:rsidRDefault="00B65454" w:rsidP="00530FB7">
      <w:pPr>
        <w:spacing w:after="0" w:line="276" w:lineRule="auto"/>
        <w:ind w:left="720" w:firstLine="60"/>
        <w:rPr>
          <w:rFonts w:cs="Tahoma"/>
          <w:sz w:val="22"/>
        </w:rPr>
      </w:pPr>
      <w:r w:rsidRPr="00530FB7">
        <w:rPr>
          <w:rFonts w:cs="Tahoma"/>
          <w:sz w:val="22"/>
        </w:rPr>
        <w:t>“Although in argument Mr Zhou suggested that the failure to comply with the relevant Rules of court was wholly attributable to the respondent’s legal practitioners, there was no admission of negligence by the legal practitioner</w:t>
      </w:r>
      <w:r w:rsidR="00530FB7" w:rsidRPr="00530FB7">
        <w:rPr>
          <w:rFonts w:cs="Tahoma"/>
          <w:sz w:val="22"/>
        </w:rPr>
        <w:t>. . .</w:t>
      </w:r>
    </w:p>
    <w:p w:rsidR="00B65454" w:rsidRPr="00530FB7" w:rsidRDefault="00B65454" w:rsidP="00530FB7">
      <w:pPr>
        <w:spacing w:after="0" w:line="276" w:lineRule="auto"/>
        <w:ind w:left="720"/>
        <w:rPr>
          <w:rFonts w:cs="Tahoma"/>
          <w:sz w:val="22"/>
        </w:rPr>
      </w:pPr>
    </w:p>
    <w:p w:rsidR="00B65454" w:rsidRPr="00530FB7" w:rsidRDefault="00B65454" w:rsidP="00530FB7">
      <w:pPr>
        <w:spacing w:after="0" w:line="276" w:lineRule="auto"/>
        <w:ind w:left="720"/>
        <w:rPr>
          <w:rFonts w:cs="Tahoma"/>
          <w:sz w:val="22"/>
        </w:rPr>
      </w:pPr>
      <w:r w:rsidRPr="00530FB7">
        <w:rPr>
          <w:rFonts w:cs="Tahoma"/>
          <w:sz w:val="22"/>
        </w:rPr>
        <w:t>It would have been after the responsible legal practitioner had filed an affidavit admitting fault and explaining in some detail what happened, that the Judge would be in a position to decide whether the respondent should not be visited with the sins of its legal practitioners.  Where no factual basis for making such a distinction of culpability has been provided, the Judge would have no right to draw it.  It must follow that without an affidavit from the person responsible for the “oversight” admitting fault and explaining the circumstances under which he or she overlooked the Rules, one is at a loss for the reason why it was found necessary to state in the opposing affidavit that an “oversight” on the part of the respondent was the cause of non-compliance.  The procedure adopted by the respondent is another example of lack of care to ensure that Rules of court were complied with.”</w:t>
      </w:r>
    </w:p>
    <w:p w:rsidR="00B65454" w:rsidRPr="00B65454" w:rsidRDefault="00B65454" w:rsidP="00020038"/>
    <w:p w:rsidR="00DF0732" w:rsidRDefault="008412C2" w:rsidP="00530FB7">
      <w:pPr>
        <w:spacing w:after="0"/>
        <w:ind w:firstLine="720"/>
      </w:pPr>
      <w:r>
        <w:t xml:space="preserve">In </w:t>
      </w:r>
      <w:r w:rsidR="006B6C5E">
        <w:t xml:space="preserve">view of the authorities referred it is the court’s finding that absent an Affidavit from Jula Julah </w:t>
      </w:r>
      <w:r w:rsidR="00E938C3">
        <w:t xml:space="preserve">Law </w:t>
      </w:r>
      <w:r w:rsidR="00530FB7">
        <w:t>Chambers</w:t>
      </w:r>
      <w:r w:rsidR="00E938C3">
        <w:t xml:space="preserve"> </w:t>
      </w:r>
      <w:r w:rsidR="006B6C5E">
        <w:t xml:space="preserve">the </w:t>
      </w:r>
      <w:r w:rsidR="006B03F8">
        <w:t>Applicant</w:t>
      </w:r>
      <w:r w:rsidR="006B6C5E">
        <w:t xml:space="preserve"> has essentially tendered no reasonable explanation for the failure to file heads of arguments. It is also important to note that although the period of delay in itself was minimal the </w:t>
      </w:r>
      <w:r w:rsidR="006B03F8">
        <w:t>Applicant</w:t>
      </w:r>
      <w:r w:rsidR="006B6C5E">
        <w:t xml:space="preserve"> is a repeat offender of the court rules. The record of proceedings shows that this is a further application for </w:t>
      </w:r>
      <w:r w:rsidR="006B6C5E">
        <w:lastRenderedPageBreak/>
        <w:t xml:space="preserve">condonation being made by the </w:t>
      </w:r>
      <w:r w:rsidR="006B03F8">
        <w:t>Applicant</w:t>
      </w:r>
      <w:r w:rsidR="006B6C5E">
        <w:t xml:space="preserve">. The </w:t>
      </w:r>
      <w:r w:rsidR="006B03F8">
        <w:t>Applicant</w:t>
      </w:r>
      <w:r w:rsidR="006B6C5E">
        <w:t xml:space="preserve"> in the main application is seeking review of the decision by Respondent. He however failed to file the application for review resulting in him filing an application for condonation. That application however suffered a still birth. The Registrar of the court on 7</w:t>
      </w:r>
      <w:r w:rsidR="006B6C5E" w:rsidRPr="006B6C5E">
        <w:rPr>
          <w:vertAlign w:val="superscript"/>
        </w:rPr>
        <w:t>th</w:t>
      </w:r>
      <w:r w:rsidR="006B6C5E">
        <w:t xml:space="preserve"> of May 2019 wrote to </w:t>
      </w:r>
      <w:r w:rsidR="00253795">
        <w:t>Applicant</w:t>
      </w:r>
      <w:r w:rsidR="006B6C5E">
        <w:t xml:space="preserve"> advising that the matter was now deemed abandoned in terms of </w:t>
      </w:r>
      <w:r w:rsidR="006B6C5E" w:rsidRPr="009D1966">
        <w:rPr>
          <w:b/>
        </w:rPr>
        <w:t>Rule 46 (b)</w:t>
      </w:r>
      <w:r w:rsidR="006B6C5E">
        <w:t xml:space="preserve"> of the </w:t>
      </w:r>
      <w:r w:rsidR="006B6C5E" w:rsidRPr="009D1966">
        <w:rPr>
          <w:b/>
        </w:rPr>
        <w:t>Labour Court Rules, 2017</w:t>
      </w:r>
      <w:r w:rsidR="006B6C5E">
        <w:t xml:space="preserve">. This was following </w:t>
      </w:r>
      <w:r w:rsidR="00E161BA">
        <w:t>Applicant</w:t>
      </w:r>
      <w:r w:rsidR="006B6C5E">
        <w:t xml:space="preserve"> failure to file Heads of Arguments with 10 days of receipt of Notice of Response. The </w:t>
      </w:r>
      <w:r w:rsidR="00E161BA">
        <w:t>Applicant</w:t>
      </w:r>
      <w:r w:rsidR="006B6C5E">
        <w:t xml:space="preserve"> undetermined thereafter filed an application for reinstatement of the matter. He was relying on </w:t>
      </w:r>
      <w:r w:rsidR="006B6C5E" w:rsidRPr="00FC1FD0">
        <w:rPr>
          <w:b/>
          <w:bCs/>
        </w:rPr>
        <w:t>Rule 36</w:t>
      </w:r>
      <w:r w:rsidR="006B6C5E">
        <w:t xml:space="preserve"> of the </w:t>
      </w:r>
      <w:r w:rsidR="006B6C5E" w:rsidRPr="00FC1FD0">
        <w:rPr>
          <w:b/>
          <w:bCs/>
        </w:rPr>
        <w:t>Labour Court Rules, 2017</w:t>
      </w:r>
      <w:r w:rsidR="006B6C5E">
        <w:t xml:space="preserve">. This application which was </w:t>
      </w:r>
      <w:r w:rsidR="0048749D">
        <w:t>filed</w:t>
      </w:r>
      <w:r w:rsidR="00934050">
        <w:t xml:space="preserve"> by Jula Julah</w:t>
      </w:r>
      <w:r w:rsidR="006B6C5E">
        <w:t xml:space="preserve"> Law Chambers was supposed to have been filed within twenty-one (21) days of the abandonment i.e. </w:t>
      </w:r>
      <w:r w:rsidR="00530FB7">
        <w:t>by 2</w:t>
      </w:r>
      <w:r w:rsidR="00530FB7" w:rsidRPr="00530FB7">
        <w:rPr>
          <w:vertAlign w:val="superscript"/>
        </w:rPr>
        <w:t>nd</w:t>
      </w:r>
      <w:r w:rsidR="00530FB7">
        <w:t xml:space="preserve"> </w:t>
      </w:r>
      <w:r w:rsidR="006B6C5E">
        <w:t>August 2019.</w:t>
      </w:r>
      <w:r w:rsidR="00965E20">
        <w:t xml:space="preserve"> Realising then he was out of time the </w:t>
      </w:r>
      <w:r w:rsidR="00E161BA">
        <w:t>Applicant</w:t>
      </w:r>
      <w:r w:rsidR="00965E20">
        <w:t xml:space="preserve"> once </w:t>
      </w:r>
      <w:r w:rsidR="0048749D">
        <w:t>again</w:t>
      </w:r>
      <w:r w:rsidR="00965E20">
        <w:t xml:space="preserve"> filed an application for condonation for late </w:t>
      </w:r>
      <w:r w:rsidR="00020038">
        <w:t>filing of</w:t>
      </w:r>
      <w:r w:rsidR="0048749D">
        <w:t xml:space="preserve"> an application for reinstatement of the application for condonation for late filing of an application for condonation. It is this application which was placed before me. However at the hearing it turned out that </w:t>
      </w:r>
      <w:r w:rsidR="00E161BA">
        <w:t>Applicant</w:t>
      </w:r>
      <w:r w:rsidR="0048749D">
        <w:t xml:space="preserve"> had again failed to file Heads of Arguments resulting in the oral application for upliftment of the bar now operating against the </w:t>
      </w:r>
      <w:r w:rsidR="00E161BA">
        <w:t>Applicant</w:t>
      </w:r>
      <w:r w:rsidR="0048749D">
        <w:t xml:space="preserve">. </w:t>
      </w:r>
    </w:p>
    <w:p w:rsidR="006344B3" w:rsidRPr="006344B3" w:rsidRDefault="00E161BA" w:rsidP="00530FB7">
      <w:pPr>
        <w:spacing w:after="0"/>
        <w:ind w:firstLine="720"/>
        <w:rPr>
          <w:rFonts w:cs="Tahoma"/>
          <w:szCs w:val="24"/>
        </w:rPr>
      </w:pPr>
      <w:r>
        <w:t>This ruling is based on that oral application</w:t>
      </w:r>
      <w:r w:rsidR="00530FB7">
        <w:t xml:space="preserve"> for the </w:t>
      </w:r>
      <w:r w:rsidR="006043AF">
        <w:t>removal of the bar currently appeals</w:t>
      </w:r>
      <w:r w:rsidR="00607BE8">
        <w:t xml:space="preserve"> in </w:t>
      </w:r>
      <w:r w:rsidR="00530FB7">
        <w:t>against</w:t>
      </w:r>
      <w:r w:rsidR="00607BE8">
        <w:t xml:space="preserve"> </w:t>
      </w:r>
      <w:r w:rsidR="00530FB7">
        <w:t>the</w:t>
      </w:r>
      <w:r w:rsidR="00607BE8">
        <w:t xml:space="preserve"> </w:t>
      </w:r>
      <w:r w:rsidR="00530FB7">
        <w:t>Applicant</w:t>
      </w:r>
      <w:r>
        <w:t xml:space="preserve">. </w:t>
      </w:r>
      <w:r w:rsidR="0048749D">
        <w:t xml:space="preserve">Against this background it is very clear that </w:t>
      </w:r>
      <w:r w:rsidR="00253795">
        <w:t>Applicant</w:t>
      </w:r>
      <w:r w:rsidR="0048749D">
        <w:t xml:space="preserve"> has become a repeat offender of the Rules. There has been a deliberate </w:t>
      </w:r>
      <w:r w:rsidR="00020038">
        <w:t>flouting</w:t>
      </w:r>
      <w:r w:rsidR="0048749D">
        <w:t xml:space="preserve"> </w:t>
      </w:r>
      <w:r w:rsidR="00020038">
        <w:t>of</w:t>
      </w:r>
      <w:r w:rsidR="0048749D">
        <w:t xml:space="preserve"> the rules by the Legal Practitioners </w:t>
      </w:r>
      <w:r w:rsidR="00530FB7">
        <w:t>s</w:t>
      </w:r>
      <w:r w:rsidR="0048749D">
        <w:t xml:space="preserve">he has engaged. The repeated application for the court’s indulgence now amounts to abuse of the court. There is a point at which </w:t>
      </w:r>
      <w:r w:rsidR="00530FB7">
        <w:t>a</w:t>
      </w:r>
      <w:r w:rsidR="0048749D">
        <w:t xml:space="preserve"> litigant must suffer for his</w:t>
      </w:r>
      <w:r w:rsidR="00530FB7">
        <w:t>/her</w:t>
      </w:r>
      <w:r w:rsidR="0048749D">
        <w:t xml:space="preserve"> Legal Practitioner</w:t>
      </w:r>
      <w:r w:rsidR="003367CD">
        <w:t>’s</w:t>
      </w:r>
      <w:r w:rsidR="0048749D">
        <w:t xml:space="preserve"> recklessness</w:t>
      </w:r>
      <w:r w:rsidR="00AB1072">
        <w:t>.</w:t>
      </w:r>
      <w:r w:rsidR="00281BEE">
        <w:t xml:space="preserve"> </w:t>
      </w:r>
      <w:r w:rsidR="006344B3" w:rsidRPr="006344B3">
        <w:rPr>
          <w:rFonts w:cs="Tahoma"/>
          <w:szCs w:val="24"/>
        </w:rPr>
        <w:t xml:space="preserve">This principle was set out in the case of </w:t>
      </w:r>
      <w:r w:rsidR="006344B3" w:rsidRPr="006344B3">
        <w:rPr>
          <w:rFonts w:cs="Tahoma"/>
          <w:i/>
          <w:szCs w:val="24"/>
        </w:rPr>
        <w:t>Kombayi v Berkout</w:t>
      </w:r>
      <w:r w:rsidR="006344B3" w:rsidRPr="006344B3">
        <w:rPr>
          <w:rFonts w:cs="Tahoma"/>
          <w:szCs w:val="24"/>
        </w:rPr>
        <w:t xml:space="preserve"> (</w:t>
      </w:r>
      <w:r w:rsidR="006344B3" w:rsidRPr="006344B3">
        <w:rPr>
          <w:rFonts w:cs="Tahoma"/>
          <w:i/>
          <w:szCs w:val="24"/>
        </w:rPr>
        <w:t>supra</w:t>
      </w:r>
      <w:r w:rsidR="006344B3" w:rsidRPr="006344B3">
        <w:rPr>
          <w:rFonts w:cs="Tahoma"/>
          <w:szCs w:val="24"/>
        </w:rPr>
        <w:t xml:space="preserve">) at p 56 where KORSAH JA quoted with approval the case of </w:t>
      </w:r>
      <w:r w:rsidR="006344B3" w:rsidRPr="006344B3">
        <w:rPr>
          <w:rFonts w:cs="Tahoma"/>
          <w:i/>
          <w:szCs w:val="24"/>
        </w:rPr>
        <w:t>Saloojee &amp; Anor NNO v Minister of Community Development</w:t>
      </w:r>
      <w:r w:rsidR="006344B3" w:rsidRPr="006344B3">
        <w:rPr>
          <w:rFonts w:cs="Tahoma"/>
          <w:szCs w:val="24"/>
        </w:rPr>
        <w:t xml:space="preserve"> 1965 (2) SA 135 (A</w:t>
      </w:r>
      <w:r w:rsidR="006344B3" w:rsidRPr="006344B3">
        <w:rPr>
          <w:rFonts w:cs="Tahoma"/>
          <w:b/>
          <w:szCs w:val="24"/>
        </w:rPr>
        <w:t>)</w:t>
      </w:r>
      <w:r w:rsidR="006344B3" w:rsidRPr="006344B3">
        <w:rPr>
          <w:rFonts w:cs="Tahoma"/>
          <w:szCs w:val="24"/>
        </w:rPr>
        <w:t xml:space="preserve"> at 141C where it was stated that:</w:t>
      </w:r>
    </w:p>
    <w:p w:rsidR="006344B3" w:rsidRPr="00530FB7" w:rsidRDefault="006344B3" w:rsidP="00530FB7">
      <w:pPr>
        <w:spacing w:after="0" w:line="276" w:lineRule="auto"/>
        <w:ind w:left="720"/>
        <w:rPr>
          <w:rFonts w:cs="Tahoma"/>
          <w:sz w:val="22"/>
        </w:rPr>
      </w:pPr>
      <w:r w:rsidRPr="00530FB7">
        <w:rPr>
          <w:rFonts w:cs="Tahoma"/>
          <w:sz w:val="22"/>
        </w:rPr>
        <w:t>“</w:t>
      </w:r>
      <w:r w:rsidRPr="00530FB7">
        <w:rPr>
          <w:rFonts w:cs="Tahoma"/>
          <w:sz w:val="22"/>
          <w:u w:val="single"/>
        </w:rPr>
        <w:t>There is a limit beyond which a litigant cannot escape the results of his attorney’s lack of diligence or the insufficiency of the explanation tendered</w:t>
      </w:r>
      <w:r w:rsidRPr="00530FB7">
        <w:rPr>
          <w:rFonts w:cs="Tahoma"/>
          <w:sz w:val="22"/>
        </w:rPr>
        <w:t xml:space="preserve">. To hold otherwise might have a disastrous effect upon the observance of the rules of the Court. </w:t>
      </w:r>
      <w:r w:rsidRPr="00530FB7">
        <w:rPr>
          <w:rFonts w:cs="Tahoma"/>
          <w:sz w:val="22"/>
          <w:u w:val="single"/>
        </w:rPr>
        <w:t xml:space="preserve">Considerations </w:t>
      </w:r>
      <w:r w:rsidRPr="00530FB7">
        <w:rPr>
          <w:rFonts w:cs="Tahoma"/>
          <w:i/>
          <w:sz w:val="22"/>
          <w:u w:val="single"/>
        </w:rPr>
        <w:t>ad misericordium</w:t>
      </w:r>
      <w:r w:rsidRPr="00530FB7">
        <w:rPr>
          <w:rFonts w:cs="Tahoma"/>
          <w:sz w:val="22"/>
          <w:u w:val="single"/>
        </w:rPr>
        <w:t xml:space="preserve"> should not be allowed to become an invitation to laxity</w:t>
      </w:r>
      <w:r w:rsidRPr="00530FB7">
        <w:rPr>
          <w:rFonts w:cs="Tahoma"/>
          <w:sz w:val="22"/>
        </w:rPr>
        <w:t>.” (</w:t>
      </w:r>
      <w:r w:rsidRPr="00530FB7">
        <w:rPr>
          <w:rFonts w:cs="Tahoma"/>
          <w:szCs w:val="24"/>
        </w:rPr>
        <w:t>Own emphasis</w:t>
      </w:r>
      <w:r w:rsidRPr="00530FB7">
        <w:rPr>
          <w:rFonts w:cs="Tahoma"/>
          <w:sz w:val="22"/>
        </w:rPr>
        <w:t>)</w:t>
      </w:r>
    </w:p>
    <w:p w:rsidR="00AB1072" w:rsidRPr="00020038" w:rsidRDefault="00AB1072" w:rsidP="00005F1F">
      <w:pPr>
        <w:rPr>
          <w:i/>
        </w:rPr>
      </w:pPr>
    </w:p>
    <w:p w:rsidR="00020038" w:rsidRDefault="00AB1072" w:rsidP="0048749D">
      <w:pPr>
        <w:ind w:firstLine="720"/>
      </w:pPr>
      <w:r>
        <w:t>It is also apparent that the application for condonation for late filing of application for reinstatement of the application for condonation for late filing of an application for review</w:t>
      </w:r>
      <w:r w:rsidR="00530FB7">
        <w:t xml:space="preserve"> pending </w:t>
      </w:r>
      <w:r w:rsidR="0056332D">
        <w:t>before the</w:t>
      </w:r>
      <w:r w:rsidR="00530FB7">
        <w:t xml:space="preserve"> court</w:t>
      </w:r>
      <w:r>
        <w:t xml:space="preserve"> also does not carry good prospects of success.</w:t>
      </w:r>
      <w:r w:rsidR="00212C25">
        <w:t xml:space="preserve"> This is clear as </w:t>
      </w:r>
      <w:r w:rsidR="003367CD">
        <w:t>Applicant</w:t>
      </w:r>
      <w:r w:rsidR="00212C25">
        <w:t xml:space="preserve"> once again places blame on the former Legal Practitioners for the delay in filing an application for reinstatement. The </w:t>
      </w:r>
      <w:r w:rsidR="003367CD">
        <w:t>Applicant</w:t>
      </w:r>
      <w:r w:rsidR="00212C25">
        <w:t xml:space="preserve"> has once again not bothered to obtain a supporting Affidavit from the said Legal Practitioner</w:t>
      </w:r>
      <w:r w:rsidR="00934050">
        <w:t xml:space="preserve"> to</w:t>
      </w:r>
      <w:r w:rsidR="00212C25">
        <w:t xml:space="preserve"> explain the circumstances under </w:t>
      </w:r>
      <w:r w:rsidR="00020038">
        <w:t>which the</w:t>
      </w:r>
      <w:r w:rsidR="00212C25">
        <w:t xml:space="preserve"> Rules were onc</w:t>
      </w:r>
      <w:r w:rsidR="00020038">
        <w:t>e</w:t>
      </w:r>
      <w:r w:rsidR="00212C25">
        <w:t xml:space="preserve"> again </w:t>
      </w:r>
      <w:r w:rsidR="00020038">
        <w:t>flouted.</w:t>
      </w:r>
      <w:r>
        <w:t xml:space="preserve"> </w:t>
      </w:r>
      <w:r w:rsidR="0048749D">
        <w:t xml:space="preserve">  </w:t>
      </w:r>
    </w:p>
    <w:p w:rsidR="00020038" w:rsidRDefault="00020038" w:rsidP="0048749D">
      <w:pPr>
        <w:ind w:firstLine="720"/>
      </w:pPr>
      <w:r>
        <w:t xml:space="preserve">It would appear to me that the </w:t>
      </w:r>
      <w:r w:rsidR="003367CD">
        <w:t>Applicant</w:t>
      </w:r>
      <w:r>
        <w:t xml:space="preserve"> having no prospect of success in the application for condonation the instant application for upliftment of bar stands to be </w:t>
      </w:r>
      <w:r w:rsidR="00530FB7">
        <w:t xml:space="preserve">dismissed. </w:t>
      </w:r>
      <w:r>
        <w:t xml:space="preserve"> </w:t>
      </w:r>
    </w:p>
    <w:p w:rsidR="008412C2" w:rsidRDefault="00020038" w:rsidP="0048749D">
      <w:pPr>
        <w:ind w:firstLine="720"/>
      </w:pPr>
      <w:r>
        <w:t>It is accordingly dismissed with costs.</w:t>
      </w:r>
      <w:r w:rsidR="006B6C5E">
        <w:t xml:space="preserve">  </w:t>
      </w:r>
    </w:p>
    <w:p w:rsidR="00103CED" w:rsidRDefault="00103CED" w:rsidP="00665145">
      <w:pPr>
        <w:ind w:firstLine="720"/>
      </w:pPr>
    </w:p>
    <w:p w:rsidR="001C0F45" w:rsidRDefault="001C0F45"/>
    <w:p w:rsidR="0056332D" w:rsidRDefault="0056332D">
      <w:r w:rsidRPr="0056332D">
        <w:rPr>
          <w:i/>
        </w:rPr>
        <w:t>Jiti Law Chambers</w:t>
      </w:r>
      <w:r>
        <w:t>, applicant’s legal practitioners</w:t>
      </w:r>
    </w:p>
    <w:p w:rsidR="0056332D" w:rsidRDefault="0056332D">
      <w:r w:rsidRPr="0056332D">
        <w:rPr>
          <w:i/>
        </w:rPr>
        <w:t>Chitere Chidawanyika &amp; Partners</w:t>
      </w:r>
      <w:r>
        <w:t>, 1</w:t>
      </w:r>
      <w:r w:rsidRPr="0056332D">
        <w:rPr>
          <w:vertAlign w:val="superscript"/>
        </w:rPr>
        <w:t>st</w:t>
      </w:r>
      <w:r>
        <w:t xml:space="preserve"> and 2</w:t>
      </w:r>
      <w:r w:rsidRPr="0056332D">
        <w:rPr>
          <w:vertAlign w:val="superscript"/>
        </w:rPr>
        <w:t>nd</w:t>
      </w:r>
      <w:r>
        <w:t xml:space="preserve"> respondents’ legal practitioners</w:t>
      </w:r>
    </w:p>
    <w:sectPr w:rsidR="0056332D" w:rsidSect="005633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4A9" w:rsidRDefault="007C44A9" w:rsidP="0056332D">
      <w:pPr>
        <w:spacing w:after="0" w:line="240" w:lineRule="auto"/>
      </w:pPr>
      <w:r>
        <w:separator/>
      </w:r>
    </w:p>
  </w:endnote>
  <w:endnote w:type="continuationSeparator" w:id="0">
    <w:p w:rsidR="007C44A9" w:rsidRDefault="007C44A9" w:rsidP="00563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F" w:rsidRDefault="00F002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812050"/>
      <w:docPartObj>
        <w:docPartGallery w:val="Page Numbers (Bottom of Page)"/>
        <w:docPartUnique/>
      </w:docPartObj>
    </w:sdtPr>
    <w:sdtEndPr>
      <w:rPr>
        <w:noProof/>
      </w:rPr>
    </w:sdtEndPr>
    <w:sdtContent>
      <w:p w:rsidR="00607BE8" w:rsidRDefault="00607BE8">
        <w:pPr>
          <w:pStyle w:val="Footer"/>
          <w:jc w:val="center"/>
        </w:pPr>
        <w:r>
          <w:fldChar w:fldCharType="begin"/>
        </w:r>
        <w:r>
          <w:instrText xml:space="preserve"> PAGE   \* MERGEFORMAT </w:instrText>
        </w:r>
        <w:r>
          <w:fldChar w:fldCharType="separate"/>
        </w:r>
        <w:r w:rsidR="00B01E27">
          <w:rPr>
            <w:noProof/>
          </w:rPr>
          <w:t>7</w:t>
        </w:r>
        <w:r>
          <w:rPr>
            <w:noProof/>
          </w:rPr>
          <w:fldChar w:fldCharType="end"/>
        </w:r>
      </w:p>
    </w:sdtContent>
  </w:sdt>
  <w:p w:rsidR="00607BE8" w:rsidRDefault="00607B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F" w:rsidRDefault="00F002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4A9" w:rsidRDefault="007C44A9" w:rsidP="0056332D">
      <w:pPr>
        <w:spacing w:after="0" w:line="240" w:lineRule="auto"/>
      </w:pPr>
      <w:r>
        <w:separator/>
      </w:r>
    </w:p>
  </w:footnote>
  <w:footnote w:type="continuationSeparator" w:id="0">
    <w:p w:rsidR="007C44A9" w:rsidRDefault="007C44A9" w:rsidP="005633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F" w:rsidRDefault="00F002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32D" w:rsidRDefault="00F002EF">
    <w:pPr>
      <w:pStyle w:val="Header"/>
    </w:pPr>
    <w:r>
      <w:tab/>
    </w:r>
    <w:r>
      <w:tab/>
      <w:t>JUDGMENT NO. LC/MS/5</w:t>
    </w:r>
    <w:r w:rsidR="0056332D">
      <w:t>/2020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F" w:rsidRDefault="00F002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180"/>
    <w:rsid w:val="00005F1F"/>
    <w:rsid w:val="00020038"/>
    <w:rsid w:val="0003607A"/>
    <w:rsid w:val="00055EAB"/>
    <w:rsid w:val="000620EA"/>
    <w:rsid w:val="00091303"/>
    <w:rsid w:val="000F2630"/>
    <w:rsid w:val="00103CED"/>
    <w:rsid w:val="00126B4A"/>
    <w:rsid w:val="001A4AAC"/>
    <w:rsid w:val="001C0F45"/>
    <w:rsid w:val="001C1180"/>
    <w:rsid w:val="001D1E09"/>
    <w:rsid w:val="001E50E8"/>
    <w:rsid w:val="00212C25"/>
    <w:rsid w:val="002321D0"/>
    <w:rsid w:val="002529FA"/>
    <w:rsid w:val="00253795"/>
    <w:rsid w:val="00265213"/>
    <w:rsid w:val="00274D51"/>
    <w:rsid w:val="00280104"/>
    <w:rsid w:val="00281BEE"/>
    <w:rsid w:val="00290CFB"/>
    <w:rsid w:val="00296F15"/>
    <w:rsid w:val="002B1414"/>
    <w:rsid w:val="002C49C2"/>
    <w:rsid w:val="003367CD"/>
    <w:rsid w:val="00354098"/>
    <w:rsid w:val="00371726"/>
    <w:rsid w:val="00372BD2"/>
    <w:rsid w:val="003B0770"/>
    <w:rsid w:val="003B2405"/>
    <w:rsid w:val="003B3A1C"/>
    <w:rsid w:val="003F6968"/>
    <w:rsid w:val="00410A58"/>
    <w:rsid w:val="004709B9"/>
    <w:rsid w:val="0048749D"/>
    <w:rsid w:val="004A3D51"/>
    <w:rsid w:val="00510162"/>
    <w:rsid w:val="00530FB7"/>
    <w:rsid w:val="0056332D"/>
    <w:rsid w:val="005662DA"/>
    <w:rsid w:val="006043AF"/>
    <w:rsid w:val="00607BE8"/>
    <w:rsid w:val="006344B3"/>
    <w:rsid w:val="00640C24"/>
    <w:rsid w:val="00665145"/>
    <w:rsid w:val="006B03F8"/>
    <w:rsid w:val="006B6C5E"/>
    <w:rsid w:val="006E030F"/>
    <w:rsid w:val="00737C00"/>
    <w:rsid w:val="00787744"/>
    <w:rsid w:val="00791B7B"/>
    <w:rsid w:val="00795E5D"/>
    <w:rsid w:val="00796E71"/>
    <w:rsid w:val="007B1E04"/>
    <w:rsid w:val="007C44A9"/>
    <w:rsid w:val="008114D2"/>
    <w:rsid w:val="008134BB"/>
    <w:rsid w:val="00823B3F"/>
    <w:rsid w:val="008412C2"/>
    <w:rsid w:val="00843BE6"/>
    <w:rsid w:val="00845973"/>
    <w:rsid w:val="0085322A"/>
    <w:rsid w:val="008C5945"/>
    <w:rsid w:val="008D21B6"/>
    <w:rsid w:val="00900FEA"/>
    <w:rsid w:val="00934050"/>
    <w:rsid w:val="009463CC"/>
    <w:rsid w:val="00954800"/>
    <w:rsid w:val="00965E20"/>
    <w:rsid w:val="009813DA"/>
    <w:rsid w:val="009D1966"/>
    <w:rsid w:val="00A13C3E"/>
    <w:rsid w:val="00A411CF"/>
    <w:rsid w:val="00A555C6"/>
    <w:rsid w:val="00A5644C"/>
    <w:rsid w:val="00A92351"/>
    <w:rsid w:val="00AB1072"/>
    <w:rsid w:val="00AB449C"/>
    <w:rsid w:val="00AB5098"/>
    <w:rsid w:val="00AB6731"/>
    <w:rsid w:val="00B01E27"/>
    <w:rsid w:val="00B421EA"/>
    <w:rsid w:val="00B54772"/>
    <w:rsid w:val="00B61911"/>
    <w:rsid w:val="00B65454"/>
    <w:rsid w:val="00B770C9"/>
    <w:rsid w:val="00B908AB"/>
    <w:rsid w:val="00C4087E"/>
    <w:rsid w:val="00CA4DBD"/>
    <w:rsid w:val="00CC0387"/>
    <w:rsid w:val="00CD62F7"/>
    <w:rsid w:val="00CF3434"/>
    <w:rsid w:val="00D42E3D"/>
    <w:rsid w:val="00D43513"/>
    <w:rsid w:val="00D55EC4"/>
    <w:rsid w:val="00D91D14"/>
    <w:rsid w:val="00DF0732"/>
    <w:rsid w:val="00E161BA"/>
    <w:rsid w:val="00E6344F"/>
    <w:rsid w:val="00E938C3"/>
    <w:rsid w:val="00F002EF"/>
    <w:rsid w:val="00F1352D"/>
    <w:rsid w:val="00F716EF"/>
    <w:rsid w:val="00FC1FD0"/>
    <w:rsid w:val="00FD4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0EA"/>
    <w:pPr>
      <w:spacing w:line="360" w:lineRule="auto"/>
      <w:jc w:val="both"/>
    </w:pPr>
    <w:rPr>
      <w:rFonts w:ascii="Tahoma" w:eastAsiaTheme="minorEastAsia" w:hAnsi="Tahoma"/>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08A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65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454"/>
    <w:rPr>
      <w:rFonts w:ascii="Segoe UI" w:eastAsiaTheme="minorEastAsia" w:hAnsi="Segoe UI" w:cs="Segoe UI"/>
      <w:sz w:val="18"/>
      <w:szCs w:val="18"/>
      <w:lang w:val="en-GB"/>
    </w:rPr>
  </w:style>
  <w:style w:type="paragraph" w:styleId="Header">
    <w:name w:val="header"/>
    <w:basedOn w:val="Normal"/>
    <w:link w:val="HeaderChar"/>
    <w:uiPriority w:val="99"/>
    <w:unhideWhenUsed/>
    <w:rsid w:val="005633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32D"/>
    <w:rPr>
      <w:rFonts w:ascii="Tahoma" w:eastAsiaTheme="minorEastAsia" w:hAnsi="Tahoma"/>
      <w:sz w:val="24"/>
      <w:lang w:val="en-GB"/>
    </w:rPr>
  </w:style>
  <w:style w:type="paragraph" w:styleId="Footer">
    <w:name w:val="footer"/>
    <w:basedOn w:val="Normal"/>
    <w:link w:val="FooterChar"/>
    <w:uiPriority w:val="99"/>
    <w:unhideWhenUsed/>
    <w:rsid w:val="005633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32D"/>
    <w:rPr>
      <w:rFonts w:ascii="Tahoma" w:eastAsiaTheme="minorEastAsia" w:hAnsi="Tahoma"/>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0EA"/>
    <w:pPr>
      <w:spacing w:line="360" w:lineRule="auto"/>
      <w:jc w:val="both"/>
    </w:pPr>
    <w:rPr>
      <w:rFonts w:ascii="Tahoma" w:eastAsiaTheme="minorEastAsia" w:hAnsi="Tahoma"/>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08A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65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454"/>
    <w:rPr>
      <w:rFonts w:ascii="Segoe UI" w:eastAsiaTheme="minorEastAsia" w:hAnsi="Segoe UI" w:cs="Segoe UI"/>
      <w:sz w:val="18"/>
      <w:szCs w:val="18"/>
      <w:lang w:val="en-GB"/>
    </w:rPr>
  </w:style>
  <w:style w:type="paragraph" w:styleId="Header">
    <w:name w:val="header"/>
    <w:basedOn w:val="Normal"/>
    <w:link w:val="HeaderChar"/>
    <w:uiPriority w:val="99"/>
    <w:unhideWhenUsed/>
    <w:rsid w:val="005633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32D"/>
    <w:rPr>
      <w:rFonts w:ascii="Tahoma" w:eastAsiaTheme="minorEastAsia" w:hAnsi="Tahoma"/>
      <w:sz w:val="24"/>
      <w:lang w:val="en-GB"/>
    </w:rPr>
  </w:style>
  <w:style w:type="paragraph" w:styleId="Footer">
    <w:name w:val="footer"/>
    <w:basedOn w:val="Normal"/>
    <w:link w:val="FooterChar"/>
    <w:uiPriority w:val="99"/>
    <w:unhideWhenUsed/>
    <w:rsid w:val="005633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32D"/>
    <w:rPr>
      <w:rFonts w:ascii="Tahoma" w:eastAsiaTheme="minorEastAsia" w:hAnsi="Tahoma"/>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9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7</Pages>
  <Words>2106</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Chivizhe</dc:creator>
  <cp:lastModifiedBy>library</cp:lastModifiedBy>
  <cp:revision>15</cp:revision>
  <cp:lastPrinted>2020-06-05T12:14:00Z</cp:lastPrinted>
  <dcterms:created xsi:type="dcterms:W3CDTF">2020-06-01T10:50:00Z</dcterms:created>
  <dcterms:modified xsi:type="dcterms:W3CDTF">2020-06-18T12:19:00Z</dcterms:modified>
</cp:coreProperties>
</file>